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9741" w14:textId="4F4962EA" w:rsidR="00B237EF" w:rsidRPr="00BC1ECA" w:rsidRDefault="00E34835" w:rsidP="007169A6">
      <w:pPr>
        <w:jc w:val="both"/>
        <w:rPr>
          <w:noProof/>
          <w:sz w:val="52"/>
          <w:szCs w:val="52"/>
          <w:lang w:eastAsia="en-AU"/>
        </w:rPr>
      </w:pPr>
      <w:bookmarkStart w:id="0" w:name="_GoBack"/>
      <w:bookmarkEnd w:id="0"/>
      <w:r w:rsidRPr="007169A6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66944" behindDoc="1" locked="0" layoutInCell="1" allowOverlap="1" wp14:anchorId="3260D000" wp14:editId="7DD02FF4">
            <wp:simplePos x="0" y="0"/>
            <wp:positionH relativeFrom="column">
              <wp:posOffset>1343660</wp:posOffset>
            </wp:positionH>
            <wp:positionV relativeFrom="paragraph">
              <wp:posOffset>-216535</wp:posOffset>
            </wp:positionV>
            <wp:extent cx="54292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24" y="21323"/>
                <wp:lineTo x="21524" y="0"/>
                <wp:lineTo x="0" y="0"/>
              </wp:wrapPolygon>
            </wp:wrapTight>
            <wp:docPr id="1" name="Picture 1" descr="C:\Users\katef\AppData\Local\Microsoft\Windows\Temporary Internet Files\Content.Outlook\GVZB83X1\Banner - Prevent violence  ensure 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f\AppData\Local\Microsoft\Windows\Temporary Internet Files\Content.Outlook\GVZB83X1\Banner - Prevent violence  ensure just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91" w:rsidRPr="00C343CD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6704" behindDoc="1" locked="0" layoutInCell="1" allowOverlap="1" wp14:anchorId="6ECFE732" wp14:editId="4D647F14">
            <wp:simplePos x="0" y="0"/>
            <wp:positionH relativeFrom="column">
              <wp:posOffset>635</wp:posOffset>
            </wp:positionH>
            <wp:positionV relativeFrom="paragraph">
              <wp:posOffset>-208915</wp:posOffset>
            </wp:positionV>
            <wp:extent cx="12763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278" y="21378"/>
                <wp:lineTo x="21278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EF" w:rsidRPr="00EB6AE0">
        <w:rPr>
          <w:rFonts w:ascii="Arial" w:hAnsi="Arial" w:cs="Arial"/>
          <w:b/>
          <w:bCs/>
          <w:sz w:val="24"/>
          <w:szCs w:val="24"/>
        </w:rPr>
        <w:t xml:space="preserve">PWDA calls on </w:t>
      </w:r>
      <w:r w:rsidR="005A50B0">
        <w:rPr>
          <w:rFonts w:ascii="Arial" w:hAnsi="Arial" w:cs="Arial"/>
          <w:b/>
          <w:bCs/>
          <w:sz w:val="24"/>
          <w:szCs w:val="24"/>
        </w:rPr>
        <w:t>candidates</w:t>
      </w:r>
      <w:r w:rsidR="00B237EF" w:rsidRPr="00EB6AE0">
        <w:rPr>
          <w:rFonts w:ascii="Arial" w:hAnsi="Arial" w:cs="Arial"/>
          <w:b/>
          <w:bCs/>
          <w:sz w:val="24"/>
          <w:szCs w:val="24"/>
        </w:rPr>
        <w:t xml:space="preserve"> to commit to ending violence, abuse</w:t>
      </w:r>
      <w:r w:rsidR="00097FCB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B237EF" w:rsidRPr="00EB6AE0">
        <w:rPr>
          <w:rFonts w:ascii="Arial" w:hAnsi="Arial" w:cs="Arial"/>
          <w:b/>
          <w:bCs/>
          <w:sz w:val="24"/>
          <w:szCs w:val="24"/>
        </w:rPr>
        <w:t>ne</w:t>
      </w:r>
      <w:r w:rsidR="005A50B0">
        <w:rPr>
          <w:rFonts w:ascii="Arial" w:hAnsi="Arial" w:cs="Arial"/>
          <w:b/>
          <w:bCs/>
          <w:sz w:val="24"/>
          <w:szCs w:val="24"/>
        </w:rPr>
        <w:t>glect of people with disability;</w:t>
      </w:r>
      <w:r w:rsidR="00B237EF" w:rsidRPr="00EB6AE0">
        <w:rPr>
          <w:rFonts w:ascii="Arial" w:hAnsi="Arial" w:cs="Arial"/>
          <w:b/>
          <w:bCs/>
          <w:sz w:val="24"/>
          <w:szCs w:val="24"/>
        </w:rPr>
        <w:t xml:space="preserve"> to ensuring that people with disability </w:t>
      </w:r>
      <w:r w:rsidR="005A50B0">
        <w:rPr>
          <w:rFonts w:ascii="Arial" w:hAnsi="Arial" w:cs="Arial"/>
          <w:b/>
          <w:bCs/>
          <w:sz w:val="24"/>
          <w:szCs w:val="24"/>
        </w:rPr>
        <w:t xml:space="preserve">can enforce </w:t>
      </w:r>
      <w:r w:rsidR="00B237EF" w:rsidRPr="005A50B0">
        <w:rPr>
          <w:rFonts w:ascii="Arial" w:hAnsi="Arial" w:cs="Arial"/>
          <w:b/>
          <w:bCs/>
          <w:sz w:val="24"/>
          <w:szCs w:val="24"/>
        </w:rPr>
        <w:t xml:space="preserve">their rights </w:t>
      </w:r>
      <w:r w:rsidR="005A50B0">
        <w:rPr>
          <w:rFonts w:ascii="Arial" w:hAnsi="Arial" w:cs="Arial"/>
          <w:b/>
          <w:bCs/>
          <w:sz w:val="24"/>
          <w:szCs w:val="24"/>
        </w:rPr>
        <w:t>through the</w:t>
      </w:r>
      <w:r w:rsidR="00B237EF" w:rsidRPr="005A50B0">
        <w:rPr>
          <w:rFonts w:ascii="Arial" w:hAnsi="Arial" w:cs="Arial"/>
          <w:b/>
          <w:bCs/>
          <w:sz w:val="24"/>
          <w:szCs w:val="24"/>
        </w:rPr>
        <w:t xml:space="preserve"> justice system</w:t>
      </w:r>
      <w:r w:rsidR="005A50B0">
        <w:rPr>
          <w:rFonts w:ascii="Arial" w:hAnsi="Arial" w:cs="Arial"/>
          <w:b/>
          <w:bCs/>
          <w:sz w:val="24"/>
          <w:szCs w:val="24"/>
        </w:rPr>
        <w:t>; and to addressing over-representation of people with disability in the criminal justice system.</w:t>
      </w:r>
      <w:r w:rsidR="00B237EF" w:rsidRPr="00EB6AE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060791F" w14:textId="55E51C45" w:rsidR="002F54CD" w:rsidRPr="00E432A8" w:rsidRDefault="002F54CD" w:rsidP="00635F33">
      <w:pPr>
        <w:spacing w:after="0"/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>THE SITUATION NOW</w:t>
      </w:r>
    </w:p>
    <w:p w14:paraId="2013724E" w14:textId="7D74F44E" w:rsidR="002F54CD" w:rsidRPr="00B237EF" w:rsidRDefault="008F7571" w:rsidP="00B237EF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3FE74AA2" wp14:editId="272710EE">
            <wp:extent cx="6648450" cy="19004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62" cy="2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F9EA" w14:textId="022BFA29" w:rsidR="00B237EF" w:rsidRPr="00A63478" w:rsidRDefault="00B237EF" w:rsidP="00A63478">
      <w:pPr>
        <w:spacing w:line="276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980732">
        <w:rPr>
          <w:rStyle w:val="Emphasis"/>
          <w:rFonts w:ascii="Arial" w:hAnsi="Arial" w:cs="Arial"/>
          <w:b/>
          <w:i w:val="0"/>
          <w:sz w:val="24"/>
          <w:szCs w:val="24"/>
        </w:rPr>
        <w:t>People with disability experience significantly higher levels of violence, abuse, neglect and exploitation</w:t>
      </w:r>
      <w:r w:rsidR="00171EAA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than people without disability</w:t>
      </w:r>
      <w:r w:rsidRPr="00980732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 Many are trapped in situations of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 xml:space="preserve">violence and 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abuse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 xml:space="preserve">in the community and within </w:t>
      </w:r>
      <w:r w:rsidR="00330202">
        <w:rPr>
          <w:rStyle w:val="Emphasis"/>
          <w:rFonts w:ascii="Arial" w:hAnsi="Arial" w:cs="Arial"/>
          <w:i w:val="0"/>
          <w:sz w:val="24"/>
          <w:szCs w:val="24"/>
        </w:rPr>
        <w:t xml:space="preserve">a range of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>supported accommodation settings.  Often violence against people with disability is characterised as ‘service incidents’ and inadequately dealt with ‘in</w:t>
      </w:r>
      <w:r w:rsidR="00330202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A63478">
        <w:rPr>
          <w:rStyle w:val="Emphasis"/>
          <w:rFonts w:ascii="Arial" w:hAnsi="Arial" w:cs="Arial"/>
          <w:i w:val="0"/>
          <w:sz w:val="24"/>
          <w:szCs w:val="24"/>
        </w:rPr>
        <w:t xml:space="preserve">house’.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 xml:space="preserve">Often there is little </w:t>
      </w:r>
      <w:r w:rsidR="00171EAA">
        <w:rPr>
          <w:rStyle w:val="Emphasis"/>
          <w:rFonts w:ascii="Arial" w:hAnsi="Arial" w:cs="Arial"/>
          <w:i w:val="0"/>
          <w:sz w:val="24"/>
          <w:szCs w:val="24"/>
        </w:rPr>
        <w:t xml:space="preserve">support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 xml:space="preserve">and nowhere 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>else to go</w:t>
      </w:r>
      <w:r w:rsidR="00A63478"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 w:rsidR="00534491">
        <w:rPr>
          <w:rStyle w:val="Emphasis"/>
          <w:rFonts w:ascii="Arial" w:hAnsi="Arial" w:cs="Arial"/>
          <w:i w:val="0"/>
          <w:sz w:val="24"/>
          <w:szCs w:val="24"/>
        </w:rPr>
        <w:t>Flaws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 in legislation and policy also mean that people with disability </w:t>
      </w:r>
      <w:r w:rsidR="00A63478">
        <w:rPr>
          <w:rStyle w:val="Emphasis"/>
          <w:rFonts w:ascii="Arial" w:hAnsi="Arial" w:cs="Arial"/>
          <w:i w:val="0"/>
          <w:sz w:val="24"/>
          <w:szCs w:val="24"/>
        </w:rPr>
        <w:t xml:space="preserve">are not 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>provided with mechanisms for justice and redress.</w:t>
      </w:r>
    </w:p>
    <w:p w14:paraId="05185D13" w14:textId="4E996DE6" w:rsidR="00B237EF" w:rsidRPr="00BC1ECA" w:rsidRDefault="00B237EF" w:rsidP="00A63478">
      <w:pPr>
        <w:jc w:val="both"/>
      </w:pPr>
      <w:r w:rsidRPr="00980732">
        <w:rPr>
          <w:rStyle w:val="Emphasis"/>
          <w:rFonts w:ascii="Arial" w:hAnsi="Arial" w:cs="Arial"/>
          <w:b/>
          <w:i w:val="0"/>
          <w:sz w:val="24"/>
          <w:szCs w:val="24"/>
        </w:rPr>
        <w:t>Mainstream domestic violence services are not uniformly equipped to assist people with disability</w:t>
      </w:r>
      <w:r w:rsidRPr="00EB6AE0">
        <w:rPr>
          <w:rStyle w:val="Emphasis"/>
          <w:rFonts w:ascii="Arial" w:hAnsi="Arial" w:cs="Arial"/>
          <w:b/>
          <w:sz w:val="24"/>
          <w:szCs w:val="24"/>
        </w:rPr>
        <w:t xml:space="preserve">. </w:t>
      </w:r>
      <w:r w:rsidR="00B33336" w:rsidRPr="00EB6AE0">
        <w:rPr>
          <w:rStyle w:val="Emphasis"/>
          <w:rFonts w:ascii="Arial" w:hAnsi="Arial" w:cs="Arial"/>
          <w:i w:val="0"/>
          <w:sz w:val="24"/>
          <w:szCs w:val="24"/>
        </w:rPr>
        <w:t>In 2011, 43% of all women who experienced personal violence in NSW had disability or a long-term health condition</w:t>
      </w:r>
      <w:r w:rsidR="00B33336">
        <w:rPr>
          <w:rStyle w:val="FootnoteReference"/>
          <w:rFonts w:ascii="Arial" w:hAnsi="Arial" w:cs="Arial"/>
          <w:iCs/>
          <w:sz w:val="24"/>
          <w:szCs w:val="24"/>
        </w:rPr>
        <w:footnoteReference w:id="1"/>
      </w:r>
      <w:r w:rsidR="00B33336" w:rsidRPr="00EB6AE0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E34835">
        <w:rPr>
          <w:rStyle w:val="Emphasis"/>
          <w:rFonts w:ascii="Arial" w:hAnsi="Arial" w:cs="Arial"/>
          <w:i w:val="0"/>
          <w:sz w:val="24"/>
          <w:szCs w:val="24"/>
        </w:rPr>
        <w:t xml:space="preserve"> A 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person may be restricted from using domestic violence, homelessness, refuge, or shelter services because policies limit </w:t>
      </w:r>
      <w:r w:rsidR="005A50B0">
        <w:rPr>
          <w:rStyle w:val="Emphasis"/>
          <w:rFonts w:ascii="Arial" w:hAnsi="Arial" w:cs="Arial"/>
          <w:i w:val="0"/>
          <w:sz w:val="24"/>
          <w:szCs w:val="24"/>
        </w:rPr>
        <w:t xml:space="preserve">or deny 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their access, buildings are inaccessible, interpreters are not provided or their support needs </w:t>
      </w:r>
      <w:r w:rsidR="00A63478">
        <w:rPr>
          <w:rStyle w:val="Emphasis"/>
          <w:rFonts w:ascii="Arial" w:hAnsi="Arial" w:cs="Arial"/>
          <w:i w:val="0"/>
          <w:sz w:val="24"/>
          <w:szCs w:val="24"/>
        </w:rPr>
        <w:t>cannot be</w:t>
      </w:r>
      <w:r w:rsidRPr="00EB6AE0">
        <w:rPr>
          <w:rStyle w:val="Emphasis"/>
          <w:rFonts w:ascii="Arial" w:hAnsi="Arial" w:cs="Arial"/>
          <w:i w:val="0"/>
          <w:sz w:val="24"/>
          <w:szCs w:val="24"/>
        </w:rPr>
        <w:t xml:space="preserve"> met. </w:t>
      </w:r>
    </w:p>
    <w:p w14:paraId="1B9E7B15" w14:textId="3A896AB4" w:rsidR="00B237EF" w:rsidRPr="00EB6AE0" w:rsidRDefault="00534491" w:rsidP="00A63478">
      <w:pPr>
        <w:pStyle w:val="NoSpacing"/>
        <w:spacing w:after="160" w:line="276" w:lineRule="auto"/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b/>
          <w:i w:val="0"/>
        </w:rPr>
        <w:t>I</w:t>
      </w:r>
      <w:r w:rsidR="00B237EF" w:rsidRPr="00980732">
        <w:rPr>
          <w:rStyle w:val="Emphasis"/>
          <w:rFonts w:ascii="Arial" w:hAnsi="Arial" w:cs="Arial"/>
          <w:b/>
          <w:i w:val="0"/>
        </w:rPr>
        <w:t xml:space="preserve">ncidents of </w:t>
      </w:r>
      <w:r w:rsidR="00D036DB">
        <w:rPr>
          <w:rStyle w:val="Emphasis"/>
          <w:rFonts w:ascii="Arial" w:hAnsi="Arial" w:cs="Arial"/>
          <w:b/>
          <w:i w:val="0"/>
        </w:rPr>
        <w:t xml:space="preserve">violence and </w:t>
      </w:r>
      <w:r w:rsidR="00B237EF" w:rsidRPr="00980732">
        <w:rPr>
          <w:rStyle w:val="Emphasis"/>
          <w:rFonts w:ascii="Arial" w:hAnsi="Arial" w:cs="Arial"/>
          <w:b/>
          <w:i w:val="0"/>
        </w:rPr>
        <w:t xml:space="preserve">abuse </w:t>
      </w:r>
      <w:r w:rsidR="00D036DB">
        <w:rPr>
          <w:rStyle w:val="Emphasis"/>
          <w:rFonts w:ascii="Arial" w:hAnsi="Arial" w:cs="Arial"/>
          <w:b/>
          <w:i w:val="0"/>
        </w:rPr>
        <w:t>against people with disability</w:t>
      </w:r>
      <w:r>
        <w:rPr>
          <w:rStyle w:val="Emphasis"/>
          <w:rFonts w:ascii="Arial" w:hAnsi="Arial" w:cs="Arial"/>
          <w:b/>
          <w:i w:val="0"/>
        </w:rPr>
        <w:t xml:space="preserve"> are frequently not investigated as crimes by police and lawyers, resulting in there being </w:t>
      </w:r>
      <w:r w:rsidR="00B237EF" w:rsidRPr="00980732">
        <w:rPr>
          <w:rStyle w:val="Emphasis"/>
          <w:rFonts w:ascii="Arial" w:hAnsi="Arial" w:cs="Arial"/>
          <w:b/>
          <w:i w:val="0"/>
        </w:rPr>
        <w:t>no mechanism for justice or redress.</w:t>
      </w:r>
      <w:r w:rsidR="00B237EF" w:rsidRPr="00EB6AE0">
        <w:rPr>
          <w:rStyle w:val="Emphasis"/>
          <w:rFonts w:ascii="Arial" w:hAnsi="Arial" w:cs="Arial"/>
          <w:b/>
        </w:rPr>
        <w:t xml:space="preserve"> </w:t>
      </w:r>
      <w:r w:rsidR="00B237EF" w:rsidRPr="00EB6AE0">
        <w:rPr>
          <w:rStyle w:val="Emphasis"/>
          <w:rFonts w:ascii="Arial" w:hAnsi="Arial" w:cs="Arial"/>
          <w:i w:val="0"/>
        </w:rPr>
        <w:t xml:space="preserve">This </w:t>
      </w:r>
      <w:r>
        <w:rPr>
          <w:rStyle w:val="Emphasis"/>
          <w:rFonts w:ascii="Arial" w:hAnsi="Arial" w:cs="Arial"/>
          <w:i w:val="0"/>
        </w:rPr>
        <w:t>is</w:t>
      </w:r>
      <w:r w:rsidR="00B237EF" w:rsidRPr="00EB6AE0">
        <w:rPr>
          <w:rStyle w:val="Emphasis"/>
          <w:rFonts w:ascii="Arial" w:hAnsi="Arial" w:cs="Arial"/>
          <w:i w:val="0"/>
        </w:rPr>
        <w:t xml:space="preserve"> due to attitudinal barriers including a lack of disability awareness and a failure to </w:t>
      </w:r>
      <w:r w:rsidR="00D036DB">
        <w:rPr>
          <w:rStyle w:val="Emphasis"/>
          <w:rFonts w:ascii="Arial" w:hAnsi="Arial" w:cs="Arial"/>
          <w:i w:val="0"/>
        </w:rPr>
        <w:t>acknowledge</w:t>
      </w:r>
      <w:r w:rsidR="00D036DB" w:rsidRPr="00EB6AE0">
        <w:rPr>
          <w:rStyle w:val="Emphasis"/>
          <w:rFonts w:ascii="Arial" w:hAnsi="Arial" w:cs="Arial"/>
          <w:i w:val="0"/>
        </w:rPr>
        <w:t xml:space="preserve"> </w:t>
      </w:r>
      <w:r w:rsidR="00B237EF" w:rsidRPr="00EB6AE0">
        <w:rPr>
          <w:rStyle w:val="Emphasis"/>
          <w:rFonts w:ascii="Arial" w:hAnsi="Arial" w:cs="Arial"/>
          <w:i w:val="0"/>
        </w:rPr>
        <w:t>people with dis</w:t>
      </w:r>
      <w:r>
        <w:rPr>
          <w:rStyle w:val="Emphasis"/>
          <w:rFonts w:ascii="Arial" w:hAnsi="Arial" w:cs="Arial"/>
          <w:i w:val="0"/>
        </w:rPr>
        <w:t>ability as reliable witnesses. P</w:t>
      </w:r>
      <w:r w:rsidR="00B237EF" w:rsidRPr="00EB6AE0">
        <w:rPr>
          <w:rStyle w:val="Emphasis"/>
          <w:rFonts w:ascii="Arial" w:hAnsi="Arial" w:cs="Arial"/>
          <w:i w:val="0"/>
        </w:rPr>
        <w:t>eople with disability are</w:t>
      </w:r>
      <w:r>
        <w:rPr>
          <w:rStyle w:val="Emphasis"/>
          <w:rFonts w:ascii="Arial" w:hAnsi="Arial" w:cs="Arial"/>
          <w:i w:val="0"/>
        </w:rPr>
        <w:t xml:space="preserve"> therefore</w:t>
      </w:r>
      <w:r w:rsidR="00B237EF" w:rsidRPr="00EB6AE0">
        <w:rPr>
          <w:rStyle w:val="Emphasis"/>
          <w:rFonts w:ascii="Arial" w:hAnsi="Arial" w:cs="Arial"/>
          <w:i w:val="0"/>
        </w:rPr>
        <w:t xml:space="preserve"> more likely to experience multiple episodes of abuse because perpetrators perceive little likelihood of sanction</w:t>
      </w:r>
      <w:r w:rsidR="00D036DB">
        <w:rPr>
          <w:rStyle w:val="Emphasis"/>
          <w:rFonts w:ascii="Arial" w:hAnsi="Arial" w:cs="Arial"/>
          <w:i w:val="0"/>
        </w:rPr>
        <w:t>,</w:t>
      </w:r>
      <w:r w:rsidR="00B237EF" w:rsidRPr="00EB6AE0">
        <w:rPr>
          <w:rStyle w:val="Emphasis"/>
          <w:rFonts w:ascii="Arial" w:hAnsi="Arial" w:cs="Arial"/>
          <w:i w:val="0"/>
        </w:rPr>
        <w:t xml:space="preserve"> </w:t>
      </w:r>
      <w:r w:rsidR="00B237EF" w:rsidRPr="005A50B0">
        <w:rPr>
          <w:rStyle w:val="Emphasis"/>
          <w:rFonts w:ascii="Arial" w:hAnsi="Arial" w:cs="Arial"/>
          <w:i w:val="0"/>
        </w:rPr>
        <w:t>police</w:t>
      </w:r>
      <w:r w:rsidR="00B237EF" w:rsidRPr="00EB6AE0">
        <w:rPr>
          <w:rStyle w:val="Emphasis"/>
          <w:rFonts w:ascii="Arial" w:hAnsi="Arial" w:cs="Arial"/>
          <w:i w:val="0"/>
        </w:rPr>
        <w:t xml:space="preserve"> intervention </w:t>
      </w:r>
      <w:r w:rsidR="00D036DB">
        <w:rPr>
          <w:rStyle w:val="Emphasis"/>
          <w:rFonts w:ascii="Arial" w:hAnsi="Arial" w:cs="Arial"/>
          <w:i w:val="0"/>
        </w:rPr>
        <w:t xml:space="preserve">or punishment </w:t>
      </w:r>
      <w:r w:rsidR="00B237EF" w:rsidRPr="00EB6AE0">
        <w:rPr>
          <w:rStyle w:val="Emphasis"/>
          <w:rFonts w:ascii="Arial" w:hAnsi="Arial" w:cs="Arial"/>
          <w:i w:val="0"/>
        </w:rPr>
        <w:t xml:space="preserve">if caught.  </w:t>
      </w:r>
    </w:p>
    <w:p w14:paraId="4F5A3371" w14:textId="54B01589" w:rsidR="00B4789D" w:rsidRPr="00B33336" w:rsidRDefault="00B237EF" w:rsidP="00B33336">
      <w:pPr>
        <w:jc w:val="both"/>
        <w:rPr>
          <w:sz w:val="24"/>
          <w:szCs w:val="24"/>
        </w:rPr>
      </w:pPr>
      <w:r w:rsidRPr="00B33336">
        <w:rPr>
          <w:rFonts w:ascii="Arial" w:hAnsi="Arial" w:cs="Arial"/>
          <w:b/>
          <w:bCs/>
          <w:sz w:val="24"/>
          <w:szCs w:val="24"/>
          <w:lang w:eastAsia="en-AU"/>
        </w:rPr>
        <w:t xml:space="preserve">People with </w:t>
      </w:r>
      <w:r w:rsidR="00582230" w:rsidRPr="00B33336">
        <w:rPr>
          <w:rFonts w:ascii="Arial" w:hAnsi="Arial" w:cs="Arial"/>
          <w:b/>
          <w:bCs/>
          <w:sz w:val="24"/>
          <w:szCs w:val="24"/>
          <w:lang w:eastAsia="en-AU"/>
        </w:rPr>
        <w:t>psychosocial and</w:t>
      </w:r>
      <w:r w:rsidR="00FC5011" w:rsidRPr="00B33336">
        <w:rPr>
          <w:rFonts w:ascii="Arial" w:hAnsi="Arial" w:cs="Arial"/>
          <w:b/>
          <w:bCs/>
          <w:sz w:val="24"/>
          <w:szCs w:val="24"/>
          <w:lang w:eastAsia="en-AU"/>
        </w:rPr>
        <w:t>/</w:t>
      </w:r>
      <w:r w:rsidR="00582230" w:rsidRPr="00B33336">
        <w:rPr>
          <w:rFonts w:ascii="Arial" w:hAnsi="Arial" w:cs="Arial"/>
          <w:b/>
          <w:bCs/>
          <w:sz w:val="24"/>
          <w:szCs w:val="24"/>
          <w:lang w:eastAsia="en-AU"/>
        </w:rPr>
        <w:t>or cognitive impairment</w:t>
      </w:r>
      <w:r w:rsidRPr="00B33336">
        <w:rPr>
          <w:rFonts w:ascii="Arial" w:hAnsi="Arial" w:cs="Arial"/>
          <w:b/>
          <w:bCs/>
          <w:sz w:val="24"/>
          <w:szCs w:val="24"/>
          <w:lang w:eastAsia="en-AU"/>
        </w:rPr>
        <w:t xml:space="preserve"> are vastly overrepresented in </w:t>
      </w:r>
      <w:r w:rsidR="00582230" w:rsidRPr="00B33336">
        <w:rPr>
          <w:rFonts w:ascii="Arial" w:hAnsi="Arial" w:cs="Arial"/>
          <w:b/>
          <w:bCs/>
          <w:sz w:val="24"/>
          <w:szCs w:val="24"/>
          <w:lang w:eastAsia="en-AU"/>
        </w:rPr>
        <w:t xml:space="preserve">the </w:t>
      </w:r>
      <w:r w:rsidRPr="00B33336">
        <w:rPr>
          <w:rFonts w:ascii="Arial" w:hAnsi="Arial" w:cs="Arial"/>
          <w:b/>
          <w:bCs/>
          <w:sz w:val="24"/>
          <w:szCs w:val="24"/>
          <w:lang w:eastAsia="en-AU"/>
        </w:rPr>
        <w:t xml:space="preserve">NSW </w:t>
      </w:r>
      <w:r w:rsidR="00717281" w:rsidRPr="00B33336">
        <w:rPr>
          <w:rFonts w:ascii="Arial" w:hAnsi="Arial" w:cs="Arial"/>
          <w:b/>
          <w:bCs/>
          <w:sz w:val="24"/>
          <w:szCs w:val="24"/>
          <w:lang w:eastAsia="en-AU"/>
        </w:rPr>
        <w:t xml:space="preserve">criminal justice system. </w:t>
      </w:r>
      <w:r w:rsidR="00717281" w:rsidRPr="00B33336">
        <w:rPr>
          <w:rFonts w:ascii="Arial" w:hAnsi="Arial" w:cs="Arial"/>
          <w:bCs/>
          <w:sz w:val="24"/>
          <w:szCs w:val="24"/>
          <w:lang w:eastAsia="en-AU"/>
        </w:rPr>
        <w:t xml:space="preserve">They are 3 </w:t>
      </w:r>
      <w:r w:rsidR="00582230" w:rsidRPr="00B33336">
        <w:rPr>
          <w:rFonts w:ascii="Arial" w:hAnsi="Arial" w:cs="Arial"/>
          <w:bCs/>
          <w:sz w:val="24"/>
          <w:szCs w:val="24"/>
          <w:lang w:eastAsia="en-AU"/>
        </w:rPr>
        <w:t>to 9 times more likely</w:t>
      </w:r>
      <w:r w:rsidR="00717281" w:rsidRPr="00B33336">
        <w:rPr>
          <w:rFonts w:ascii="Arial" w:hAnsi="Arial" w:cs="Arial"/>
          <w:bCs/>
          <w:sz w:val="24"/>
          <w:szCs w:val="24"/>
          <w:lang w:eastAsia="en-AU"/>
        </w:rPr>
        <w:t xml:space="preserve"> to be imprisoned than people without disabilit</w:t>
      </w:r>
      <w:r w:rsidR="000D71FB" w:rsidRPr="00B33336">
        <w:rPr>
          <w:rFonts w:ascii="Arial" w:hAnsi="Arial" w:cs="Arial"/>
          <w:bCs/>
          <w:sz w:val="24"/>
          <w:szCs w:val="24"/>
          <w:lang w:eastAsia="en-AU"/>
        </w:rPr>
        <w:t>y</w:t>
      </w:r>
      <w:r w:rsidR="00B33336" w:rsidRPr="00B33336">
        <w:rPr>
          <w:rFonts w:ascii="Arial" w:hAnsi="Arial" w:cs="Arial"/>
          <w:bCs/>
          <w:sz w:val="24"/>
          <w:szCs w:val="24"/>
          <w:lang w:eastAsia="en-AU"/>
        </w:rPr>
        <w:t xml:space="preserve"> and you</w:t>
      </w:r>
      <w:r w:rsidR="00534491">
        <w:rPr>
          <w:rFonts w:ascii="Arial" w:hAnsi="Arial" w:cs="Arial"/>
          <w:bCs/>
          <w:sz w:val="24"/>
          <w:szCs w:val="24"/>
          <w:lang w:eastAsia="en-AU"/>
        </w:rPr>
        <w:t>ng people with psychosocial and/</w:t>
      </w:r>
      <w:r w:rsidR="00B33336" w:rsidRPr="00B33336">
        <w:rPr>
          <w:rFonts w:ascii="Arial" w:hAnsi="Arial" w:cs="Arial"/>
          <w:bCs/>
          <w:sz w:val="24"/>
          <w:szCs w:val="24"/>
          <w:lang w:eastAsia="en-AU"/>
        </w:rPr>
        <w:t>or cognitive impairment in NSW are 6 times more likely to be in prison than their peers.</w:t>
      </w:r>
      <w:r w:rsidRPr="00B33336">
        <w:rPr>
          <w:rStyle w:val="FootnoteReference"/>
          <w:rFonts w:ascii="Arial" w:hAnsi="Arial" w:cs="Arial"/>
          <w:bCs/>
          <w:sz w:val="24"/>
          <w:szCs w:val="24"/>
          <w:lang w:eastAsia="en-AU"/>
        </w:rPr>
        <w:footnoteReference w:id="2"/>
      </w:r>
      <w:r w:rsidR="000D71FB" w:rsidRPr="00B33336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AA2D14" w:rsidRPr="00B33336">
        <w:rPr>
          <w:rFonts w:ascii="Arial" w:hAnsi="Arial" w:cs="Arial"/>
          <w:bCs/>
          <w:sz w:val="24"/>
          <w:szCs w:val="24"/>
          <w:lang w:eastAsia="en-AU"/>
        </w:rPr>
        <w:t>The criminal justice system should not be used as a management tool for people with di</w:t>
      </w:r>
      <w:r w:rsidR="005A50B0" w:rsidRPr="00B33336">
        <w:rPr>
          <w:rFonts w:ascii="Arial" w:hAnsi="Arial" w:cs="Arial"/>
          <w:bCs/>
          <w:sz w:val="24"/>
          <w:szCs w:val="24"/>
          <w:lang w:eastAsia="en-AU"/>
        </w:rPr>
        <w:t xml:space="preserve">sability in lieu of intensive early intervention and </w:t>
      </w:r>
      <w:r w:rsidR="00AA2D14" w:rsidRPr="00B33336">
        <w:rPr>
          <w:rFonts w:ascii="Arial" w:hAnsi="Arial" w:cs="Arial"/>
          <w:bCs/>
          <w:sz w:val="24"/>
          <w:szCs w:val="24"/>
          <w:lang w:eastAsia="en-AU"/>
        </w:rPr>
        <w:t>integrated supports and services.</w:t>
      </w:r>
    </w:p>
    <w:p w14:paraId="7093A481" w14:textId="07FD19C4" w:rsidR="00C136DA" w:rsidRPr="00A63478" w:rsidRDefault="007169A6" w:rsidP="00A6347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5D6F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982CE6">
        <w:rPr>
          <w:rFonts w:ascii="Arial" w:hAnsi="Arial" w:cs="Arial"/>
          <w:b/>
          <w:bCs/>
          <w:sz w:val="24"/>
          <w:szCs w:val="24"/>
        </w:rPr>
        <w:t>NSW Disability Inclusion Act 2014</w:t>
      </w:r>
      <w:r w:rsidRPr="004B5D6F">
        <w:rPr>
          <w:rFonts w:ascii="Arial" w:hAnsi="Arial" w:cs="Arial"/>
          <w:b/>
          <w:bCs/>
          <w:sz w:val="24"/>
          <w:szCs w:val="24"/>
        </w:rPr>
        <w:t xml:space="preserve"> requires disability service providers in NSW to report allegations of abuse, neglect and exploitation of people with disability to the NSW Ombudsman.</w:t>
      </w:r>
      <w:r w:rsidRPr="004B5D6F">
        <w:rPr>
          <w:rFonts w:ascii="Arial" w:hAnsi="Arial" w:cs="Arial"/>
          <w:bCs/>
          <w:sz w:val="24"/>
          <w:szCs w:val="24"/>
        </w:rPr>
        <w:t xml:space="preserve"> </w:t>
      </w:r>
      <w:r w:rsidRPr="008C5C80">
        <w:rPr>
          <w:rFonts w:ascii="Arial" w:hAnsi="Arial" w:cs="Arial"/>
          <w:bCs/>
          <w:sz w:val="24"/>
          <w:szCs w:val="24"/>
        </w:rPr>
        <w:t>This safeguard is limited to state funded services</w:t>
      </w:r>
      <w:r w:rsidRPr="004B5D6F">
        <w:rPr>
          <w:rFonts w:ascii="Arial" w:hAnsi="Arial" w:cs="Arial"/>
          <w:bCs/>
          <w:sz w:val="24"/>
          <w:szCs w:val="24"/>
        </w:rPr>
        <w:t xml:space="preserve"> that provide accommodation</w:t>
      </w:r>
      <w:r w:rsidR="00534491">
        <w:rPr>
          <w:rFonts w:ascii="Arial" w:hAnsi="Arial" w:cs="Arial"/>
          <w:bCs/>
          <w:sz w:val="24"/>
          <w:szCs w:val="24"/>
        </w:rPr>
        <w:t>,</w:t>
      </w:r>
      <w:r w:rsidRPr="004B5D6F">
        <w:rPr>
          <w:rFonts w:ascii="Arial" w:hAnsi="Arial" w:cs="Arial"/>
          <w:bCs/>
          <w:sz w:val="24"/>
          <w:szCs w:val="24"/>
        </w:rPr>
        <w:t xml:space="preserve"> and excludes new non-government services emerging under the NDIS. In addition, the NSW </w:t>
      </w:r>
      <w:r w:rsidRPr="004B5D6F">
        <w:rPr>
          <w:rFonts w:ascii="Arial" w:hAnsi="Arial" w:cs="Arial"/>
          <w:bCs/>
          <w:sz w:val="24"/>
          <w:szCs w:val="24"/>
        </w:rPr>
        <w:lastRenderedPageBreak/>
        <w:t xml:space="preserve">Ombudsman powers do not include sanctions, penalties and the pursuit of redress for people with disability. </w:t>
      </w:r>
    </w:p>
    <w:p w14:paraId="3DF5497F" w14:textId="4E5C2958" w:rsidR="00B1601D" w:rsidRDefault="00B1601D" w:rsidP="002F54CD">
      <w:pPr>
        <w:spacing w:after="0" w:line="240" w:lineRule="auto"/>
        <w:jc w:val="both"/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B1601D">
        <w:rPr>
          <w:rFonts w:ascii="Calibri" w:hAnsi="Calibri" w:cs="Arial"/>
          <w:b/>
          <w:color w:val="2E74B5" w:themeColor="accent1" w:themeShade="BF"/>
          <w:sz w:val="28"/>
          <w:szCs w:val="28"/>
        </w:rPr>
        <w:t>WHAT</w:t>
      </w:r>
      <w:r w:rsidR="007D57D8"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 IS NEEDED</w:t>
      </w:r>
    </w:p>
    <w:p w14:paraId="61A5F926" w14:textId="0A5091EE" w:rsidR="00E95248" w:rsidRDefault="008F7571" w:rsidP="00B1601D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71ACBBB3" wp14:editId="0AA9C827">
            <wp:extent cx="6562725" cy="187590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330" cy="19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04C3" w14:textId="5ED55344" w:rsidR="009474BB" w:rsidRPr="009474BB" w:rsidRDefault="00534491" w:rsidP="003E3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="009474BB">
        <w:rPr>
          <w:rFonts w:ascii="Arial" w:hAnsi="Arial" w:cs="Arial"/>
          <w:b/>
          <w:sz w:val="24"/>
          <w:szCs w:val="24"/>
        </w:rPr>
        <w:t xml:space="preserve"> independent inquiry into violence, abuse and neglect of people with disability in NSW supported accommodation and residential settings.  </w:t>
      </w:r>
      <w:r w:rsidR="009474BB" w:rsidRPr="009474BB">
        <w:rPr>
          <w:rFonts w:ascii="Arial" w:hAnsi="Arial" w:cs="Arial"/>
          <w:sz w:val="24"/>
          <w:szCs w:val="24"/>
        </w:rPr>
        <w:t>This inquiry should</w:t>
      </w:r>
      <w:r w:rsidR="009474BB">
        <w:rPr>
          <w:rFonts w:ascii="Arial" w:hAnsi="Arial" w:cs="Arial"/>
          <w:sz w:val="24"/>
          <w:szCs w:val="24"/>
        </w:rPr>
        <w:t xml:space="preserve"> address the gender and age-related dimensions of violence and abuse; investigate the adequacy of current NSW safeguard arrangements</w:t>
      </w:r>
      <w:r w:rsidR="009474BB" w:rsidRPr="009474BB">
        <w:rPr>
          <w:rFonts w:ascii="Arial" w:hAnsi="Arial" w:cs="Arial"/>
          <w:sz w:val="24"/>
          <w:szCs w:val="24"/>
        </w:rPr>
        <w:t>, such</w:t>
      </w:r>
      <w:r w:rsidR="009474BB">
        <w:rPr>
          <w:rFonts w:ascii="Arial" w:hAnsi="Arial" w:cs="Arial"/>
          <w:b/>
          <w:sz w:val="24"/>
          <w:szCs w:val="24"/>
        </w:rPr>
        <w:t xml:space="preserve"> </w:t>
      </w:r>
      <w:r w:rsidR="009474BB">
        <w:rPr>
          <w:rFonts w:ascii="Arial" w:hAnsi="Arial" w:cs="Arial"/>
          <w:sz w:val="24"/>
          <w:szCs w:val="24"/>
        </w:rPr>
        <w:t xml:space="preserve">as mandatory reporting to the NSW Ombudsman; </w:t>
      </w:r>
      <w:r>
        <w:rPr>
          <w:rFonts w:ascii="Arial" w:hAnsi="Arial" w:cs="Arial"/>
          <w:sz w:val="24"/>
          <w:szCs w:val="24"/>
        </w:rPr>
        <w:t xml:space="preserve">and assess </w:t>
      </w:r>
      <w:r w:rsidR="009474BB">
        <w:rPr>
          <w:rFonts w:ascii="Arial" w:hAnsi="Arial" w:cs="Arial"/>
          <w:sz w:val="24"/>
          <w:szCs w:val="24"/>
        </w:rPr>
        <w:t>the adequacy of disability, justice and other service system</w:t>
      </w:r>
      <w:r>
        <w:rPr>
          <w:rFonts w:ascii="Arial" w:hAnsi="Arial" w:cs="Arial"/>
          <w:sz w:val="24"/>
          <w:szCs w:val="24"/>
        </w:rPr>
        <w:t xml:space="preserve"> responses. The inquiry should also </w:t>
      </w:r>
      <w:r w:rsidR="009474BB">
        <w:rPr>
          <w:rFonts w:ascii="Arial" w:hAnsi="Arial" w:cs="Arial"/>
          <w:sz w:val="24"/>
          <w:szCs w:val="24"/>
        </w:rPr>
        <w:t xml:space="preserve">canvass integrated </w:t>
      </w:r>
      <w:r w:rsidR="009C1833">
        <w:rPr>
          <w:rFonts w:ascii="Arial" w:hAnsi="Arial" w:cs="Arial"/>
          <w:sz w:val="24"/>
          <w:szCs w:val="24"/>
        </w:rPr>
        <w:t xml:space="preserve">NSW </w:t>
      </w:r>
      <w:r w:rsidR="009474BB">
        <w:rPr>
          <w:rFonts w:ascii="Arial" w:hAnsi="Arial" w:cs="Arial"/>
          <w:sz w:val="24"/>
          <w:szCs w:val="24"/>
        </w:rPr>
        <w:t xml:space="preserve">protection and response mechanisms that can interface with </w:t>
      </w:r>
      <w:r w:rsidR="009C1833">
        <w:rPr>
          <w:rFonts w:ascii="Arial" w:hAnsi="Arial" w:cs="Arial"/>
          <w:sz w:val="24"/>
          <w:szCs w:val="24"/>
        </w:rPr>
        <w:t>the N</w:t>
      </w:r>
      <w:r w:rsidR="009474BB">
        <w:rPr>
          <w:rFonts w:ascii="Arial" w:hAnsi="Arial" w:cs="Arial"/>
          <w:sz w:val="24"/>
          <w:szCs w:val="24"/>
        </w:rPr>
        <w:t xml:space="preserve">DIS </w:t>
      </w:r>
      <w:r>
        <w:rPr>
          <w:rFonts w:ascii="Arial" w:hAnsi="Arial" w:cs="Arial"/>
          <w:sz w:val="24"/>
          <w:szCs w:val="24"/>
        </w:rPr>
        <w:t>Quality and Safeguards F</w:t>
      </w:r>
      <w:r w:rsidR="009C1833">
        <w:rPr>
          <w:rFonts w:ascii="Arial" w:hAnsi="Arial" w:cs="Arial"/>
          <w:sz w:val="24"/>
          <w:szCs w:val="24"/>
        </w:rPr>
        <w:t xml:space="preserve">ramework, as well as mainstream NSW violence prevention and protection frameworks.  </w:t>
      </w:r>
    </w:p>
    <w:p w14:paraId="6FF5D785" w14:textId="61AF2279" w:rsidR="00B237EF" w:rsidRPr="003E38F7" w:rsidRDefault="00B237EF" w:rsidP="003E38F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80732">
        <w:rPr>
          <w:rFonts w:ascii="Arial" w:eastAsia="Calibri" w:hAnsi="Arial" w:cs="Arial"/>
          <w:b/>
          <w:sz w:val="24"/>
          <w:szCs w:val="24"/>
        </w:rPr>
        <w:t>NSW domestic violence policies, including the It Stops Here reforms</w:t>
      </w:r>
      <w:r w:rsidR="00886091">
        <w:rPr>
          <w:rStyle w:val="FootnoteReference"/>
          <w:rFonts w:ascii="Arial" w:eastAsia="Calibri" w:hAnsi="Arial" w:cs="Arial"/>
          <w:b/>
          <w:sz w:val="24"/>
          <w:szCs w:val="24"/>
        </w:rPr>
        <w:footnoteReference w:id="3"/>
      </w:r>
      <w:r w:rsidRPr="00980732">
        <w:rPr>
          <w:rFonts w:ascii="Arial" w:eastAsia="Calibri" w:hAnsi="Arial" w:cs="Arial"/>
          <w:b/>
          <w:sz w:val="24"/>
          <w:szCs w:val="24"/>
        </w:rPr>
        <w:t xml:space="preserve">, must reflect the current legal definition of domestic violence, which recognises that perpetrators of domestic violence can include carers or co-residents of people with disability </w:t>
      </w:r>
      <w:r w:rsidR="00886091">
        <w:rPr>
          <w:rFonts w:ascii="Arial" w:eastAsia="Calibri" w:hAnsi="Arial" w:cs="Arial"/>
          <w:b/>
          <w:sz w:val="24"/>
          <w:szCs w:val="24"/>
        </w:rPr>
        <w:t xml:space="preserve">including those </w:t>
      </w:r>
      <w:r w:rsidRPr="00980732">
        <w:rPr>
          <w:rFonts w:ascii="Arial" w:eastAsia="Calibri" w:hAnsi="Arial" w:cs="Arial"/>
          <w:b/>
          <w:sz w:val="24"/>
          <w:szCs w:val="24"/>
        </w:rPr>
        <w:t xml:space="preserve">who live in </w:t>
      </w:r>
      <w:r w:rsidR="005A50B0">
        <w:rPr>
          <w:rFonts w:ascii="Arial" w:eastAsia="Calibri" w:hAnsi="Arial" w:cs="Arial"/>
          <w:b/>
          <w:sz w:val="24"/>
          <w:szCs w:val="24"/>
        </w:rPr>
        <w:t xml:space="preserve">supported accommodation </w:t>
      </w:r>
      <w:r w:rsidRPr="00980732">
        <w:rPr>
          <w:rFonts w:ascii="Arial" w:eastAsia="Calibri" w:hAnsi="Arial" w:cs="Arial"/>
          <w:b/>
          <w:sz w:val="24"/>
          <w:szCs w:val="24"/>
        </w:rPr>
        <w:t>settings.</w:t>
      </w:r>
      <w:r w:rsidRPr="00EB6AE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EB6AE0">
        <w:rPr>
          <w:rFonts w:ascii="Arial" w:eastAsia="Calibri" w:hAnsi="Arial" w:cs="Arial"/>
          <w:sz w:val="24"/>
          <w:szCs w:val="24"/>
        </w:rPr>
        <w:t>The hard-won changes to the current Crimes (Dome</w:t>
      </w:r>
      <w:r w:rsidR="003E38F7">
        <w:rPr>
          <w:rFonts w:ascii="Arial" w:eastAsia="Calibri" w:hAnsi="Arial" w:cs="Arial"/>
          <w:sz w:val="24"/>
          <w:szCs w:val="24"/>
        </w:rPr>
        <w:t xml:space="preserve">stic and Personal Violence) Act </w:t>
      </w:r>
      <w:r w:rsidRPr="00EB6AE0">
        <w:rPr>
          <w:rFonts w:ascii="Arial" w:eastAsia="Calibri" w:hAnsi="Arial" w:cs="Arial"/>
          <w:sz w:val="24"/>
          <w:szCs w:val="24"/>
        </w:rPr>
        <w:t>2007 recogni</w:t>
      </w:r>
      <w:r w:rsidR="00886091">
        <w:rPr>
          <w:rFonts w:ascii="Arial" w:eastAsia="Calibri" w:hAnsi="Arial" w:cs="Arial"/>
          <w:sz w:val="24"/>
          <w:szCs w:val="24"/>
        </w:rPr>
        <w:t>se</w:t>
      </w:r>
      <w:r w:rsidRPr="00EB6AE0">
        <w:rPr>
          <w:rFonts w:ascii="Arial" w:eastAsia="Calibri" w:hAnsi="Arial" w:cs="Arial"/>
          <w:sz w:val="24"/>
          <w:szCs w:val="24"/>
        </w:rPr>
        <w:t xml:space="preserve"> the range of settings in which domestic violence can </w:t>
      </w:r>
      <w:r w:rsidR="00886091">
        <w:rPr>
          <w:rFonts w:ascii="Arial" w:eastAsia="Calibri" w:hAnsi="Arial" w:cs="Arial"/>
          <w:sz w:val="24"/>
          <w:szCs w:val="24"/>
        </w:rPr>
        <w:t>occur</w:t>
      </w:r>
      <w:r w:rsidRPr="00EB6AE0">
        <w:rPr>
          <w:rFonts w:ascii="Arial" w:eastAsia="Calibri" w:hAnsi="Arial" w:cs="Arial"/>
          <w:sz w:val="24"/>
          <w:szCs w:val="24"/>
        </w:rPr>
        <w:t xml:space="preserve">, but the policies, agencies and services designed to support survivors do not reflect </w:t>
      </w:r>
      <w:r w:rsidR="00097FCB">
        <w:rPr>
          <w:rFonts w:ascii="Arial" w:eastAsia="Calibri" w:hAnsi="Arial" w:cs="Arial"/>
          <w:sz w:val="24"/>
          <w:szCs w:val="24"/>
        </w:rPr>
        <w:t xml:space="preserve">the lived experience of </w:t>
      </w:r>
      <w:r w:rsidRPr="00EB6AE0">
        <w:rPr>
          <w:rFonts w:ascii="Arial" w:eastAsia="Calibri" w:hAnsi="Arial" w:cs="Arial"/>
          <w:sz w:val="24"/>
          <w:szCs w:val="24"/>
        </w:rPr>
        <w:t xml:space="preserve">people with </w:t>
      </w:r>
      <w:r w:rsidR="00097FCB">
        <w:rPr>
          <w:rFonts w:ascii="Arial" w:eastAsia="Calibri" w:hAnsi="Arial" w:cs="Arial"/>
          <w:sz w:val="24"/>
          <w:szCs w:val="24"/>
        </w:rPr>
        <w:t xml:space="preserve">disability. </w:t>
      </w:r>
    </w:p>
    <w:p w14:paraId="5A97DC42" w14:textId="35BDC65A" w:rsidR="00B4789D" w:rsidRPr="003E38F7" w:rsidRDefault="00B4789D" w:rsidP="003E38F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Implementation of enhanced </w:t>
      </w:r>
      <w:r w:rsidRPr="00980732">
        <w:rPr>
          <w:rFonts w:ascii="Arial" w:hAnsi="Arial" w:cs="Arial"/>
          <w:b/>
          <w:color w:val="000000"/>
          <w:sz w:val="24"/>
          <w:szCs w:val="24"/>
        </w:rPr>
        <w:t xml:space="preserve">practice and prevention measures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Pr="00980732">
        <w:rPr>
          <w:rFonts w:ascii="Arial" w:hAnsi="Arial" w:cs="Arial"/>
          <w:b/>
          <w:color w:val="000000"/>
          <w:sz w:val="24"/>
          <w:szCs w:val="24"/>
        </w:rPr>
        <w:t xml:space="preserve">end violence and abuse </w:t>
      </w:r>
      <w:r w:rsidRPr="00980732">
        <w:rPr>
          <w:rFonts w:ascii="Arial" w:hAnsi="Arial" w:cs="Arial"/>
          <w:b/>
          <w:sz w:val="24"/>
          <w:szCs w:val="24"/>
        </w:rPr>
        <w:t xml:space="preserve">experienced by </w:t>
      </w:r>
      <w:r w:rsidRPr="00980732">
        <w:rPr>
          <w:rFonts w:ascii="Arial" w:hAnsi="Arial" w:cs="Arial"/>
          <w:b/>
          <w:color w:val="000000"/>
          <w:sz w:val="24"/>
          <w:szCs w:val="24"/>
        </w:rPr>
        <w:t>people with disability.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  The existing disability-specific measure in the ‘It Stops </w:t>
      </w:r>
      <w:r w:rsidR="003E38F7">
        <w:rPr>
          <w:rFonts w:ascii="Arial" w:hAnsi="Arial" w:cs="Arial"/>
          <w:color w:val="000000"/>
          <w:sz w:val="24"/>
          <w:szCs w:val="24"/>
        </w:rPr>
        <w:t xml:space="preserve">Here’ domestic violence reforms </w:t>
      </w:r>
      <w:r w:rsidR="00534491">
        <w:rPr>
          <w:rFonts w:ascii="Arial" w:hAnsi="Arial" w:cs="Arial"/>
          <w:color w:val="000000"/>
          <w:sz w:val="24"/>
          <w:szCs w:val="24"/>
        </w:rPr>
        <w:t xml:space="preserve">should be supplemented with 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disability awareness and responsiveness </w:t>
      </w:r>
      <w:r>
        <w:rPr>
          <w:rFonts w:ascii="Arial" w:hAnsi="Arial" w:cs="Arial"/>
          <w:color w:val="000000"/>
          <w:sz w:val="24"/>
          <w:szCs w:val="24"/>
        </w:rPr>
        <w:t>requirements.</w:t>
      </w:r>
      <w:r w:rsidR="005344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z w:val="24"/>
          <w:szCs w:val="24"/>
        </w:rPr>
        <w:t xml:space="preserve">should 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include disability awareness </w:t>
      </w:r>
      <w:r w:rsidR="00052630">
        <w:rPr>
          <w:rFonts w:ascii="Arial" w:hAnsi="Arial" w:cs="Arial"/>
          <w:color w:val="000000"/>
          <w:sz w:val="24"/>
          <w:szCs w:val="24"/>
        </w:rPr>
        <w:t xml:space="preserve">and skills </w:t>
      </w:r>
      <w:r>
        <w:rPr>
          <w:rFonts w:ascii="Arial" w:hAnsi="Arial" w:cs="Arial"/>
          <w:color w:val="000000"/>
          <w:sz w:val="24"/>
          <w:szCs w:val="24"/>
        </w:rPr>
        <w:t xml:space="preserve">training 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targeted at </w:t>
      </w:r>
      <w:r>
        <w:rPr>
          <w:rFonts w:ascii="Arial" w:hAnsi="Arial" w:cs="Arial"/>
          <w:color w:val="000000"/>
          <w:sz w:val="24"/>
          <w:szCs w:val="24"/>
        </w:rPr>
        <w:t>first responders to vict</w:t>
      </w:r>
      <w:r w:rsidR="00534491">
        <w:rPr>
          <w:rFonts w:ascii="Arial" w:hAnsi="Arial" w:cs="Arial"/>
          <w:color w:val="000000"/>
          <w:sz w:val="24"/>
          <w:szCs w:val="24"/>
        </w:rPr>
        <w:t xml:space="preserve">ims of violence such as police, </w:t>
      </w:r>
      <w:r w:rsidRPr="00EB6AE0">
        <w:rPr>
          <w:rFonts w:ascii="Arial" w:hAnsi="Arial" w:cs="Arial"/>
          <w:color w:val="000000"/>
          <w:sz w:val="24"/>
          <w:szCs w:val="24"/>
        </w:rPr>
        <w:t>community workers</w:t>
      </w:r>
      <w:r w:rsidR="003E38F7">
        <w:rPr>
          <w:rFonts w:ascii="Arial" w:hAnsi="Arial" w:cs="Arial"/>
          <w:color w:val="000000"/>
          <w:sz w:val="24"/>
          <w:szCs w:val="24"/>
        </w:rPr>
        <w:t xml:space="preserve"> and</w:t>
      </w:r>
      <w:r w:rsidR="00534491">
        <w:rPr>
          <w:rFonts w:ascii="Arial" w:hAnsi="Arial" w:cs="Arial"/>
          <w:color w:val="000000"/>
          <w:sz w:val="24"/>
          <w:szCs w:val="24"/>
        </w:rPr>
        <w:t xml:space="preserve"> those 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positioned to identify and assist victims of violence, </w:t>
      </w:r>
      <w:r w:rsidR="00E63A00">
        <w:rPr>
          <w:rFonts w:ascii="Arial" w:hAnsi="Arial" w:cs="Arial"/>
          <w:color w:val="000000"/>
          <w:sz w:val="24"/>
          <w:szCs w:val="24"/>
        </w:rPr>
        <w:t>including</w:t>
      </w:r>
      <w:r w:rsidRPr="00EB6AE0">
        <w:rPr>
          <w:rFonts w:ascii="Arial" w:hAnsi="Arial" w:cs="Arial"/>
          <w:color w:val="000000"/>
          <w:sz w:val="24"/>
          <w:szCs w:val="24"/>
        </w:rPr>
        <w:t xml:space="preserve"> social workers, carers, health care professionals and disability service staff</w:t>
      </w:r>
      <w:r w:rsidR="003E38F7">
        <w:rPr>
          <w:rFonts w:ascii="Arial" w:hAnsi="Arial" w:cs="Arial"/>
          <w:color w:val="000000"/>
          <w:sz w:val="24"/>
          <w:szCs w:val="24"/>
        </w:rPr>
        <w:t>; as well as</w:t>
      </w:r>
      <w:r>
        <w:rPr>
          <w:rFonts w:ascii="Arial" w:hAnsi="Arial" w:cs="Arial"/>
          <w:color w:val="000000"/>
          <w:sz w:val="24"/>
          <w:szCs w:val="24"/>
        </w:rPr>
        <w:t xml:space="preserve"> people </w:t>
      </w:r>
      <w:r w:rsidR="003E38F7">
        <w:rPr>
          <w:rFonts w:ascii="Arial" w:hAnsi="Arial" w:cs="Arial"/>
          <w:color w:val="000000"/>
          <w:sz w:val="24"/>
          <w:szCs w:val="24"/>
        </w:rPr>
        <w:t>working</w:t>
      </w:r>
      <w:r>
        <w:rPr>
          <w:rFonts w:ascii="Arial" w:hAnsi="Arial" w:cs="Arial"/>
          <w:color w:val="000000"/>
          <w:sz w:val="24"/>
          <w:szCs w:val="24"/>
        </w:rPr>
        <w:t xml:space="preserve"> in the criminal justice system. </w:t>
      </w:r>
    </w:p>
    <w:p w14:paraId="250FD3B1" w14:textId="4512EF7E" w:rsidR="00312C6A" w:rsidRDefault="00E63A00" w:rsidP="003E38F7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097FCB">
        <w:rPr>
          <w:rFonts w:ascii="Arial" w:hAnsi="Arial" w:cs="Arial"/>
          <w:b/>
        </w:rPr>
        <w:t xml:space="preserve">unding for </w:t>
      </w:r>
      <w:r w:rsidR="00B237EF" w:rsidRPr="00980732">
        <w:rPr>
          <w:rFonts w:ascii="Arial" w:hAnsi="Arial" w:cs="Arial"/>
          <w:b/>
        </w:rPr>
        <w:t xml:space="preserve">mainstream services </w:t>
      </w:r>
      <w:r w:rsidR="00052630">
        <w:rPr>
          <w:rFonts w:ascii="Arial" w:hAnsi="Arial" w:cs="Arial"/>
          <w:b/>
        </w:rPr>
        <w:t>that</w:t>
      </w:r>
      <w:r w:rsidR="00B237EF" w:rsidRPr="00980732">
        <w:rPr>
          <w:rFonts w:ascii="Arial" w:hAnsi="Arial" w:cs="Arial"/>
          <w:b/>
        </w:rPr>
        <w:t xml:space="preserve"> support people </w:t>
      </w:r>
      <w:r>
        <w:rPr>
          <w:rFonts w:ascii="Arial" w:hAnsi="Arial" w:cs="Arial"/>
          <w:b/>
        </w:rPr>
        <w:t>escaping</w:t>
      </w:r>
      <w:r w:rsidR="00052630">
        <w:rPr>
          <w:rFonts w:ascii="Arial" w:hAnsi="Arial" w:cs="Arial"/>
          <w:b/>
        </w:rPr>
        <w:t xml:space="preserve"> violence </w:t>
      </w:r>
      <w:r w:rsidR="00B237EF" w:rsidRPr="00980732">
        <w:rPr>
          <w:rFonts w:ascii="Arial" w:hAnsi="Arial" w:cs="Arial"/>
          <w:b/>
        </w:rPr>
        <w:t xml:space="preserve">should </w:t>
      </w:r>
      <w:r w:rsidR="00097FCB">
        <w:rPr>
          <w:rFonts w:ascii="Arial" w:hAnsi="Arial" w:cs="Arial"/>
          <w:b/>
        </w:rPr>
        <w:t xml:space="preserve">be contingent on the achievement of </w:t>
      </w:r>
      <w:r w:rsidR="00B237EF" w:rsidRPr="00980732">
        <w:rPr>
          <w:rFonts w:ascii="Arial" w:hAnsi="Arial" w:cs="Arial"/>
          <w:b/>
        </w:rPr>
        <w:t>performance indicators requir</w:t>
      </w:r>
      <w:r w:rsidR="00097FCB">
        <w:rPr>
          <w:rFonts w:ascii="Arial" w:hAnsi="Arial" w:cs="Arial"/>
          <w:b/>
        </w:rPr>
        <w:t>ing</w:t>
      </w:r>
      <w:r w:rsidR="00B237EF" w:rsidRPr="00980732">
        <w:rPr>
          <w:rFonts w:ascii="Arial" w:hAnsi="Arial" w:cs="Arial"/>
          <w:b/>
        </w:rPr>
        <w:t xml:space="preserve"> services and facilities to be</w:t>
      </w:r>
      <w:r w:rsidR="00097FCB">
        <w:rPr>
          <w:rFonts w:ascii="Arial" w:hAnsi="Arial" w:cs="Arial"/>
          <w:b/>
        </w:rPr>
        <w:t xml:space="preserve"> </w:t>
      </w:r>
      <w:r w:rsidR="00B237EF" w:rsidRPr="00980732">
        <w:rPr>
          <w:rFonts w:ascii="Arial" w:hAnsi="Arial" w:cs="Arial"/>
          <w:b/>
        </w:rPr>
        <w:t>accessible and inclusive</w:t>
      </w:r>
      <w:r>
        <w:rPr>
          <w:rFonts w:ascii="Arial" w:hAnsi="Arial" w:cs="Arial"/>
          <w:b/>
        </w:rPr>
        <w:t xml:space="preserve"> of people with disability</w:t>
      </w:r>
      <w:r w:rsidR="00B237EF" w:rsidRPr="00EB6AE0">
        <w:rPr>
          <w:rFonts w:ascii="Arial" w:hAnsi="Arial" w:cs="Arial"/>
          <w:b/>
          <w:i/>
        </w:rPr>
        <w:t xml:space="preserve">. </w:t>
      </w:r>
      <w:r w:rsidR="00B237EF" w:rsidRPr="00EB6AE0">
        <w:rPr>
          <w:rFonts w:ascii="Arial" w:hAnsi="Arial" w:cs="Arial"/>
        </w:rPr>
        <w:t>Domestic violence services must address physical, informational, communication, procedural and attitudinal accessibility in order to ensure equality of access for people with disability.</w:t>
      </w:r>
    </w:p>
    <w:p w14:paraId="2980DFA4" w14:textId="027A9536" w:rsidR="00B237EF" w:rsidRPr="003E38F7" w:rsidRDefault="0032000C" w:rsidP="003E38F7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</w:rPr>
      </w:pPr>
      <w:r w:rsidRPr="00AE163F">
        <w:rPr>
          <w:rFonts w:ascii="Arial" w:hAnsi="Arial" w:cs="Arial"/>
          <w:b/>
        </w:rPr>
        <w:t>Develop</w:t>
      </w:r>
      <w:r w:rsidR="00330202">
        <w:rPr>
          <w:rFonts w:ascii="Arial" w:hAnsi="Arial" w:cs="Arial"/>
          <w:b/>
        </w:rPr>
        <w:t>ment of</w:t>
      </w:r>
      <w:r w:rsidRPr="00AE163F">
        <w:rPr>
          <w:rFonts w:ascii="Arial" w:hAnsi="Arial" w:cs="Arial"/>
          <w:b/>
        </w:rPr>
        <w:t xml:space="preserve"> a </w:t>
      </w:r>
      <w:r w:rsidR="00A0570F" w:rsidRPr="00AE163F">
        <w:rPr>
          <w:rFonts w:ascii="Arial" w:hAnsi="Arial" w:cs="Arial"/>
          <w:b/>
        </w:rPr>
        <w:t xml:space="preserve">NSW </w:t>
      </w:r>
      <w:r w:rsidR="00312C6A" w:rsidRPr="00AE163F">
        <w:rPr>
          <w:rFonts w:ascii="Arial" w:hAnsi="Arial" w:cs="Arial"/>
          <w:b/>
        </w:rPr>
        <w:t xml:space="preserve">Disability </w:t>
      </w:r>
      <w:r w:rsidR="00A0570F" w:rsidRPr="00AE163F">
        <w:rPr>
          <w:rFonts w:ascii="Arial" w:hAnsi="Arial" w:cs="Arial"/>
          <w:b/>
        </w:rPr>
        <w:t xml:space="preserve">Justice </w:t>
      </w:r>
      <w:r w:rsidR="0085649F" w:rsidRPr="00AE163F">
        <w:rPr>
          <w:rFonts w:ascii="Arial" w:hAnsi="Arial" w:cs="Arial"/>
          <w:b/>
        </w:rPr>
        <w:t>Strategy</w:t>
      </w:r>
      <w:r w:rsidR="00AE163F" w:rsidRPr="00AE163F">
        <w:rPr>
          <w:rStyle w:val="FootnoteReference"/>
          <w:rFonts w:ascii="Arial" w:hAnsi="Arial" w:cs="Arial"/>
          <w:b/>
        </w:rPr>
        <w:footnoteReference w:id="4"/>
      </w:r>
      <w:r w:rsidR="00AE163F" w:rsidRPr="00AE163F">
        <w:rPr>
          <w:rFonts w:ascii="Arial" w:hAnsi="Arial" w:cs="Arial"/>
          <w:b/>
        </w:rPr>
        <w:t xml:space="preserve"> </w:t>
      </w:r>
      <w:r w:rsidR="00F21261">
        <w:rPr>
          <w:rFonts w:ascii="Arial" w:hAnsi="Arial" w:cs="Arial"/>
          <w:b/>
        </w:rPr>
        <w:t>to identify and</w:t>
      </w:r>
      <w:r w:rsidR="00AE163F" w:rsidRPr="00AE163F">
        <w:rPr>
          <w:rFonts w:ascii="Arial" w:hAnsi="Arial" w:cs="Arial"/>
          <w:b/>
        </w:rPr>
        <w:t xml:space="preserve"> address the legislative, policy and practice barriers</w:t>
      </w:r>
      <w:r w:rsidR="00AE163F">
        <w:rPr>
          <w:rFonts w:ascii="Arial" w:hAnsi="Arial" w:cs="Arial"/>
        </w:rPr>
        <w:t xml:space="preserve"> that prevent people with disability from seeking and achieving redress through the justice system; and that address the over-representation of people with disability in the criminal justice system.  </w:t>
      </w:r>
    </w:p>
    <w:p w14:paraId="25B25308" w14:textId="3359002B" w:rsidR="003C6626" w:rsidRPr="00BC1ECA" w:rsidRDefault="00B237EF" w:rsidP="00E34835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n-AU"/>
        </w:rPr>
      </w:pPr>
      <w:r w:rsidRPr="00980732">
        <w:rPr>
          <w:rFonts w:ascii="Arial" w:hAnsi="Arial" w:cs="Arial"/>
          <w:b/>
          <w:bCs/>
          <w:sz w:val="24"/>
          <w:szCs w:val="24"/>
          <w:lang w:eastAsia="en-AU"/>
        </w:rPr>
        <w:t xml:space="preserve">Holistic prevention programs are needed to </w:t>
      </w:r>
      <w:r w:rsidR="00097FCB">
        <w:rPr>
          <w:rFonts w:ascii="Arial" w:hAnsi="Arial" w:cs="Arial"/>
          <w:b/>
          <w:bCs/>
          <w:sz w:val="24"/>
          <w:szCs w:val="24"/>
          <w:lang w:eastAsia="en-AU"/>
        </w:rPr>
        <w:t>end</w:t>
      </w:r>
      <w:r w:rsidR="00097FCB" w:rsidRPr="00980732"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Pr="00980732">
        <w:rPr>
          <w:rFonts w:ascii="Arial" w:hAnsi="Arial" w:cs="Arial"/>
          <w:b/>
          <w:bCs/>
          <w:sz w:val="24"/>
          <w:szCs w:val="24"/>
          <w:lang w:eastAsia="en-AU"/>
        </w:rPr>
        <w:t xml:space="preserve">the incarceration of people with </w:t>
      </w:r>
      <w:r w:rsidR="00AE163F">
        <w:rPr>
          <w:rFonts w:ascii="Arial" w:hAnsi="Arial" w:cs="Arial"/>
          <w:b/>
          <w:bCs/>
          <w:sz w:val="24"/>
          <w:szCs w:val="24"/>
          <w:lang w:eastAsia="en-AU"/>
        </w:rPr>
        <w:t xml:space="preserve">disability. </w:t>
      </w:r>
      <w:r w:rsidR="008C72E6" w:rsidRPr="000D71FB">
        <w:rPr>
          <w:rFonts w:ascii="Arial" w:hAnsi="Arial" w:cs="Arial"/>
          <w:bCs/>
          <w:sz w:val="24"/>
          <w:szCs w:val="24"/>
          <w:lang w:eastAsia="en-AU"/>
        </w:rPr>
        <w:t xml:space="preserve"> P</w:t>
      </w:r>
      <w:r w:rsidR="00B4789D" w:rsidRPr="008C72E6">
        <w:rPr>
          <w:rFonts w:ascii="Arial" w:hAnsi="Arial" w:cs="Arial"/>
          <w:bCs/>
          <w:sz w:val="24"/>
          <w:szCs w:val="24"/>
          <w:lang w:eastAsia="en-AU"/>
        </w:rPr>
        <w:t>rograms</w:t>
      </w:r>
      <w:r w:rsidR="00B4789D">
        <w:rPr>
          <w:rFonts w:ascii="Arial" w:hAnsi="Arial" w:cs="Arial"/>
          <w:bCs/>
          <w:sz w:val="24"/>
          <w:szCs w:val="24"/>
          <w:lang w:eastAsia="en-AU"/>
        </w:rPr>
        <w:t xml:space="preserve"> which 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address </w:t>
      </w:r>
      <w:r w:rsidR="00097FCB">
        <w:rPr>
          <w:rFonts w:ascii="Arial" w:hAnsi="Arial" w:cs="Arial"/>
          <w:bCs/>
          <w:sz w:val="24"/>
          <w:szCs w:val="24"/>
          <w:lang w:eastAsia="en-AU"/>
        </w:rPr>
        <w:t xml:space="preserve">underlying issues such as a lack of 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early intervention and </w:t>
      </w:r>
      <w:r w:rsidR="00E34835">
        <w:rPr>
          <w:rFonts w:ascii="Arial" w:hAnsi="Arial" w:cs="Arial"/>
          <w:bCs/>
          <w:sz w:val="24"/>
          <w:szCs w:val="24"/>
          <w:lang w:eastAsia="en-AU"/>
        </w:rPr>
        <w:t xml:space="preserve">adequate and </w:t>
      </w:r>
      <w:r w:rsidR="00097FCB">
        <w:rPr>
          <w:rFonts w:ascii="Arial" w:hAnsi="Arial" w:cs="Arial"/>
          <w:bCs/>
          <w:sz w:val="24"/>
          <w:szCs w:val="24"/>
          <w:lang w:eastAsia="en-AU"/>
        </w:rPr>
        <w:t>appropriate specialist disability support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972395">
        <w:rPr>
          <w:rFonts w:ascii="Arial" w:hAnsi="Arial" w:cs="Arial"/>
          <w:bCs/>
          <w:sz w:val="24"/>
          <w:szCs w:val="24"/>
          <w:lang w:eastAsia="en-AU"/>
        </w:rPr>
        <w:t xml:space="preserve">provision 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>must be developed and implemented in tandem with the</w:t>
      </w:r>
      <w:r w:rsidR="00972395">
        <w:rPr>
          <w:rFonts w:ascii="Arial" w:hAnsi="Arial" w:cs="Arial"/>
          <w:bCs/>
          <w:sz w:val="24"/>
          <w:szCs w:val="24"/>
          <w:lang w:eastAsia="en-AU"/>
        </w:rPr>
        <w:t xml:space="preserve"> NDIS. </w:t>
      </w:r>
      <w:r w:rsidR="00781FCA">
        <w:rPr>
          <w:rFonts w:ascii="Arial" w:hAnsi="Arial" w:cs="Arial"/>
          <w:bCs/>
          <w:sz w:val="24"/>
          <w:szCs w:val="24"/>
          <w:lang w:eastAsia="en-AU"/>
        </w:rPr>
        <w:t xml:space="preserve">The NSW Government must ensure </w:t>
      </w:r>
      <w:r w:rsidR="00E34835">
        <w:rPr>
          <w:rFonts w:ascii="Arial" w:hAnsi="Arial" w:cs="Arial"/>
          <w:bCs/>
          <w:sz w:val="24"/>
          <w:szCs w:val="24"/>
          <w:lang w:eastAsia="en-AU"/>
        </w:rPr>
        <w:t>the</w:t>
      </w:r>
      <w:r w:rsidR="00B4789D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781FCA">
        <w:rPr>
          <w:rFonts w:ascii="Arial" w:hAnsi="Arial" w:cs="Arial"/>
          <w:bCs/>
          <w:sz w:val="24"/>
          <w:szCs w:val="24"/>
          <w:lang w:eastAsia="en-AU"/>
        </w:rPr>
        <w:t>Criminal Justice Program (CJP)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E34835">
        <w:rPr>
          <w:rFonts w:ascii="Arial" w:hAnsi="Arial" w:cs="Arial"/>
          <w:bCs/>
          <w:sz w:val="24"/>
          <w:szCs w:val="24"/>
          <w:lang w:eastAsia="en-AU"/>
        </w:rPr>
        <w:t xml:space="preserve">continues 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and that the support requirements of </w:t>
      </w:r>
      <w:r w:rsidR="003E38F7">
        <w:rPr>
          <w:rFonts w:ascii="Arial" w:hAnsi="Arial" w:cs="Arial"/>
          <w:bCs/>
          <w:sz w:val="24"/>
          <w:szCs w:val="24"/>
          <w:lang w:eastAsia="en-AU"/>
        </w:rPr>
        <w:t>people with disability are met</w:t>
      </w:r>
      <w:r w:rsidR="00972395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regardless of NDIS </w:t>
      </w:r>
      <w:r w:rsidR="003E38F7">
        <w:rPr>
          <w:rFonts w:ascii="Arial" w:hAnsi="Arial" w:cs="Arial"/>
          <w:bCs/>
          <w:sz w:val="24"/>
          <w:szCs w:val="24"/>
          <w:lang w:eastAsia="en-AU"/>
        </w:rPr>
        <w:t>eligibility.</w:t>
      </w:r>
      <w:r w:rsidR="008C72E6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BC1ECA">
        <w:rPr>
          <w:rFonts w:ascii="Calibri" w:hAnsi="Calibri" w:cs="Arial"/>
          <w:b/>
          <w:noProof/>
          <w:sz w:val="24"/>
          <w:szCs w:val="24"/>
          <w:lang w:eastAsia="en-AU"/>
        </w:rPr>
        <w:drawing>
          <wp:inline distT="0" distB="0" distL="0" distR="0" wp14:anchorId="628BCFCA" wp14:editId="107355E3">
            <wp:extent cx="6598920" cy="1390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98920" cy="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626" w:rsidRPr="00BC1ECA" w:rsidSect="00B25FAA">
      <w:footerReference w:type="default" r:id="rId11"/>
      <w:pgSz w:w="11906" w:h="16838" w:code="9"/>
      <w:pgMar w:top="794" w:right="720" w:bottom="72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9EE5" w14:textId="77777777" w:rsidR="00383C1B" w:rsidRDefault="00383C1B" w:rsidP="00B237EF">
      <w:pPr>
        <w:spacing w:after="0" w:line="240" w:lineRule="auto"/>
      </w:pPr>
      <w:r>
        <w:separator/>
      </w:r>
    </w:p>
  </w:endnote>
  <w:endnote w:type="continuationSeparator" w:id="0">
    <w:p w14:paraId="70DAA50C" w14:textId="77777777" w:rsidR="00383C1B" w:rsidRDefault="00383C1B" w:rsidP="00B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1F50" w14:textId="77777777" w:rsidR="003E38F7" w:rsidRPr="002F54CD" w:rsidRDefault="003E38F7" w:rsidP="00B237EF">
    <w:pPr>
      <w:spacing w:after="0" w:line="240" w:lineRule="auto"/>
      <w:jc w:val="both"/>
      <w:rPr>
        <w:rFonts w:ascii="Calibri" w:hAnsi="Calibri" w:cs="Arial"/>
        <w:b/>
        <w:sz w:val="24"/>
        <w:szCs w:val="24"/>
      </w:rPr>
    </w:pPr>
  </w:p>
  <w:p w14:paraId="1E433494" w14:textId="77777777" w:rsidR="003E38F7" w:rsidRDefault="003E38F7" w:rsidP="00D517B3">
    <w:pPr>
      <w:spacing w:after="0" w:line="240" w:lineRule="auto"/>
      <w:rPr>
        <w:rFonts w:ascii="Calibri" w:hAnsi="Calibri" w:cs="Arial"/>
        <w:sz w:val="24"/>
        <w:szCs w:val="24"/>
      </w:rPr>
    </w:pPr>
  </w:p>
  <w:p w14:paraId="16A27A75" w14:textId="77777777" w:rsidR="00FF315A" w:rsidRPr="00430E4C" w:rsidRDefault="00FF315A" w:rsidP="00FF315A">
    <w:pPr>
      <w:spacing w:after="0" w:line="240" w:lineRule="auto"/>
      <w:rPr>
        <w:rFonts w:ascii="Calibri" w:hAnsi="Calibri" w:cs="Arial"/>
        <w:b/>
        <w:sz w:val="24"/>
        <w:szCs w:val="24"/>
      </w:rPr>
    </w:pPr>
    <w:r w:rsidRPr="00430E4C">
      <w:rPr>
        <w:rFonts w:ascii="Calibri" w:hAnsi="Calibri" w:cs="Arial"/>
        <w:b/>
        <w:sz w:val="24"/>
        <w:szCs w:val="24"/>
      </w:rPr>
      <w:t>#NS</w:t>
    </w:r>
    <w:r>
      <w:rPr>
        <w:rFonts w:ascii="Calibri" w:hAnsi="Calibri" w:cs="Arial"/>
        <w:b/>
        <w:sz w:val="24"/>
        <w:szCs w:val="24"/>
      </w:rPr>
      <w:t xml:space="preserve">WELECTION2015  </w:t>
    </w:r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#PWDA     </w:t>
    </w:r>
    <w:r w:rsidRPr="00430E4C">
      <w:rPr>
        <w:rFonts w:ascii="Calibri" w:hAnsi="Calibri" w:cs="Arial"/>
        <w:b/>
        <w:sz w:val="24"/>
        <w:szCs w:val="24"/>
      </w:rPr>
      <w:t xml:space="preserve"> </w:t>
    </w:r>
    <w:hyperlink r:id="rId1" w:history="1">
      <w:r w:rsidRPr="00430E4C">
        <w:rPr>
          <w:rStyle w:val="Hyperlink"/>
          <w:rFonts w:ascii="Calibri" w:hAnsi="Calibri" w:cs="Arial"/>
          <w:b/>
          <w:color w:val="auto"/>
          <w:sz w:val="24"/>
          <w:szCs w:val="24"/>
        </w:rPr>
        <w:t>www.pwda.org.au</w:t>
      </w:r>
    </w:hyperlink>
    <w:r w:rsidRPr="00430E4C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 xml:space="preserve">     Kate Finch, Government Relations </w:t>
    </w:r>
    <w:r w:rsidRPr="00430E4C">
      <w:rPr>
        <w:rFonts w:ascii="Calibri" w:hAnsi="Calibri" w:cs="Arial"/>
        <w:b/>
        <w:sz w:val="24"/>
        <w:szCs w:val="24"/>
      </w:rPr>
      <w:t>02 9370 3100</w:t>
    </w:r>
  </w:p>
  <w:p w14:paraId="52E7AF52" w14:textId="77777777" w:rsidR="003E38F7" w:rsidRDefault="003E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4A4B" w14:textId="77777777" w:rsidR="00383C1B" w:rsidRDefault="00383C1B" w:rsidP="00B237EF">
      <w:pPr>
        <w:spacing w:after="0" w:line="240" w:lineRule="auto"/>
      </w:pPr>
      <w:r>
        <w:separator/>
      </w:r>
    </w:p>
  </w:footnote>
  <w:footnote w:type="continuationSeparator" w:id="0">
    <w:p w14:paraId="3EB1D921" w14:textId="77777777" w:rsidR="00383C1B" w:rsidRDefault="00383C1B" w:rsidP="00B237EF">
      <w:pPr>
        <w:spacing w:after="0" w:line="240" w:lineRule="auto"/>
      </w:pPr>
      <w:r>
        <w:continuationSeparator/>
      </w:r>
    </w:p>
  </w:footnote>
  <w:footnote w:id="1">
    <w:p w14:paraId="756E58A6" w14:textId="379FC811" w:rsidR="003E38F7" w:rsidRPr="003E38F7" w:rsidRDefault="003E38F7">
      <w:pPr>
        <w:pStyle w:val="FootnoteText"/>
        <w:rPr>
          <w:rFonts w:ascii="Arial" w:hAnsi="Arial" w:cs="Arial"/>
          <w:sz w:val="18"/>
          <w:szCs w:val="18"/>
        </w:rPr>
      </w:pPr>
      <w:r w:rsidRPr="003E38F7">
        <w:rPr>
          <w:rStyle w:val="FootnoteReference"/>
          <w:rFonts w:ascii="Arial" w:hAnsi="Arial" w:cs="Arial"/>
          <w:sz w:val="18"/>
          <w:szCs w:val="18"/>
        </w:rPr>
        <w:footnoteRef/>
      </w:r>
      <w:r w:rsidRPr="003E38F7">
        <w:rPr>
          <w:rFonts w:ascii="Arial" w:hAnsi="Arial" w:cs="Arial"/>
          <w:sz w:val="18"/>
          <w:szCs w:val="18"/>
        </w:rPr>
        <w:t xml:space="preserve"> “Women in NSW 2014” Women NSW, Family and Community Services, p. 164</w:t>
      </w:r>
    </w:p>
  </w:footnote>
  <w:footnote w:id="2">
    <w:p w14:paraId="574A76CA" w14:textId="27D59800" w:rsidR="003E38F7" w:rsidRPr="00330202" w:rsidRDefault="003E38F7" w:rsidP="00B237EF">
      <w:pPr>
        <w:pStyle w:val="FootnoteText"/>
        <w:rPr>
          <w:rFonts w:ascii="Arial" w:hAnsi="Arial" w:cs="Arial"/>
        </w:rPr>
      </w:pPr>
      <w:r w:rsidRPr="003E38F7">
        <w:rPr>
          <w:rStyle w:val="FootnoteReference"/>
          <w:rFonts w:ascii="Arial" w:hAnsi="Arial" w:cs="Arial"/>
          <w:sz w:val="18"/>
          <w:szCs w:val="18"/>
        </w:rPr>
        <w:footnoteRef/>
      </w:r>
      <w:r w:rsidRPr="003E38F7">
        <w:rPr>
          <w:rFonts w:ascii="Arial" w:hAnsi="Arial" w:cs="Arial"/>
          <w:sz w:val="18"/>
          <w:szCs w:val="18"/>
        </w:rPr>
        <w:t xml:space="preserve"> Eileen Baldry, Ruth </w:t>
      </w:r>
      <w:proofErr w:type="spellStart"/>
      <w:r w:rsidRPr="003E38F7">
        <w:rPr>
          <w:rFonts w:ascii="Arial" w:hAnsi="Arial" w:cs="Arial"/>
          <w:sz w:val="18"/>
          <w:szCs w:val="18"/>
        </w:rPr>
        <w:t>McCausland</w:t>
      </w:r>
      <w:proofErr w:type="spellEnd"/>
      <w:r w:rsidRPr="003E38F7">
        <w:rPr>
          <w:rFonts w:ascii="Arial" w:hAnsi="Arial" w:cs="Arial"/>
          <w:sz w:val="18"/>
          <w:szCs w:val="18"/>
        </w:rPr>
        <w:t xml:space="preserve">, Sarah Johnson, Anna Cohen (2013) “People with mental health disorders and cognitive impairment in the criminal justice system: Cost benefit analysis of early support and diversion”.  </w:t>
      </w:r>
      <w:hyperlink r:id="rId1" w:history="1">
        <w:r w:rsidRPr="003E38F7">
          <w:rPr>
            <w:rStyle w:val="Hyperlink"/>
            <w:rFonts w:ascii="Arial" w:hAnsi="Arial" w:cs="Arial"/>
            <w:sz w:val="18"/>
            <w:szCs w:val="18"/>
          </w:rPr>
          <w:t>http://apo.org.au/research/people-mental-health-disorders-and-cognitive-impairment-criminal-justice-system-cost</w:t>
        </w:r>
      </w:hyperlink>
      <w:r w:rsidRPr="00330202">
        <w:rPr>
          <w:rFonts w:ascii="Arial" w:hAnsi="Arial" w:cs="Arial"/>
        </w:rPr>
        <w:t xml:space="preserve"> </w:t>
      </w:r>
    </w:p>
  </w:footnote>
  <w:footnote w:id="3">
    <w:p w14:paraId="5610B3BE" w14:textId="200881F8" w:rsidR="003E38F7" w:rsidRPr="003E38F7" w:rsidRDefault="003E38F7">
      <w:pPr>
        <w:pStyle w:val="FootnoteText"/>
        <w:rPr>
          <w:rFonts w:ascii="Arial" w:hAnsi="Arial" w:cs="Arial"/>
          <w:sz w:val="18"/>
          <w:szCs w:val="18"/>
        </w:rPr>
      </w:pPr>
      <w:r w:rsidRPr="003E38F7">
        <w:rPr>
          <w:rStyle w:val="FootnoteReference"/>
          <w:rFonts w:ascii="Arial" w:hAnsi="Arial" w:cs="Arial"/>
          <w:sz w:val="18"/>
          <w:szCs w:val="18"/>
        </w:rPr>
        <w:footnoteRef/>
      </w:r>
      <w:r w:rsidRPr="003E38F7">
        <w:rPr>
          <w:rFonts w:ascii="Arial" w:hAnsi="Arial" w:cs="Arial"/>
          <w:sz w:val="18"/>
          <w:szCs w:val="18"/>
        </w:rPr>
        <w:t xml:space="preserve"> http://www.women.nsw.gov.au/violence_prevention/Domestic_and_Family_Violence_Reforms</w:t>
      </w:r>
    </w:p>
  </w:footnote>
  <w:footnote w:id="4">
    <w:p w14:paraId="5B9BAC05" w14:textId="029C8F18" w:rsidR="003E38F7" w:rsidRPr="00AE163F" w:rsidRDefault="003E38F7">
      <w:pPr>
        <w:pStyle w:val="FootnoteText"/>
        <w:rPr>
          <w:lang w:val="en-US"/>
        </w:rPr>
      </w:pPr>
      <w:r w:rsidRPr="003E38F7">
        <w:rPr>
          <w:rStyle w:val="FootnoteReference"/>
          <w:rFonts w:ascii="Arial" w:hAnsi="Arial" w:cs="Arial"/>
          <w:sz w:val="18"/>
          <w:szCs w:val="18"/>
        </w:rPr>
        <w:footnoteRef/>
      </w:r>
      <w:r w:rsidRPr="003E38F7">
        <w:rPr>
          <w:rFonts w:ascii="Arial" w:hAnsi="Arial" w:cs="Arial"/>
          <w:sz w:val="18"/>
          <w:szCs w:val="18"/>
        </w:rPr>
        <w:t xml:space="preserve"> </w:t>
      </w:r>
      <w:r w:rsidRPr="003E38F7">
        <w:rPr>
          <w:rFonts w:ascii="Arial" w:hAnsi="Arial" w:cs="Arial"/>
          <w:sz w:val="18"/>
          <w:szCs w:val="18"/>
          <w:lang w:val="en-US"/>
        </w:rPr>
        <w:t xml:space="preserve">For more information, see </w:t>
      </w:r>
      <w:hyperlink r:id="rId2" w:history="1">
        <w:r w:rsidRPr="003E38F7">
          <w:rPr>
            <w:rStyle w:val="Hyperlink"/>
            <w:rFonts w:ascii="Arial" w:hAnsi="Arial" w:cs="Arial"/>
            <w:i/>
            <w:sz w:val="18"/>
            <w:szCs w:val="18"/>
            <w:lang w:val="en-US"/>
          </w:rPr>
          <w:t>Equal before the law – Towards Disability Justice Strategies</w:t>
        </w:r>
      </w:hyperlink>
      <w:r w:rsidRPr="003E38F7">
        <w:rPr>
          <w:rFonts w:ascii="Arial" w:hAnsi="Arial" w:cs="Arial"/>
          <w:sz w:val="18"/>
          <w:szCs w:val="18"/>
          <w:lang w:val="en-US"/>
        </w:rPr>
        <w:t xml:space="preserve"> (2014) Australian Human Rights Commission.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2"/>
    <w:rsid w:val="00052630"/>
    <w:rsid w:val="00097FCB"/>
    <w:rsid w:val="000D71FB"/>
    <w:rsid w:val="00110A23"/>
    <w:rsid w:val="001462C5"/>
    <w:rsid w:val="00171EAA"/>
    <w:rsid w:val="001729C9"/>
    <w:rsid w:val="001C4882"/>
    <w:rsid w:val="001F111A"/>
    <w:rsid w:val="00261878"/>
    <w:rsid w:val="002F081D"/>
    <w:rsid w:val="002F54CD"/>
    <w:rsid w:val="00312C6A"/>
    <w:rsid w:val="0032000C"/>
    <w:rsid w:val="00330202"/>
    <w:rsid w:val="00344733"/>
    <w:rsid w:val="00383C1B"/>
    <w:rsid w:val="003C6626"/>
    <w:rsid w:val="003D3101"/>
    <w:rsid w:val="003E38F7"/>
    <w:rsid w:val="00425753"/>
    <w:rsid w:val="00497ACC"/>
    <w:rsid w:val="004A5E53"/>
    <w:rsid w:val="00507E6D"/>
    <w:rsid w:val="00523F5C"/>
    <w:rsid w:val="00534491"/>
    <w:rsid w:val="00582230"/>
    <w:rsid w:val="005A09B8"/>
    <w:rsid w:val="005A50B0"/>
    <w:rsid w:val="005F1E5A"/>
    <w:rsid w:val="00635F33"/>
    <w:rsid w:val="00656F32"/>
    <w:rsid w:val="00683A8A"/>
    <w:rsid w:val="00685270"/>
    <w:rsid w:val="007169A6"/>
    <w:rsid w:val="00717281"/>
    <w:rsid w:val="00766EEB"/>
    <w:rsid w:val="00781FCA"/>
    <w:rsid w:val="007D57D8"/>
    <w:rsid w:val="008019F1"/>
    <w:rsid w:val="0085649F"/>
    <w:rsid w:val="00886091"/>
    <w:rsid w:val="008B3679"/>
    <w:rsid w:val="008C72E6"/>
    <w:rsid w:val="008D5F22"/>
    <w:rsid w:val="008F1096"/>
    <w:rsid w:val="008F6888"/>
    <w:rsid w:val="008F7571"/>
    <w:rsid w:val="009474BB"/>
    <w:rsid w:val="00950032"/>
    <w:rsid w:val="009653CE"/>
    <w:rsid w:val="00972395"/>
    <w:rsid w:val="0097436D"/>
    <w:rsid w:val="00980732"/>
    <w:rsid w:val="009B5936"/>
    <w:rsid w:val="009C1833"/>
    <w:rsid w:val="00A0570F"/>
    <w:rsid w:val="00A63478"/>
    <w:rsid w:val="00A6509A"/>
    <w:rsid w:val="00A933AD"/>
    <w:rsid w:val="00AA2D14"/>
    <w:rsid w:val="00AE163F"/>
    <w:rsid w:val="00B1601D"/>
    <w:rsid w:val="00B237EF"/>
    <w:rsid w:val="00B2478F"/>
    <w:rsid w:val="00B25FAA"/>
    <w:rsid w:val="00B33336"/>
    <w:rsid w:val="00B44A70"/>
    <w:rsid w:val="00B4789D"/>
    <w:rsid w:val="00B557C3"/>
    <w:rsid w:val="00B806E4"/>
    <w:rsid w:val="00BC1ECA"/>
    <w:rsid w:val="00BD70E3"/>
    <w:rsid w:val="00C136DA"/>
    <w:rsid w:val="00C343CD"/>
    <w:rsid w:val="00CC4335"/>
    <w:rsid w:val="00D036DB"/>
    <w:rsid w:val="00D517B3"/>
    <w:rsid w:val="00DE2E8E"/>
    <w:rsid w:val="00E34835"/>
    <w:rsid w:val="00E432A8"/>
    <w:rsid w:val="00E63A00"/>
    <w:rsid w:val="00E95248"/>
    <w:rsid w:val="00EB6AE0"/>
    <w:rsid w:val="00EF0792"/>
    <w:rsid w:val="00F01820"/>
    <w:rsid w:val="00F21261"/>
    <w:rsid w:val="00F5281D"/>
    <w:rsid w:val="00F673E8"/>
    <w:rsid w:val="00F92B26"/>
    <w:rsid w:val="00FB2389"/>
    <w:rsid w:val="00FC5011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610"/>
  <w15:docId w15:val="{9A3A21C8-52C3-4412-BC09-739D267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B237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7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EF"/>
  </w:style>
  <w:style w:type="paragraph" w:styleId="Footer">
    <w:name w:val="footer"/>
    <w:basedOn w:val="Normal"/>
    <w:link w:val="FooterChar"/>
    <w:uiPriority w:val="99"/>
    <w:unhideWhenUsed/>
    <w:rsid w:val="00B2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EF"/>
  </w:style>
  <w:style w:type="paragraph" w:styleId="NormalWeb">
    <w:name w:val="Normal (Web)"/>
    <w:basedOn w:val="Normal"/>
    <w:uiPriority w:val="99"/>
    <w:unhideWhenUsed/>
    <w:rsid w:val="00B2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5936"/>
    <w:pPr>
      <w:spacing w:after="0" w:line="240" w:lineRule="auto"/>
    </w:pPr>
  </w:style>
  <w:style w:type="character" w:customStyle="1" w:styleId="wsite-text2">
    <w:name w:val="wsite-text2"/>
    <w:basedOn w:val="DefaultParagraphFont"/>
    <w:rsid w:val="0094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da.org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umanrights.gov.au/publications/equal-law" TargetMode="External"/><Relationship Id="rId1" Type="http://schemas.openxmlformats.org/officeDocument/2006/relationships/hyperlink" Target="http://apo.org.au/research/people-mental-health-disorders-and-cognitive-impairment-criminal-justice-system-c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9CBE-9353-4910-84D2-86FCB55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El Gibbs</cp:lastModifiedBy>
  <cp:revision>2</cp:revision>
  <cp:lastPrinted>2015-02-05T07:17:00Z</cp:lastPrinted>
  <dcterms:created xsi:type="dcterms:W3CDTF">2018-10-22T03:51:00Z</dcterms:created>
  <dcterms:modified xsi:type="dcterms:W3CDTF">2018-10-22T03:51:00Z</dcterms:modified>
</cp:coreProperties>
</file>