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B33" w:rsidRPr="00264517" w:rsidRDefault="00DF2E4A" w:rsidP="00607502">
      <w:pPr>
        <w:jc w:val="both"/>
      </w:pPr>
      <w:bookmarkStart w:id="0" w:name="_GoBack"/>
      <w:bookmarkEnd w:id="0"/>
      <w:r w:rsidRPr="00264517">
        <w:softHyphen/>
      </w:r>
    </w:p>
    <w:p w:rsidR="00123343" w:rsidRPr="00264517" w:rsidRDefault="00D808BC" w:rsidP="00607502">
      <w:pPr>
        <w:jc w:val="both"/>
      </w:pPr>
      <w:r w:rsidRPr="00264517">
        <w:tab/>
      </w:r>
    </w:p>
    <w:p w:rsidR="0080272B" w:rsidRPr="00264517" w:rsidRDefault="0080272B" w:rsidP="00607502">
      <w:pPr>
        <w:jc w:val="both"/>
      </w:pPr>
    </w:p>
    <w:p w:rsidR="0080272B" w:rsidRPr="00264517" w:rsidRDefault="0080272B" w:rsidP="00607502">
      <w:pPr>
        <w:jc w:val="both"/>
      </w:pPr>
    </w:p>
    <w:p w:rsidR="0080272B" w:rsidRPr="00264517" w:rsidRDefault="0080272B" w:rsidP="00607502">
      <w:pPr>
        <w:jc w:val="both"/>
      </w:pPr>
    </w:p>
    <w:p w:rsidR="00D808BC" w:rsidRPr="00264517" w:rsidRDefault="00D808BC" w:rsidP="00607502">
      <w:pPr>
        <w:jc w:val="both"/>
      </w:pPr>
    </w:p>
    <w:p w:rsidR="00D808BC" w:rsidRPr="00264517" w:rsidRDefault="00D808BC" w:rsidP="00607502">
      <w:pPr>
        <w:jc w:val="both"/>
      </w:pPr>
    </w:p>
    <w:p w:rsidR="00D808BC" w:rsidRPr="00264517" w:rsidRDefault="00D808BC" w:rsidP="00607502">
      <w:pPr>
        <w:jc w:val="both"/>
      </w:pPr>
    </w:p>
    <w:p w:rsidR="00DF7602" w:rsidRPr="00264517" w:rsidRDefault="00DF7602" w:rsidP="00607502">
      <w:pPr>
        <w:jc w:val="both"/>
      </w:pPr>
    </w:p>
    <w:p w:rsidR="00264517" w:rsidRDefault="00264517" w:rsidP="00607502">
      <w:pPr>
        <w:jc w:val="both"/>
      </w:pPr>
    </w:p>
    <w:p w:rsidR="00264517" w:rsidRDefault="00264517" w:rsidP="00607502">
      <w:pPr>
        <w:jc w:val="both"/>
      </w:pPr>
    </w:p>
    <w:p w:rsidR="00264517" w:rsidRDefault="00264517" w:rsidP="00607502">
      <w:pPr>
        <w:jc w:val="both"/>
      </w:pPr>
    </w:p>
    <w:p w:rsidR="00264517" w:rsidRDefault="00264517" w:rsidP="00607502">
      <w:pPr>
        <w:jc w:val="both"/>
      </w:pPr>
    </w:p>
    <w:p w:rsidR="00DF7602" w:rsidRPr="00264517" w:rsidRDefault="00DE0BDA" w:rsidP="00607502">
      <w:pPr>
        <w:jc w:val="both"/>
      </w:pPr>
      <w:r w:rsidRPr="00264517">
        <w:t>Justice Policy</w:t>
      </w:r>
    </w:p>
    <w:p w:rsidR="00DE0BDA" w:rsidRPr="00264517" w:rsidRDefault="00DE0BDA" w:rsidP="00607502">
      <w:pPr>
        <w:jc w:val="both"/>
      </w:pPr>
      <w:r w:rsidRPr="00264517">
        <w:t>Department of Justice</w:t>
      </w:r>
    </w:p>
    <w:p w:rsidR="00DE0BDA" w:rsidRPr="00264517" w:rsidRDefault="00DE0BDA" w:rsidP="00607502">
      <w:pPr>
        <w:jc w:val="both"/>
      </w:pPr>
      <w:r w:rsidRPr="00264517">
        <w:t>GPO Box 6</w:t>
      </w:r>
    </w:p>
    <w:p w:rsidR="00DE0BDA" w:rsidRDefault="00DE0BDA" w:rsidP="00607502">
      <w:pPr>
        <w:jc w:val="both"/>
      </w:pPr>
      <w:r w:rsidRPr="00264517">
        <w:t>Sydney NSW 2001</w:t>
      </w:r>
    </w:p>
    <w:p w:rsidR="00CB7DE1" w:rsidRPr="00264517" w:rsidRDefault="00CB7DE1" w:rsidP="00607502">
      <w:pPr>
        <w:jc w:val="both"/>
      </w:pPr>
      <w:r>
        <w:t xml:space="preserve">By email: </w:t>
      </w:r>
      <w:hyperlink r:id="rId8" w:history="1">
        <w:r w:rsidRPr="009B1D6D">
          <w:rPr>
            <w:rStyle w:val="Hyperlink"/>
            <w:rFonts w:ascii="Helvetica" w:hAnsi="Helvetica"/>
            <w:shd w:val="clear" w:color="auto" w:fill="F4F6F7"/>
          </w:rPr>
          <w:t>justice.policy@agd.nsw.gov.au</w:t>
        </w:r>
      </w:hyperlink>
      <w:r>
        <w:rPr>
          <w:rFonts w:ascii="Helvetica" w:hAnsi="Helvetica"/>
          <w:color w:val="333333"/>
          <w:shd w:val="clear" w:color="auto" w:fill="F4F6F7"/>
        </w:rPr>
        <w:t xml:space="preserve"> </w:t>
      </w:r>
    </w:p>
    <w:p w:rsidR="00264517" w:rsidRDefault="00264517" w:rsidP="00607502">
      <w:pPr>
        <w:jc w:val="both"/>
      </w:pPr>
    </w:p>
    <w:p w:rsidR="00D808BC" w:rsidRPr="00264517" w:rsidRDefault="00DE0BDA" w:rsidP="00607502">
      <w:r w:rsidRPr="00264517">
        <w:t>10 March 2015</w:t>
      </w:r>
    </w:p>
    <w:p w:rsidR="00DE3E0A" w:rsidRPr="00264517" w:rsidRDefault="00DE3E0A" w:rsidP="00607502">
      <w:pPr>
        <w:jc w:val="both"/>
      </w:pPr>
    </w:p>
    <w:p w:rsidR="00DE3E0A" w:rsidRPr="00264517" w:rsidRDefault="00DE3E0A" w:rsidP="00607502">
      <w:pPr>
        <w:jc w:val="both"/>
      </w:pPr>
    </w:p>
    <w:p w:rsidR="0080272B" w:rsidRPr="00264517" w:rsidRDefault="00DF7602" w:rsidP="00607502">
      <w:pPr>
        <w:jc w:val="both"/>
      </w:pPr>
      <w:r w:rsidRPr="00264517">
        <w:t>Dear S</w:t>
      </w:r>
      <w:r w:rsidR="00DE0BDA" w:rsidRPr="00264517">
        <w:t>ir/Madam</w:t>
      </w:r>
    </w:p>
    <w:p w:rsidR="00DF7602" w:rsidRPr="00264517" w:rsidRDefault="00DF7602" w:rsidP="00607502">
      <w:pPr>
        <w:jc w:val="both"/>
      </w:pPr>
    </w:p>
    <w:p w:rsidR="00F72F6D" w:rsidRDefault="00F72F6D" w:rsidP="00607502">
      <w:pPr>
        <w:jc w:val="both"/>
      </w:pPr>
    </w:p>
    <w:p w:rsidR="00DE0BDA" w:rsidRPr="00607502" w:rsidRDefault="00D01C42" w:rsidP="00607502">
      <w:pPr>
        <w:jc w:val="both"/>
        <w:rPr>
          <w:b/>
        </w:rPr>
      </w:pPr>
      <w:r>
        <w:rPr>
          <w:b/>
        </w:rPr>
        <w:t>Re: Limitation P</w:t>
      </w:r>
      <w:r w:rsidR="00DE0BDA" w:rsidRPr="00607502">
        <w:rPr>
          <w:b/>
        </w:rPr>
        <w:t xml:space="preserve">eriods in </w:t>
      </w:r>
      <w:r>
        <w:rPr>
          <w:b/>
        </w:rPr>
        <w:t>Civil Cl</w:t>
      </w:r>
      <w:r w:rsidR="00DE0BDA" w:rsidRPr="00607502">
        <w:rPr>
          <w:b/>
        </w:rPr>
        <w:t xml:space="preserve">aims for </w:t>
      </w:r>
      <w:r>
        <w:rPr>
          <w:b/>
        </w:rPr>
        <w:t>Child Sexual A</w:t>
      </w:r>
      <w:r w:rsidR="00DE0BDA" w:rsidRPr="00607502">
        <w:rPr>
          <w:b/>
        </w:rPr>
        <w:t>buse</w:t>
      </w:r>
    </w:p>
    <w:p w:rsidR="00DE0BDA" w:rsidRPr="00264517" w:rsidRDefault="00DE0BDA" w:rsidP="00607502">
      <w:pPr>
        <w:jc w:val="both"/>
      </w:pPr>
    </w:p>
    <w:p w:rsidR="007809A8" w:rsidRDefault="00F72F6D" w:rsidP="00607502">
      <w:pPr>
        <w:jc w:val="both"/>
        <w:rPr>
          <w:rFonts w:eastAsiaTheme="minorHAnsi"/>
          <w:lang w:eastAsia="en-US"/>
        </w:rPr>
      </w:pPr>
      <w:r w:rsidRPr="00DE0BDA">
        <w:rPr>
          <w:rFonts w:eastAsiaTheme="minorHAnsi"/>
          <w:color w:val="000000"/>
          <w:lang w:eastAsia="en-US"/>
        </w:rPr>
        <w:t>People with Disability Australia</w:t>
      </w:r>
      <w:r w:rsidRPr="00DE0BDA">
        <w:rPr>
          <w:rFonts w:eastAsiaTheme="minorHAnsi"/>
          <w:lang w:eastAsia="en-US"/>
        </w:rPr>
        <w:t xml:space="preserve"> </w:t>
      </w:r>
      <w:r>
        <w:rPr>
          <w:rFonts w:eastAsiaTheme="minorHAnsi"/>
          <w:lang w:eastAsia="en-US"/>
        </w:rPr>
        <w:t xml:space="preserve">welcomes the opportunity to respond to the </w:t>
      </w:r>
      <w:r w:rsidR="00FB3B88" w:rsidRPr="00DE0BDA">
        <w:rPr>
          <w:rFonts w:eastAsiaTheme="minorHAnsi"/>
          <w:lang w:eastAsia="en-US"/>
        </w:rPr>
        <w:t xml:space="preserve">NSW Department of Justice </w:t>
      </w:r>
      <w:r>
        <w:rPr>
          <w:rFonts w:eastAsiaTheme="minorHAnsi"/>
          <w:lang w:eastAsia="en-US"/>
        </w:rPr>
        <w:t xml:space="preserve">Discussion Paper regarding options to change the limitation periods in civil claims for cases concerning child sexual abuse. </w:t>
      </w:r>
    </w:p>
    <w:p w:rsidR="00607502" w:rsidRDefault="00607502" w:rsidP="00607502">
      <w:pPr>
        <w:jc w:val="both"/>
        <w:rPr>
          <w:rFonts w:eastAsiaTheme="minorHAnsi"/>
          <w:lang w:eastAsia="en-US"/>
        </w:rPr>
      </w:pPr>
    </w:p>
    <w:p w:rsidR="007809A8" w:rsidRDefault="00F72F6D" w:rsidP="00607502">
      <w:pPr>
        <w:jc w:val="both"/>
        <w:rPr>
          <w:rFonts w:eastAsiaTheme="minorHAnsi"/>
          <w:lang w:eastAsia="en-US"/>
        </w:rPr>
      </w:pPr>
      <w:r>
        <w:rPr>
          <w:rFonts w:eastAsiaTheme="minorHAnsi"/>
          <w:lang w:eastAsia="en-US"/>
        </w:rPr>
        <w:t xml:space="preserve">In doing so we commend the NSW Government for taking a national leadership role in responding </w:t>
      </w:r>
      <w:r w:rsidR="007809A8">
        <w:rPr>
          <w:rFonts w:eastAsiaTheme="minorHAnsi"/>
          <w:lang w:eastAsia="en-US"/>
        </w:rPr>
        <w:t xml:space="preserve">proactively </w:t>
      </w:r>
      <w:r>
        <w:rPr>
          <w:rFonts w:eastAsiaTheme="minorHAnsi"/>
          <w:lang w:eastAsia="en-US"/>
        </w:rPr>
        <w:t xml:space="preserve">to findings of the Royal Commission into Institutional Responses to Child Sexual Abuse as they relate to the effectiveness of the civil law to provide redress for survivors of child sexual abuse. </w:t>
      </w:r>
    </w:p>
    <w:p w:rsidR="00607502" w:rsidRDefault="00607502" w:rsidP="00607502">
      <w:pPr>
        <w:jc w:val="both"/>
        <w:rPr>
          <w:rFonts w:eastAsiaTheme="minorHAnsi"/>
          <w:lang w:eastAsia="en-US"/>
        </w:rPr>
      </w:pPr>
    </w:p>
    <w:p w:rsidR="00F72F6D" w:rsidRDefault="00F72F6D" w:rsidP="00607502">
      <w:pPr>
        <w:jc w:val="both"/>
        <w:rPr>
          <w:rFonts w:eastAsiaTheme="minorHAnsi"/>
          <w:lang w:eastAsia="en-US"/>
        </w:rPr>
      </w:pPr>
      <w:r>
        <w:rPr>
          <w:rFonts w:eastAsiaTheme="minorHAnsi"/>
          <w:lang w:eastAsia="en-US"/>
        </w:rPr>
        <w:t xml:space="preserve">We encourage the NSW Government to strengthen this progressive approach by </w:t>
      </w:r>
      <w:r w:rsidR="007809A8">
        <w:rPr>
          <w:rFonts w:eastAsiaTheme="minorHAnsi"/>
          <w:lang w:eastAsia="en-US"/>
        </w:rPr>
        <w:t>developing and implementing a Disability Justice Strategy to address other legislative impediments to accessing justice faced by survivors of sexual abuse, particularly those with disability.  The South Australian Disability Justice Plan 2014-17 provides a useful model in this regard</w:t>
      </w:r>
      <w:r w:rsidR="007809A8">
        <w:rPr>
          <w:rStyle w:val="FootnoteReference"/>
          <w:rFonts w:eastAsiaTheme="minorHAnsi"/>
          <w:lang w:eastAsia="en-US"/>
        </w:rPr>
        <w:footnoteReference w:id="1"/>
      </w:r>
      <w:r w:rsidR="007809A8">
        <w:rPr>
          <w:rFonts w:eastAsiaTheme="minorHAnsi"/>
          <w:lang w:eastAsia="en-US"/>
        </w:rPr>
        <w:t xml:space="preserve"> and we would welcome the opportunity to discuss this further. </w:t>
      </w:r>
    </w:p>
    <w:p w:rsidR="00607502" w:rsidRDefault="00607502" w:rsidP="00607502">
      <w:pPr>
        <w:jc w:val="both"/>
        <w:rPr>
          <w:rFonts w:eastAsiaTheme="minorHAnsi"/>
          <w:lang w:eastAsia="en-US"/>
        </w:rPr>
      </w:pPr>
    </w:p>
    <w:p w:rsidR="00864976" w:rsidRDefault="007809A8" w:rsidP="00607502">
      <w:pPr>
        <w:jc w:val="both"/>
        <w:rPr>
          <w:rFonts w:eastAsiaTheme="minorHAnsi"/>
          <w:lang w:eastAsia="en-US"/>
        </w:rPr>
      </w:pPr>
      <w:r>
        <w:rPr>
          <w:rFonts w:eastAsiaTheme="minorHAnsi"/>
          <w:lang w:eastAsia="en-US"/>
        </w:rPr>
        <w:t xml:space="preserve">For the reasons elaborated upon below, </w:t>
      </w:r>
      <w:r w:rsidRPr="00607502">
        <w:rPr>
          <w:rFonts w:eastAsiaTheme="minorHAnsi"/>
          <w:b/>
          <w:lang w:eastAsia="en-US"/>
        </w:rPr>
        <w:t>PWDA supports Option A of the Discussion Paper – removal of limitation periods in claims for child sexual abuse</w:t>
      </w:r>
      <w:r w:rsidR="00864976" w:rsidRPr="00607502">
        <w:rPr>
          <w:rFonts w:eastAsiaTheme="minorHAnsi"/>
          <w:b/>
          <w:lang w:eastAsia="en-US"/>
        </w:rPr>
        <w:t>.</w:t>
      </w:r>
      <w:r w:rsidR="00864976">
        <w:rPr>
          <w:rFonts w:eastAsiaTheme="minorHAnsi"/>
          <w:lang w:eastAsia="en-US"/>
        </w:rPr>
        <w:t xml:space="preserve"> We also support </w:t>
      </w:r>
      <w:r w:rsidRPr="00864976">
        <w:rPr>
          <w:rFonts w:eastAsiaTheme="minorHAnsi"/>
          <w:lang w:eastAsia="en-US"/>
        </w:rPr>
        <w:t xml:space="preserve">retrospectivity </w:t>
      </w:r>
      <w:r w:rsidR="00864976" w:rsidRPr="00864976">
        <w:rPr>
          <w:rFonts w:eastAsiaTheme="minorHAnsi"/>
          <w:lang w:eastAsia="en-US"/>
        </w:rPr>
        <w:t xml:space="preserve">in claims </w:t>
      </w:r>
      <w:r w:rsidR="00FB3B88">
        <w:rPr>
          <w:rFonts w:eastAsiaTheme="minorHAnsi"/>
          <w:lang w:eastAsia="en-US"/>
        </w:rPr>
        <w:t>following any amendment to the Limitation Act 1969 (NSW).</w:t>
      </w:r>
    </w:p>
    <w:p w:rsidR="00CB7DE1" w:rsidRDefault="00CB7DE1" w:rsidP="00607502">
      <w:pPr>
        <w:jc w:val="both"/>
        <w:rPr>
          <w:rFonts w:eastAsiaTheme="minorHAnsi"/>
          <w:lang w:eastAsia="en-US"/>
        </w:rPr>
      </w:pPr>
    </w:p>
    <w:p w:rsidR="00264517" w:rsidRDefault="00264517" w:rsidP="00607502">
      <w:pPr>
        <w:jc w:val="both"/>
        <w:rPr>
          <w:rFonts w:eastAsiaTheme="minorHAnsi"/>
          <w:color w:val="000000"/>
          <w:u w:val="single"/>
          <w:lang w:eastAsia="en-US"/>
        </w:rPr>
      </w:pPr>
      <w:r w:rsidRPr="00264517">
        <w:rPr>
          <w:rFonts w:eastAsiaTheme="minorHAnsi"/>
          <w:color w:val="000000"/>
          <w:u w:val="single"/>
          <w:lang w:eastAsia="en-US"/>
        </w:rPr>
        <w:lastRenderedPageBreak/>
        <w:t xml:space="preserve">About People with Disability Australia </w:t>
      </w:r>
    </w:p>
    <w:p w:rsidR="00607502" w:rsidRPr="00864976" w:rsidRDefault="00607502" w:rsidP="00607502">
      <w:pPr>
        <w:jc w:val="both"/>
        <w:rPr>
          <w:rFonts w:eastAsiaTheme="minorHAnsi"/>
          <w:lang w:eastAsia="en-US"/>
        </w:rPr>
      </w:pPr>
    </w:p>
    <w:p w:rsidR="00DE0BDA" w:rsidRDefault="00DE0BDA" w:rsidP="00607502">
      <w:pPr>
        <w:jc w:val="both"/>
        <w:rPr>
          <w:rFonts w:eastAsiaTheme="minorHAnsi"/>
          <w:color w:val="000000"/>
          <w:lang w:eastAsia="en-US"/>
        </w:rPr>
      </w:pPr>
      <w:r w:rsidRPr="00DE0BDA">
        <w:rPr>
          <w:rFonts w:eastAsiaTheme="minorHAnsi"/>
          <w:color w:val="000000"/>
          <w:lang w:eastAsia="en-US"/>
        </w:rPr>
        <w:t>People with Disability Australia</w:t>
      </w:r>
      <w:r w:rsidR="00264517">
        <w:rPr>
          <w:rFonts w:eastAsiaTheme="minorHAnsi"/>
          <w:color w:val="000000"/>
          <w:lang w:eastAsia="en-US"/>
        </w:rPr>
        <w:t xml:space="preserve"> (PWDA)</w:t>
      </w:r>
      <w:r w:rsidRPr="00DE0BDA">
        <w:rPr>
          <w:rFonts w:eastAsiaTheme="minorHAnsi"/>
          <w:color w:val="000000"/>
          <w:lang w:eastAsia="en-US"/>
        </w:rPr>
        <w:t xml:space="preserve"> is </w:t>
      </w:r>
      <w:r w:rsidR="00264517">
        <w:rPr>
          <w:rFonts w:eastAsiaTheme="minorHAnsi"/>
          <w:color w:val="000000"/>
          <w:lang w:eastAsia="en-US"/>
        </w:rPr>
        <w:t xml:space="preserve">a NSW and national peak </w:t>
      </w:r>
      <w:r w:rsidRPr="00DE0BDA">
        <w:rPr>
          <w:rFonts w:eastAsiaTheme="minorHAnsi"/>
          <w:color w:val="000000"/>
          <w:lang w:eastAsia="en-US"/>
        </w:rPr>
        <w:t xml:space="preserve">disability rights, advocacy and representative organisation of and for all people with disability. </w:t>
      </w:r>
      <w:r w:rsidR="00264517">
        <w:rPr>
          <w:rFonts w:eastAsiaTheme="minorHAnsi"/>
          <w:color w:val="000000"/>
          <w:lang w:eastAsia="en-US"/>
        </w:rPr>
        <w:t>W</w:t>
      </w:r>
      <w:r w:rsidRPr="00DE0BDA">
        <w:rPr>
          <w:rFonts w:eastAsiaTheme="minorHAnsi"/>
          <w:color w:val="000000"/>
          <w:lang w:eastAsia="en-US"/>
        </w:rPr>
        <w:t xml:space="preserve">e represent the interests of people with all kinds of disability, including </w:t>
      </w:r>
      <w:r w:rsidR="00264517">
        <w:rPr>
          <w:rFonts w:eastAsiaTheme="minorHAnsi"/>
          <w:color w:val="000000"/>
          <w:lang w:eastAsia="en-US"/>
        </w:rPr>
        <w:t xml:space="preserve">psychosocial disability and </w:t>
      </w:r>
      <w:r w:rsidRPr="00DE0BDA">
        <w:rPr>
          <w:rFonts w:eastAsiaTheme="minorHAnsi"/>
          <w:color w:val="000000"/>
          <w:lang w:eastAsia="en-US"/>
        </w:rPr>
        <w:t>mental illness</w:t>
      </w:r>
      <w:r w:rsidR="00264517">
        <w:rPr>
          <w:rFonts w:eastAsiaTheme="minorHAnsi"/>
          <w:color w:val="000000"/>
          <w:lang w:eastAsia="en-US"/>
        </w:rPr>
        <w:t xml:space="preserve"> acquired through trauma</w:t>
      </w:r>
      <w:r w:rsidRPr="00DE0BDA">
        <w:rPr>
          <w:rFonts w:eastAsiaTheme="minorHAnsi"/>
          <w:color w:val="000000"/>
          <w:lang w:eastAsia="en-US"/>
        </w:rPr>
        <w:t>. We are a non-profit, non-government organisation.</w:t>
      </w:r>
    </w:p>
    <w:p w:rsidR="00607502" w:rsidRPr="00DE0BDA" w:rsidRDefault="00607502" w:rsidP="00607502">
      <w:pPr>
        <w:jc w:val="both"/>
        <w:rPr>
          <w:rFonts w:eastAsiaTheme="minorHAnsi"/>
          <w:color w:val="000000"/>
          <w:lang w:eastAsia="en-US"/>
        </w:rPr>
      </w:pPr>
    </w:p>
    <w:p w:rsidR="00DE0BDA" w:rsidRDefault="00DE0BDA" w:rsidP="00607502">
      <w:pPr>
        <w:jc w:val="both"/>
        <w:rPr>
          <w:rFonts w:eastAsiaTheme="minorHAnsi"/>
          <w:lang w:eastAsia="en-US"/>
        </w:rPr>
      </w:pPr>
      <w:r w:rsidRPr="00DE0BDA">
        <w:rPr>
          <w:rFonts w:eastAsiaTheme="minorHAnsi"/>
          <w:lang w:eastAsia="en-US"/>
        </w:rPr>
        <w:t>PWDA’s primary membership is made up of people with disability and organisations primarily constituted by people with disability. PWDA also has a large associate membership of other individuals and organisations committed to the disability rights movement.</w:t>
      </w:r>
    </w:p>
    <w:p w:rsidR="00607502" w:rsidRPr="00DE0BDA" w:rsidRDefault="00607502" w:rsidP="00607502">
      <w:pPr>
        <w:jc w:val="both"/>
        <w:rPr>
          <w:rFonts w:eastAsiaTheme="minorHAnsi"/>
          <w:lang w:eastAsia="en-US"/>
        </w:rPr>
      </w:pPr>
    </w:p>
    <w:p w:rsidR="00DE0BDA" w:rsidRDefault="00DE0BDA" w:rsidP="00607502">
      <w:pPr>
        <w:jc w:val="both"/>
        <w:rPr>
          <w:rFonts w:eastAsiaTheme="minorHAnsi"/>
          <w:lang w:eastAsia="en-US"/>
        </w:rPr>
      </w:pPr>
      <w:r w:rsidRPr="00DE0BDA">
        <w:rPr>
          <w:rFonts w:eastAsiaTheme="minorHAnsi"/>
          <w:lang w:eastAsia="en-US"/>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rsidR="00864976" w:rsidRPr="00DE0BDA" w:rsidRDefault="00864976" w:rsidP="00607502">
      <w:pPr>
        <w:jc w:val="both"/>
        <w:rPr>
          <w:rFonts w:eastAsiaTheme="minorHAnsi"/>
          <w:lang w:eastAsia="en-US"/>
        </w:rPr>
      </w:pPr>
    </w:p>
    <w:p w:rsidR="00F72F6D" w:rsidRDefault="00F72F6D" w:rsidP="00607502">
      <w:pPr>
        <w:jc w:val="both"/>
        <w:rPr>
          <w:rFonts w:eastAsiaTheme="minorHAnsi"/>
          <w:u w:val="single"/>
          <w:lang w:eastAsia="en-US"/>
        </w:rPr>
      </w:pPr>
      <w:r w:rsidRPr="00F72F6D">
        <w:rPr>
          <w:rFonts w:eastAsiaTheme="minorHAnsi"/>
          <w:u w:val="single"/>
          <w:lang w:eastAsia="en-US"/>
        </w:rPr>
        <w:t xml:space="preserve">Disability Support for the Royal Commission </w:t>
      </w:r>
    </w:p>
    <w:p w:rsidR="00607502" w:rsidRPr="00F72F6D" w:rsidRDefault="00607502" w:rsidP="00607502">
      <w:pPr>
        <w:jc w:val="both"/>
        <w:rPr>
          <w:rFonts w:eastAsiaTheme="minorHAnsi"/>
          <w:u w:val="single"/>
          <w:lang w:eastAsia="en-US"/>
        </w:rPr>
      </w:pPr>
    </w:p>
    <w:p w:rsidR="00864976" w:rsidRDefault="00DE0BDA" w:rsidP="00607502">
      <w:pPr>
        <w:jc w:val="both"/>
      </w:pPr>
      <w:r w:rsidRPr="00864976">
        <w:rPr>
          <w:rFonts w:eastAsiaTheme="minorHAnsi"/>
          <w:lang w:eastAsia="en-US"/>
        </w:rPr>
        <w:t xml:space="preserve">PWDA </w:t>
      </w:r>
      <w:r w:rsidR="00864976" w:rsidRPr="00864976">
        <w:t xml:space="preserve">is </w:t>
      </w:r>
      <w:r w:rsidR="00864976">
        <w:t xml:space="preserve">a Department of Social Services (DSS) funded service providing support to </w:t>
      </w:r>
      <w:r w:rsidR="00864976" w:rsidRPr="00864976">
        <w:t xml:space="preserve">people with disability who may be affected by the Royal Commission into Institutional Responses to Child Sexual </w:t>
      </w:r>
      <w:r w:rsidR="00FB3B88" w:rsidRPr="00864976">
        <w:t>Abuse</w:t>
      </w:r>
      <w:r w:rsidR="00FB3B88">
        <w:t xml:space="preserve"> </w:t>
      </w:r>
      <w:r w:rsidR="00FB3B88">
        <w:rPr>
          <w:rFonts w:eastAsiaTheme="minorHAnsi"/>
          <w:lang w:eastAsia="en-US"/>
        </w:rPr>
        <w:t>(the Commission)</w:t>
      </w:r>
      <w:r w:rsidR="00FB3B88">
        <w:t xml:space="preserve">. </w:t>
      </w:r>
      <w:r w:rsidR="00864976" w:rsidRPr="00864976">
        <w:t>We provid</w:t>
      </w:r>
      <w:r w:rsidR="00864976">
        <w:t xml:space="preserve">e </w:t>
      </w:r>
      <w:r w:rsidR="00864976" w:rsidRPr="00864976">
        <w:t xml:space="preserve">individual advocacy to </w:t>
      </w:r>
      <w:r w:rsidR="00864976">
        <w:t>people with disability who ar</w:t>
      </w:r>
      <w:r w:rsidR="00607502">
        <w:t xml:space="preserve">e effected including information, advice and support for </w:t>
      </w:r>
      <w:r w:rsidR="00864976">
        <w:t xml:space="preserve">individuals to </w:t>
      </w:r>
      <w:r w:rsidR="00864976" w:rsidRPr="00864976">
        <w:t>decid</w:t>
      </w:r>
      <w:r w:rsidR="00864976">
        <w:t xml:space="preserve">e </w:t>
      </w:r>
      <w:r w:rsidR="00864976" w:rsidRPr="00864976">
        <w:t xml:space="preserve">whether to </w:t>
      </w:r>
      <w:r w:rsidR="00864976">
        <w:t>engage in the inquiries of the Commission, and support</w:t>
      </w:r>
      <w:r w:rsidR="00607502">
        <w:t xml:space="preserve"> for</w:t>
      </w:r>
      <w:r w:rsidR="00864976">
        <w:t xml:space="preserve"> people to tell their story to the Commission.</w:t>
      </w:r>
    </w:p>
    <w:p w:rsidR="00864976" w:rsidRDefault="00864976" w:rsidP="00607502">
      <w:pPr>
        <w:jc w:val="both"/>
      </w:pPr>
    </w:p>
    <w:p w:rsidR="00864976" w:rsidRPr="00864976" w:rsidRDefault="00864976" w:rsidP="00607502">
      <w:pPr>
        <w:jc w:val="both"/>
      </w:pPr>
      <w:r>
        <w:t xml:space="preserve">In addition, PWDA is rolling out a nationwide </w:t>
      </w:r>
      <w:r w:rsidRPr="00864976">
        <w:t xml:space="preserve">training program </w:t>
      </w:r>
      <w:r w:rsidR="00607502">
        <w:t xml:space="preserve">for people with disability, disability service providers and mainstream services </w:t>
      </w:r>
      <w:r>
        <w:t xml:space="preserve">to develop awareness of </w:t>
      </w:r>
      <w:r w:rsidRPr="00864976">
        <w:t>the sexual and human r</w:t>
      </w:r>
      <w:r w:rsidR="00607502">
        <w:t xml:space="preserve">ights of people with disability, strengthen violence prevention strategies, and improve institutional responses to sexual abuse of people with disability. PWDA is also providing the Commission with </w:t>
      </w:r>
      <w:r w:rsidRPr="00864976">
        <w:t>policy advice regarding the key dynamics which make children with disability vulnerable to sexual abuse in institutional settings.</w:t>
      </w:r>
    </w:p>
    <w:p w:rsidR="00864976" w:rsidRDefault="00864976" w:rsidP="00607502">
      <w:pPr>
        <w:jc w:val="both"/>
        <w:rPr>
          <w:rFonts w:eastAsiaTheme="minorHAnsi"/>
          <w:lang w:eastAsia="en-US"/>
        </w:rPr>
      </w:pPr>
    </w:p>
    <w:p w:rsidR="00607502" w:rsidRDefault="00607502" w:rsidP="00607502">
      <w:pPr>
        <w:jc w:val="both"/>
        <w:rPr>
          <w:rFonts w:eastAsiaTheme="minorHAnsi"/>
          <w:u w:val="single"/>
          <w:lang w:eastAsia="en-US"/>
        </w:rPr>
      </w:pPr>
      <w:r w:rsidRPr="00607502">
        <w:rPr>
          <w:rFonts w:eastAsiaTheme="minorHAnsi"/>
          <w:u w:val="single"/>
          <w:lang w:eastAsia="en-US"/>
        </w:rPr>
        <w:t xml:space="preserve">The particular vulnerability of children with disability </w:t>
      </w:r>
    </w:p>
    <w:p w:rsidR="00607502" w:rsidRPr="00607502" w:rsidRDefault="00607502" w:rsidP="00607502">
      <w:pPr>
        <w:jc w:val="both"/>
        <w:rPr>
          <w:rFonts w:eastAsiaTheme="minorHAnsi"/>
          <w:u w:val="single"/>
          <w:lang w:eastAsia="en-US"/>
        </w:rPr>
      </w:pPr>
    </w:p>
    <w:p w:rsidR="001B3B3B" w:rsidRDefault="00DE0BDA" w:rsidP="00607502">
      <w:pPr>
        <w:jc w:val="both"/>
        <w:rPr>
          <w:rFonts w:eastAsiaTheme="minorHAnsi"/>
          <w:lang w:eastAsia="en-US"/>
        </w:rPr>
      </w:pPr>
      <w:r w:rsidRPr="00DE0BDA">
        <w:rPr>
          <w:rFonts w:eastAsiaTheme="minorHAnsi"/>
          <w:lang w:eastAsia="en-US"/>
        </w:rPr>
        <w:t>Children with disability are 3.4 times more likely to experience some form of violence than other children.</w:t>
      </w:r>
      <w:r w:rsidRPr="00264517">
        <w:rPr>
          <w:rFonts w:eastAsiaTheme="minorHAnsi"/>
          <w:vertAlign w:val="superscript"/>
          <w:lang w:eastAsia="en-US"/>
        </w:rPr>
        <w:footnoteReference w:id="2"/>
      </w:r>
      <w:r w:rsidRPr="00DE0BDA">
        <w:rPr>
          <w:rFonts w:eastAsiaTheme="minorHAnsi"/>
          <w:lang w:eastAsia="en-US"/>
        </w:rPr>
        <w:t xml:space="preserve"> </w:t>
      </w:r>
      <w:r w:rsidR="00FB3B88">
        <w:rPr>
          <w:rFonts w:eastAsiaTheme="minorHAnsi"/>
          <w:lang w:eastAsia="en-US"/>
        </w:rPr>
        <w:t>T</w:t>
      </w:r>
      <w:r w:rsidRPr="00DE0BDA">
        <w:rPr>
          <w:rFonts w:eastAsiaTheme="minorHAnsi"/>
          <w:lang w:eastAsia="en-US"/>
        </w:rPr>
        <w:t xml:space="preserve">hey are </w:t>
      </w:r>
      <w:r w:rsidR="00FB3B88">
        <w:rPr>
          <w:rFonts w:eastAsiaTheme="minorHAnsi"/>
          <w:lang w:eastAsia="en-US"/>
        </w:rPr>
        <w:t xml:space="preserve">also </w:t>
      </w:r>
      <w:r w:rsidRPr="00DE0BDA">
        <w:rPr>
          <w:rFonts w:eastAsiaTheme="minorHAnsi"/>
          <w:lang w:eastAsia="en-US"/>
        </w:rPr>
        <w:t xml:space="preserve">at </w:t>
      </w:r>
      <w:r w:rsidR="00FB3B88">
        <w:rPr>
          <w:rFonts w:eastAsiaTheme="minorHAnsi"/>
          <w:lang w:eastAsia="en-US"/>
        </w:rPr>
        <w:t xml:space="preserve">a </w:t>
      </w:r>
      <w:r w:rsidR="00607502">
        <w:rPr>
          <w:rFonts w:eastAsiaTheme="minorHAnsi"/>
          <w:lang w:eastAsia="en-US"/>
        </w:rPr>
        <w:t xml:space="preserve">far higher risk of </w:t>
      </w:r>
      <w:r w:rsidR="00FB3B88">
        <w:rPr>
          <w:rFonts w:eastAsiaTheme="minorHAnsi"/>
          <w:lang w:eastAsia="en-US"/>
        </w:rPr>
        <w:t>experiencing sexual abuse and a</w:t>
      </w:r>
      <w:r w:rsidRPr="00DE0BDA">
        <w:rPr>
          <w:rFonts w:eastAsiaTheme="minorHAnsi"/>
          <w:lang w:eastAsia="en-US"/>
        </w:rPr>
        <w:t xml:space="preserve">lthough the actual prevalence is difficult to ascertain, some studies suggest that children with disability are </w:t>
      </w:r>
      <w:r w:rsidR="00FB3B88">
        <w:rPr>
          <w:rFonts w:eastAsiaTheme="minorHAnsi"/>
          <w:lang w:eastAsia="en-US"/>
        </w:rPr>
        <w:t xml:space="preserve">at a risk </w:t>
      </w:r>
      <w:r w:rsidRPr="00DE0BDA">
        <w:rPr>
          <w:rFonts w:eastAsiaTheme="minorHAnsi"/>
          <w:lang w:eastAsia="en-US"/>
        </w:rPr>
        <w:t>4 times</w:t>
      </w:r>
      <w:r w:rsidR="00FB3B88">
        <w:rPr>
          <w:rFonts w:eastAsiaTheme="minorHAnsi"/>
          <w:lang w:eastAsia="en-US"/>
        </w:rPr>
        <w:t xml:space="preserve"> greater than </w:t>
      </w:r>
      <w:r w:rsidRPr="00DE0BDA">
        <w:rPr>
          <w:rFonts w:eastAsiaTheme="minorHAnsi"/>
          <w:lang w:eastAsia="en-US"/>
        </w:rPr>
        <w:t>other children.</w:t>
      </w:r>
      <w:r w:rsidRPr="00264517">
        <w:rPr>
          <w:rFonts w:eastAsiaTheme="minorHAnsi"/>
          <w:vertAlign w:val="superscript"/>
          <w:lang w:eastAsia="en-US"/>
        </w:rPr>
        <w:footnoteReference w:id="3"/>
      </w:r>
      <w:r w:rsidRPr="00DE0BDA">
        <w:rPr>
          <w:rFonts w:eastAsiaTheme="minorHAnsi"/>
          <w:lang w:eastAsia="en-US"/>
        </w:rPr>
        <w:t xml:space="preserve"> </w:t>
      </w:r>
      <w:r w:rsidR="00607502">
        <w:rPr>
          <w:rFonts w:eastAsiaTheme="minorHAnsi"/>
          <w:lang w:eastAsia="en-US"/>
        </w:rPr>
        <w:t>T</w:t>
      </w:r>
      <w:r w:rsidRPr="00DE0BDA">
        <w:rPr>
          <w:rFonts w:eastAsiaTheme="minorHAnsi"/>
          <w:lang w:eastAsia="en-US"/>
        </w:rPr>
        <w:t xml:space="preserve">he most significant </w:t>
      </w:r>
      <w:r w:rsidR="00607502">
        <w:rPr>
          <w:rFonts w:eastAsiaTheme="minorHAnsi"/>
          <w:lang w:eastAsia="en-US"/>
        </w:rPr>
        <w:t>contributing factors to this heightened risk are</w:t>
      </w:r>
      <w:r w:rsidR="001B3B3B">
        <w:rPr>
          <w:rFonts w:eastAsiaTheme="minorHAnsi"/>
          <w:lang w:eastAsia="en-US"/>
        </w:rPr>
        <w:t>:</w:t>
      </w:r>
    </w:p>
    <w:p w:rsidR="001B3B3B" w:rsidRDefault="00607502" w:rsidP="001B3B3B">
      <w:pPr>
        <w:pStyle w:val="ListParagraph"/>
        <w:numPr>
          <w:ilvl w:val="0"/>
          <w:numId w:val="25"/>
        </w:numPr>
        <w:ind w:left="284" w:hanging="284"/>
        <w:jc w:val="both"/>
        <w:rPr>
          <w:rFonts w:eastAsiaTheme="minorHAnsi"/>
          <w:lang w:eastAsia="en-US"/>
        </w:rPr>
      </w:pPr>
      <w:r w:rsidRPr="001B3B3B">
        <w:rPr>
          <w:rFonts w:eastAsiaTheme="minorHAnsi"/>
          <w:lang w:eastAsia="en-US"/>
        </w:rPr>
        <w:lastRenderedPageBreak/>
        <w:t xml:space="preserve">the continued provision of disability services to children </w:t>
      </w:r>
      <w:r w:rsidR="00764CE5" w:rsidRPr="001B3B3B">
        <w:rPr>
          <w:rFonts w:eastAsiaTheme="minorHAnsi"/>
          <w:lang w:eastAsia="en-US"/>
        </w:rPr>
        <w:t xml:space="preserve">and adults </w:t>
      </w:r>
      <w:r w:rsidRPr="001B3B3B">
        <w:rPr>
          <w:rFonts w:eastAsiaTheme="minorHAnsi"/>
          <w:lang w:eastAsia="en-US"/>
        </w:rPr>
        <w:t xml:space="preserve">with disability within </w:t>
      </w:r>
      <w:r w:rsidR="00A4654A" w:rsidRPr="001B3B3B">
        <w:rPr>
          <w:rFonts w:eastAsiaTheme="minorHAnsi"/>
          <w:lang w:eastAsia="en-US"/>
        </w:rPr>
        <w:t xml:space="preserve">congregate, </w:t>
      </w:r>
      <w:r w:rsidR="00764CE5" w:rsidRPr="001B3B3B">
        <w:rPr>
          <w:rFonts w:eastAsiaTheme="minorHAnsi"/>
          <w:lang w:eastAsia="en-US"/>
        </w:rPr>
        <w:t>isolated</w:t>
      </w:r>
      <w:r w:rsidR="00FB3B88">
        <w:rPr>
          <w:rFonts w:eastAsiaTheme="minorHAnsi"/>
          <w:lang w:eastAsia="en-US"/>
        </w:rPr>
        <w:t>,</w:t>
      </w:r>
      <w:r w:rsidR="00764CE5" w:rsidRPr="001B3B3B">
        <w:rPr>
          <w:rFonts w:eastAsiaTheme="minorHAnsi"/>
          <w:lang w:eastAsia="en-US"/>
        </w:rPr>
        <w:t xml:space="preserve"> and </w:t>
      </w:r>
      <w:r w:rsidR="00A4654A" w:rsidRPr="001B3B3B">
        <w:rPr>
          <w:rFonts w:eastAsiaTheme="minorHAnsi"/>
          <w:lang w:eastAsia="en-US"/>
        </w:rPr>
        <w:t>segregated settings</w:t>
      </w:r>
      <w:r w:rsidR="001B3B3B" w:rsidRPr="001B3B3B">
        <w:rPr>
          <w:rFonts w:eastAsiaTheme="minorHAnsi"/>
          <w:lang w:eastAsia="en-US"/>
        </w:rPr>
        <w:t xml:space="preserve"> such as residential institutions, group homes, respite centres, day services and special schools</w:t>
      </w:r>
      <w:r w:rsidR="00A4654A" w:rsidRPr="001B3B3B">
        <w:rPr>
          <w:rFonts w:eastAsiaTheme="minorHAnsi"/>
          <w:lang w:eastAsia="en-US"/>
        </w:rPr>
        <w:t xml:space="preserve">; </w:t>
      </w:r>
    </w:p>
    <w:p w:rsidR="001B3B3B" w:rsidRDefault="00A4654A" w:rsidP="001B3B3B">
      <w:pPr>
        <w:pStyle w:val="ListParagraph"/>
        <w:numPr>
          <w:ilvl w:val="0"/>
          <w:numId w:val="25"/>
        </w:numPr>
        <w:ind w:left="284" w:hanging="284"/>
        <w:jc w:val="both"/>
        <w:rPr>
          <w:rFonts w:eastAsiaTheme="minorHAnsi"/>
          <w:lang w:eastAsia="en-US"/>
        </w:rPr>
      </w:pPr>
      <w:r w:rsidRPr="001B3B3B">
        <w:rPr>
          <w:rFonts w:eastAsiaTheme="minorHAnsi"/>
          <w:lang w:eastAsia="en-US"/>
        </w:rPr>
        <w:t xml:space="preserve">the </w:t>
      </w:r>
      <w:r w:rsidR="0092242D" w:rsidRPr="001B3B3B">
        <w:rPr>
          <w:rFonts w:eastAsiaTheme="minorHAnsi"/>
          <w:lang w:eastAsia="en-US"/>
        </w:rPr>
        <w:t>scant</w:t>
      </w:r>
      <w:r w:rsidRPr="001B3B3B">
        <w:rPr>
          <w:rFonts w:eastAsiaTheme="minorHAnsi"/>
          <w:lang w:eastAsia="en-US"/>
        </w:rPr>
        <w:t xml:space="preserve"> access to trustworthy, supportive, and effective reporting and complaints processes that institutionalised </w:t>
      </w:r>
      <w:r w:rsidR="00764CE5" w:rsidRPr="001B3B3B">
        <w:rPr>
          <w:rFonts w:eastAsiaTheme="minorHAnsi"/>
          <w:lang w:eastAsia="en-US"/>
        </w:rPr>
        <w:t xml:space="preserve">disability service </w:t>
      </w:r>
      <w:r w:rsidRPr="001B3B3B">
        <w:rPr>
          <w:rFonts w:eastAsiaTheme="minorHAnsi"/>
          <w:lang w:eastAsia="en-US"/>
        </w:rPr>
        <w:t xml:space="preserve">provision creates; </w:t>
      </w:r>
    </w:p>
    <w:p w:rsidR="001B3B3B" w:rsidRDefault="00A4654A" w:rsidP="001B3B3B">
      <w:pPr>
        <w:pStyle w:val="ListParagraph"/>
        <w:numPr>
          <w:ilvl w:val="0"/>
          <w:numId w:val="25"/>
        </w:numPr>
        <w:ind w:left="284" w:hanging="284"/>
        <w:jc w:val="both"/>
        <w:rPr>
          <w:rFonts w:eastAsiaTheme="minorHAnsi"/>
          <w:lang w:eastAsia="en-US"/>
        </w:rPr>
      </w:pPr>
      <w:r w:rsidRPr="001B3B3B">
        <w:rPr>
          <w:rFonts w:eastAsiaTheme="minorHAnsi"/>
          <w:lang w:eastAsia="en-US"/>
        </w:rPr>
        <w:t xml:space="preserve">a lack of </w:t>
      </w:r>
      <w:r w:rsidR="00D10777">
        <w:rPr>
          <w:rFonts w:eastAsiaTheme="minorHAnsi"/>
          <w:lang w:eastAsia="en-US"/>
        </w:rPr>
        <w:t xml:space="preserve">human rights based </w:t>
      </w:r>
      <w:r w:rsidRPr="001B3B3B">
        <w:rPr>
          <w:rFonts w:eastAsiaTheme="minorHAnsi"/>
          <w:lang w:eastAsia="en-US"/>
        </w:rPr>
        <w:t>oversight mechanisms monitoring the rights of people with disability in institutional</w:t>
      </w:r>
      <w:r w:rsidR="006040D6" w:rsidRPr="001B3B3B">
        <w:rPr>
          <w:rFonts w:eastAsiaTheme="minorHAnsi"/>
          <w:lang w:eastAsia="en-US"/>
        </w:rPr>
        <w:t xml:space="preserve"> settings</w:t>
      </w:r>
      <w:r w:rsidR="00FB3B88">
        <w:rPr>
          <w:rFonts w:eastAsiaTheme="minorHAnsi"/>
          <w:lang w:eastAsia="en-US"/>
        </w:rPr>
        <w:t xml:space="preserve"> and disability services</w:t>
      </w:r>
      <w:r w:rsidR="006040D6" w:rsidRPr="001B3B3B">
        <w:rPr>
          <w:rFonts w:eastAsiaTheme="minorHAnsi"/>
          <w:lang w:eastAsia="en-US"/>
        </w:rPr>
        <w:t xml:space="preserve">; and </w:t>
      </w:r>
    </w:p>
    <w:p w:rsidR="001B3B3B" w:rsidRDefault="00EA3927" w:rsidP="001B3B3B">
      <w:pPr>
        <w:pStyle w:val="ListParagraph"/>
        <w:numPr>
          <w:ilvl w:val="0"/>
          <w:numId w:val="25"/>
        </w:numPr>
        <w:ind w:left="284" w:hanging="284"/>
        <w:jc w:val="both"/>
        <w:rPr>
          <w:rFonts w:eastAsiaTheme="minorHAnsi"/>
          <w:lang w:eastAsia="en-US"/>
        </w:rPr>
      </w:pPr>
      <w:r w:rsidRPr="001B3B3B">
        <w:rPr>
          <w:rFonts w:eastAsiaTheme="minorHAnsi"/>
          <w:lang w:eastAsia="en-US"/>
        </w:rPr>
        <w:t xml:space="preserve">continued barriers to participating in the criminal justice system for people with disability.  </w:t>
      </w:r>
    </w:p>
    <w:p w:rsidR="001B3B3B" w:rsidRDefault="001B3B3B" w:rsidP="001B3B3B">
      <w:pPr>
        <w:jc w:val="both"/>
        <w:rPr>
          <w:rFonts w:eastAsiaTheme="minorHAnsi"/>
          <w:lang w:eastAsia="en-US"/>
        </w:rPr>
      </w:pPr>
    </w:p>
    <w:p w:rsidR="00A4654A" w:rsidRPr="001B3B3B" w:rsidRDefault="00A4654A" w:rsidP="001B3B3B">
      <w:pPr>
        <w:jc w:val="both"/>
        <w:rPr>
          <w:rFonts w:eastAsiaTheme="minorHAnsi"/>
          <w:lang w:eastAsia="en-US"/>
        </w:rPr>
      </w:pPr>
      <w:r w:rsidRPr="001B3B3B">
        <w:rPr>
          <w:rFonts w:eastAsiaTheme="minorHAnsi"/>
          <w:lang w:eastAsia="en-US"/>
        </w:rPr>
        <w:t xml:space="preserve">These factors contribute to the disempowerment of children </w:t>
      </w:r>
      <w:r w:rsidR="001B3B3B" w:rsidRPr="001B3B3B">
        <w:rPr>
          <w:rFonts w:eastAsiaTheme="minorHAnsi"/>
          <w:lang w:eastAsia="en-US"/>
        </w:rPr>
        <w:t xml:space="preserve">and adults </w:t>
      </w:r>
      <w:r w:rsidRPr="001B3B3B">
        <w:rPr>
          <w:rFonts w:eastAsiaTheme="minorHAnsi"/>
          <w:lang w:eastAsia="en-US"/>
        </w:rPr>
        <w:t xml:space="preserve">with disability by creating dependence on service providers, limiting avenues of disclosure and redress, and curtailing participation and inclusion in the community. </w:t>
      </w:r>
    </w:p>
    <w:p w:rsidR="00607502" w:rsidRPr="00DE0BDA" w:rsidRDefault="00607502" w:rsidP="00607502">
      <w:pPr>
        <w:jc w:val="both"/>
        <w:rPr>
          <w:rFonts w:eastAsiaTheme="minorHAnsi"/>
          <w:lang w:eastAsia="en-US"/>
        </w:rPr>
      </w:pPr>
    </w:p>
    <w:p w:rsidR="0092242D" w:rsidRDefault="0092242D" w:rsidP="00607502">
      <w:pPr>
        <w:jc w:val="both"/>
        <w:rPr>
          <w:rFonts w:eastAsiaTheme="minorHAnsi"/>
          <w:lang w:eastAsia="en-US"/>
        </w:rPr>
      </w:pPr>
      <w:r>
        <w:rPr>
          <w:rFonts w:eastAsiaTheme="minorHAnsi"/>
          <w:lang w:eastAsia="en-US"/>
        </w:rPr>
        <w:t>Through over 30 years of advocating for people with disability seeking resolution of issues involving sexual violence, abuse and d</w:t>
      </w:r>
      <w:r w:rsidR="00D10777">
        <w:rPr>
          <w:rFonts w:eastAsiaTheme="minorHAnsi"/>
          <w:lang w:eastAsia="en-US"/>
        </w:rPr>
        <w:t>iscrimination</w:t>
      </w:r>
      <w:r>
        <w:rPr>
          <w:rFonts w:eastAsiaTheme="minorHAnsi"/>
          <w:lang w:eastAsia="en-US"/>
        </w:rPr>
        <w:t xml:space="preserve"> and our recent specific work with the Commission</w:t>
      </w:r>
      <w:r w:rsidR="00D10777">
        <w:rPr>
          <w:rFonts w:eastAsiaTheme="minorHAnsi"/>
          <w:lang w:eastAsia="en-US"/>
        </w:rPr>
        <w:t>,</w:t>
      </w:r>
      <w:r>
        <w:rPr>
          <w:rFonts w:eastAsiaTheme="minorHAnsi"/>
          <w:lang w:eastAsia="en-US"/>
        </w:rPr>
        <w:t xml:space="preserve"> we can see clear patterns that emerge in the lives of people with disability who were sexually abused as children – whether they had an existing impairment as a child or developed disability as a result of </w:t>
      </w:r>
      <w:r w:rsidR="006B436D">
        <w:rPr>
          <w:rFonts w:eastAsiaTheme="minorHAnsi"/>
          <w:lang w:eastAsia="en-US"/>
        </w:rPr>
        <w:t xml:space="preserve">abuse related </w:t>
      </w:r>
      <w:r>
        <w:rPr>
          <w:rFonts w:eastAsiaTheme="minorHAnsi"/>
          <w:lang w:eastAsia="en-US"/>
        </w:rPr>
        <w:t>trauma.</w:t>
      </w:r>
    </w:p>
    <w:p w:rsidR="0092242D" w:rsidRDefault="0092242D" w:rsidP="00607502">
      <w:pPr>
        <w:jc w:val="both"/>
        <w:rPr>
          <w:rFonts w:eastAsiaTheme="minorHAnsi"/>
          <w:lang w:eastAsia="en-US"/>
        </w:rPr>
      </w:pPr>
    </w:p>
    <w:p w:rsidR="00764CE5" w:rsidRDefault="009E0498" w:rsidP="00764CE5">
      <w:pPr>
        <w:pStyle w:val="ListParagraph"/>
        <w:numPr>
          <w:ilvl w:val="0"/>
          <w:numId w:val="24"/>
        </w:numPr>
        <w:ind w:left="284" w:hanging="284"/>
        <w:jc w:val="both"/>
        <w:rPr>
          <w:rFonts w:eastAsiaTheme="minorHAnsi"/>
          <w:lang w:eastAsia="en-US"/>
        </w:rPr>
      </w:pPr>
      <w:r w:rsidRPr="00764CE5">
        <w:rPr>
          <w:rFonts w:eastAsiaTheme="minorHAnsi"/>
          <w:lang w:eastAsia="en-US"/>
        </w:rPr>
        <w:t xml:space="preserve">Firstly, clients have not been provided with adequate support to identify and deal with the trauma they experienced resulting in </w:t>
      </w:r>
      <w:r w:rsidR="006B436D">
        <w:rPr>
          <w:rFonts w:eastAsiaTheme="minorHAnsi"/>
          <w:lang w:eastAsia="en-US"/>
        </w:rPr>
        <w:t xml:space="preserve">an </w:t>
      </w:r>
      <w:r w:rsidR="00732275">
        <w:rPr>
          <w:rFonts w:eastAsiaTheme="minorHAnsi"/>
          <w:lang w:eastAsia="en-US"/>
        </w:rPr>
        <w:t>in</w:t>
      </w:r>
      <w:r w:rsidRPr="00764CE5">
        <w:rPr>
          <w:rFonts w:eastAsiaTheme="minorHAnsi"/>
          <w:lang w:eastAsia="en-US"/>
        </w:rPr>
        <w:t>ability to disclose details of the abu</w:t>
      </w:r>
      <w:r w:rsidR="00EA3927" w:rsidRPr="00764CE5">
        <w:rPr>
          <w:rFonts w:eastAsiaTheme="minorHAnsi"/>
          <w:lang w:eastAsia="en-US"/>
        </w:rPr>
        <w:t xml:space="preserve">se for many years. </w:t>
      </w:r>
      <w:r w:rsidR="006040D6" w:rsidRPr="00764CE5">
        <w:rPr>
          <w:rFonts w:eastAsiaTheme="minorHAnsi"/>
          <w:lang w:eastAsia="en-US"/>
        </w:rPr>
        <w:t xml:space="preserve">Children who were abused in residential institutions, for example, may have felt unable to disclose until they left that institution many years later.  </w:t>
      </w:r>
      <w:r w:rsidR="00EA3927" w:rsidRPr="00764CE5">
        <w:rPr>
          <w:rFonts w:eastAsiaTheme="minorHAnsi"/>
          <w:lang w:eastAsia="en-US"/>
        </w:rPr>
        <w:t>C</w:t>
      </w:r>
      <w:r w:rsidR="006040D6" w:rsidRPr="00764CE5">
        <w:rPr>
          <w:rFonts w:eastAsiaTheme="minorHAnsi"/>
          <w:lang w:eastAsia="en-US"/>
        </w:rPr>
        <w:t>hildren with disability may have continued to receive services from the same staff or institution they were abused</w:t>
      </w:r>
      <w:r w:rsidR="00EA3927" w:rsidRPr="00764CE5">
        <w:rPr>
          <w:rFonts w:eastAsiaTheme="minorHAnsi"/>
          <w:lang w:eastAsia="en-US"/>
        </w:rPr>
        <w:t xml:space="preserve"> by well into their adult lives – the fear of losing essential supports remaining too high for many people to risk making a complaint</w:t>
      </w:r>
      <w:r w:rsidR="006B436D">
        <w:rPr>
          <w:rFonts w:eastAsiaTheme="minorHAnsi"/>
          <w:lang w:eastAsia="en-US"/>
        </w:rPr>
        <w:t xml:space="preserve"> against their service provider.</w:t>
      </w:r>
      <w:r w:rsidR="00EA3927" w:rsidRPr="00764CE5">
        <w:rPr>
          <w:rFonts w:eastAsiaTheme="minorHAnsi"/>
          <w:lang w:eastAsia="en-US"/>
        </w:rPr>
        <w:t xml:space="preserve"> </w:t>
      </w:r>
    </w:p>
    <w:p w:rsidR="00764CE5" w:rsidRDefault="00764CE5" w:rsidP="00764CE5">
      <w:pPr>
        <w:pStyle w:val="ListParagraph"/>
        <w:ind w:left="284"/>
        <w:jc w:val="both"/>
        <w:rPr>
          <w:rFonts w:eastAsiaTheme="minorHAnsi"/>
          <w:lang w:eastAsia="en-US"/>
        </w:rPr>
      </w:pPr>
    </w:p>
    <w:p w:rsidR="00764CE5" w:rsidRDefault="00EA3927" w:rsidP="00764CE5">
      <w:pPr>
        <w:pStyle w:val="ListParagraph"/>
        <w:numPr>
          <w:ilvl w:val="0"/>
          <w:numId w:val="24"/>
        </w:numPr>
        <w:ind w:left="284" w:hanging="284"/>
        <w:jc w:val="both"/>
        <w:rPr>
          <w:rFonts w:eastAsiaTheme="minorHAnsi"/>
          <w:lang w:eastAsia="en-US"/>
        </w:rPr>
      </w:pPr>
      <w:r w:rsidRPr="00764CE5">
        <w:rPr>
          <w:rFonts w:eastAsiaTheme="minorHAnsi"/>
          <w:lang w:eastAsia="en-US"/>
        </w:rPr>
        <w:t xml:space="preserve">Secondly, clients have developed mental illnesses, compromised well-being, and health problems as a result </w:t>
      </w:r>
      <w:r w:rsidR="006B436D">
        <w:rPr>
          <w:rFonts w:eastAsiaTheme="minorHAnsi"/>
          <w:lang w:eastAsia="en-US"/>
        </w:rPr>
        <w:t>being unable to access adequate</w:t>
      </w:r>
      <w:r w:rsidRPr="00764CE5">
        <w:rPr>
          <w:rFonts w:eastAsiaTheme="minorHAnsi"/>
          <w:lang w:eastAsia="en-US"/>
        </w:rPr>
        <w:t xml:space="preserve"> support to address their experience of abuse. </w:t>
      </w:r>
      <w:r w:rsidR="009E0498" w:rsidRPr="00764CE5">
        <w:rPr>
          <w:rFonts w:eastAsiaTheme="minorHAnsi"/>
          <w:lang w:eastAsia="en-US"/>
        </w:rPr>
        <w:t xml:space="preserve">In the majority of cases counselling support has been the only service offered to these clients, and even this has been limited in scope and application. We have also seen the withdrawal of mental health services from clients who are unable to engage appropriately as a result of their trauma.  </w:t>
      </w:r>
    </w:p>
    <w:p w:rsidR="00764CE5" w:rsidRPr="00764CE5" w:rsidRDefault="00764CE5" w:rsidP="00764CE5">
      <w:pPr>
        <w:pStyle w:val="ListParagraph"/>
        <w:rPr>
          <w:rFonts w:eastAsiaTheme="minorHAnsi"/>
          <w:lang w:eastAsia="en-US"/>
        </w:rPr>
      </w:pPr>
    </w:p>
    <w:p w:rsidR="00764CE5" w:rsidRDefault="00EA3927" w:rsidP="00764CE5">
      <w:pPr>
        <w:pStyle w:val="ListParagraph"/>
        <w:numPr>
          <w:ilvl w:val="0"/>
          <w:numId w:val="24"/>
        </w:numPr>
        <w:ind w:left="284" w:hanging="284"/>
        <w:jc w:val="both"/>
        <w:rPr>
          <w:rFonts w:eastAsiaTheme="minorHAnsi"/>
          <w:lang w:eastAsia="en-US"/>
        </w:rPr>
      </w:pPr>
      <w:r w:rsidRPr="00764CE5">
        <w:rPr>
          <w:rFonts w:eastAsiaTheme="minorHAnsi"/>
          <w:lang w:eastAsia="en-US"/>
        </w:rPr>
        <w:t>Third</w:t>
      </w:r>
      <w:r w:rsidR="00941D59" w:rsidRPr="00764CE5">
        <w:rPr>
          <w:rFonts w:eastAsiaTheme="minorHAnsi"/>
          <w:lang w:eastAsia="en-US"/>
        </w:rPr>
        <w:t>, i</w:t>
      </w:r>
      <w:r w:rsidR="0092242D" w:rsidRPr="00764CE5">
        <w:rPr>
          <w:rFonts w:eastAsiaTheme="minorHAnsi"/>
          <w:lang w:eastAsia="en-US"/>
        </w:rPr>
        <w:t>n the vast majority of cases, people with disability who have experienced sexual abuse live in relative poverty</w:t>
      </w:r>
      <w:r w:rsidR="009175D0" w:rsidRPr="00764CE5">
        <w:rPr>
          <w:rFonts w:eastAsiaTheme="minorHAnsi"/>
          <w:lang w:eastAsia="en-US"/>
        </w:rPr>
        <w:t>. P</w:t>
      </w:r>
      <w:r w:rsidR="0092242D" w:rsidRPr="00764CE5">
        <w:rPr>
          <w:rFonts w:eastAsiaTheme="minorHAnsi"/>
          <w:lang w:eastAsia="en-US"/>
        </w:rPr>
        <w:t xml:space="preserve">ositive employment outcomes </w:t>
      </w:r>
      <w:r w:rsidR="009175D0" w:rsidRPr="00764CE5">
        <w:rPr>
          <w:rFonts w:eastAsiaTheme="minorHAnsi"/>
          <w:lang w:eastAsia="en-US"/>
        </w:rPr>
        <w:t xml:space="preserve">are repeatedly </w:t>
      </w:r>
      <w:r w:rsidR="0092242D" w:rsidRPr="00764CE5">
        <w:rPr>
          <w:rFonts w:eastAsiaTheme="minorHAnsi"/>
          <w:lang w:eastAsia="en-US"/>
        </w:rPr>
        <w:t xml:space="preserve">hindered by the effects of </w:t>
      </w:r>
      <w:r w:rsidR="007F62E6" w:rsidRPr="00764CE5">
        <w:rPr>
          <w:rFonts w:eastAsiaTheme="minorHAnsi"/>
          <w:lang w:eastAsia="en-US"/>
        </w:rPr>
        <w:t xml:space="preserve">trauma on their mental health, and economic security </w:t>
      </w:r>
      <w:r w:rsidR="009175D0" w:rsidRPr="00764CE5">
        <w:rPr>
          <w:rFonts w:eastAsiaTheme="minorHAnsi"/>
          <w:lang w:eastAsia="en-US"/>
        </w:rPr>
        <w:t xml:space="preserve">is further </w:t>
      </w:r>
      <w:r w:rsidR="007F62E6" w:rsidRPr="00764CE5">
        <w:rPr>
          <w:rFonts w:eastAsiaTheme="minorHAnsi"/>
          <w:lang w:eastAsia="en-US"/>
        </w:rPr>
        <w:t xml:space="preserve">undermined by expensive ongoing health requirements such as clinical psychological care and the hidden costs of disability including </w:t>
      </w:r>
      <w:r w:rsidR="009175D0" w:rsidRPr="00764CE5">
        <w:rPr>
          <w:rFonts w:eastAsiaTheme="minorHAnsi"/>
          <w:lang w:eastAsia="en-US"/>
        </w:rPr>
        <w:t xml:space="preserve">the purchase of </w:t>
      </w:r>
      <w:r w:rsidR="007F62E6" w:rsidRPr="00764CE5">
        <w:rPr>
          <w:rFonts w:eastAsiaTheme="minorHAnsi"/>
          <w:lang w:eastAsia="en-US"/>
        </w:rPr>
        <w:t xml:space="preserve">aids and equipment, transport, and more frequent visits to the doctor. </w:t>
      </w:r>
    </w:p>
    <w:p w:rsidR="00764CE5" w:rsidRPr="00764CE5" w:rsidRDefault="00764CE5" w:rsidP="00764CE5">
      <w:pPr>
        <w:pStyle w:val="ListParagraph"/>
        <w:rPr>
          <w:rFonts w:eastAsiaTheme="minorHAnsi"/>
          <w:lang w:eastAsia="en-US"/>
        </w:rPr>
      </w:pPr>
    </w:p>
    <w:p w:rsidR="00764CE5" w:rsidRDefault="00EA3927" w:rsidP="00764CE5">
      <w:pPr>
        <w:pStyle w:val="ListParagraph"/>
        <w:numPr>
          <w:ilvl w:val="0"/>
          <w:numId w:val="24"/>
        </w:numPr>
        <w:ind w:left="284" w:hanging="284"/>
        <w:jc w:val="both"/>
        <w:rPr>
          <w:rFonts w:eastAsiaTheme="minorHAnsi"/>
          <w:lang w:eastAsia="en-US"/>
        </w:rPr>
      </w:pPr>
      <w:r w:rsidRPr="00764CE5">
        <w:rPr>
          <w:rFonts w:eastAsiaTheme="minorHAnsi"/>
          <w:lang w:eastAsia="en-US"/>
        </w:rPr>
        <w:t xml:space="preserve">Fourth, people with disability feel discouraged to report abuse due to the perception that they will not be believed. Indeed in many cases the criminal justice system does not view people with disability, especially those with cognitive impairment or psychosocial disability, as credible </w:t>
      </w:r>
      <w:r w:rsidR="00D80E89">
        <w:rPr>
          <w:rFonts w:eastAsiaTheme="minorHAnsi"/>
          <w:lang w:eastAsia="en-US"/>
        </w:rPr>
        <w:t xml:space="preserve">or reliable </w:t>
      </w:r>
      <w:r w:rsidRPr="00764CE5">
        <w:rPr>
          <w:rFonts w:eastAsiaTheme="minorHAnsi"/>
          <w:lang w:eastAsia="en-US"/>
        </w:rPr>
        <w:t xml:space="preserve">witnesses. </w:t>
      </w:r>
    </w:p>
    <w:p w:rsidR="00764CE5" w:rsidRPr="00764CE5" w:rsidRDefault="00764CE5" w:rsidP="00764CE5">
      <w:pPr>
        <w:pStyle w:val="ListParagraph"/>
        <w:rPr>
          <w:rFonts w:eastAsiaTheme="minorHAnsi"/>
          <w:lang w:eastAsia="en-US"/>
        </w:rPr>
      </w:pPr>
    </w:p>
    <w:p w:rsidR="00DE0BDA" w:rsidRPr="00764CE5" w:rsidRDefault="00EA3927" w:rsidP="00764CE5">
      <w:pPr>
        <w:pStyle w:val="ListParagraph"/>
        <w:numPr>
          <w:ilvl w:val="0"/>
          <w:numId w:val="24"/>
        </w:numPr>
        <w:ind w:left="284" w:hanging="284"/>
        <w:jc w:val="both"/>
        <w:rPr>
          <w:rFonts w:eastAsiaTheme="minorHAnsi"/>
          <w:lang w:eastAsia="en-US"/>
        </w:rPr>
      </w:pPr>
      <w:r w:rsidRPr="00764CE5">
        <w:rPr>
          <w:rFonts w:eastAsiaTheme="minorHAnsi"/>
          <w:lang w:eastAsia="en-US"/>
        </w:rPr>
        <w:lastRenderedPageBreak/>
        <w:t>Fifth</w:t>
      </w:r>
      <w:r w:rsidR="00A74FCD" w:rsidRPr="00764CE5">
        <w:rPr>
          <w:rFonts w:eastAsiaTheme="minorHAnsi"/>
          <w:lang w:eastAsia="en-US"/>
        </w:rPr>
        <w:t>, only a</w:t>
      </w:r>
      <w:r w:rsidR="0092242D" w:rsidRPr="00764CE5">
        <w:rPr>
          <w:rFonts w:eastAsiaTheme="minorHAnsi"/>
          <w:lang w:eastAsia="en-US"/>
        </w:rPr>
        <w:t xml:space="preserve"> negligible proportion of clients have </w:t>
      </w:r>
      <w:r w:rsidR="00DE0BDA" w:rsidRPr="00764CE5">
        <w:rPr>
          <w:rFonts w:eastAsiaTheme="minorHAnsi"/>
          <w:lang w:eastAsia="en-US"/>
        </w:rPr>
        <w:t xml:space="preserve">received compensation, </w:t>
      </w:r>
      <w:r w:rsidR="0092242D" w:rsidRPr="00764CE5">
        <w:rPr>
          <w:rFonts w:eastAsiaTheme="minorHAnsi"/>
          <w:lang w:eastAsia="en-US"/>
        </w:rPr>
        <w:t xml:space="preserve">financial settlement, </w:t>
      </w:r>
      <w:r w:rsidR="00A74FCD" w:rsidRPr="00764CE5">
        <w:rPr>
          <w:rFonts w:eastAsiaTheme="minorHAnsi"/>
          <w:lang w:eastAsia="en-US"/>
        </w:rPr>
        <w:t xml:space="preserve">or </w:t>
      </w:r>
      <w:r w:rsidR="0092242D" w:rsidRPr="00764CE5">
        <w:rPr>
          <w:rFonts w:eastAsiaTheme="minorHAnsi"/>
          <w:lang w:eastAsia="en-US"/>
        </w:rPr>
        <w:t>formal redress for the</w:t>
      </w:r>
      <w:r w:rsidR="009E0498" w:rsidRPr="00764CE5">
        <w:rPr>
          <w:rFonts w:eastAsiaTheme="minorHAnsi"/>
          <w:lang w:eastAsia="en-US"/>
        </w:rPr>
        <w:t xml:space="preserve"> </w:t>
      </w:r>
      <w:r w:rsidR="00A74FCD" w:rsidRPr="00764CE5">
        <w:rPr>
          <w:rFonts w:eastAsiaTheme="minorHAnsi"/>
          <w:lang w:eastAsia="en-US"/>
        </w:rPr>
        <w:t>sexual abuse and trauma they experienced</w:t>
      </w:r>
      <w:r w:rsidRPr="00764CE5">
        <w:rPr>
          <w:rFonts w:eastAsiaTheme="minorHAnsi"/>
          <w:lang w:eastAsia="en-US"/>
        </w:rPr>
        <w:t>;</w:t>
      </w:r>
      <w:r w:rsidR="00DE0BDA" w:rsidRPr="00764CE5">
        <w:rPr>
          <w:rFonts w:eastAsiaTheme="minorHAnsi"/>
          <w:lang w:eastAsia="en-US"/>
        </w:rPr>
        <w:t xml:space="preserve"> </w:t>
      </w:r>
      <w:r w:rsidR="00A74FCD" w:rsidRPr="00764CE5">
        <w:rPr>
          <w:rFonts w:eastAsiaTheme="minorHAnsi"/>
          <w:lang w:eastAsia="en-US"/>
        </w:rPr>
        <w:t xml:space="preserve">or any other form of acknowledgement or recognition that the abuse took place and their lives have been profoundly and negatively shaped as a consequence.   </w:t>
      </w:r>
    </w:p>
    <w:p w:rsidR="00764CE5" w:rsidRDefault="00764CE5" w:rsidP="00607502">
      <w:pPr>
        <w:jc w:val="both"/>
        <w:rPr>
          <w:rFonts w:eastAsiaTheme="minorHAnsi"/>
          <w:b/>
          <w:lang w:eastAsia="en-US"/>
        </w:rPr>
      </w:pPr>
    </w:p>
    <w:p w:rsidR="00764CE5" w:rsidRPr="00764CE5" w:rsidRDefault="00B1277E" w:rsidP="00607502">
      <w:pPr>
        <w:jc w:val="both"/>
        <w:rPr>
          <w:rFonts w:eastAsiaTheme="minorHAnsi"/>
          <w:b/>
          <w:lang w:eastAsia="en-US"/>
        </w:rPr>
      </w:pPr>
      <w:r w:rsidRPr="00764CE5">
        <w:rPr>
          <w:rFonts w:eastAsiaTheme="minorHAnsi"/>
          <w:b/>
          <w:lang w:eastAsia="en-US"/>
        </w:rPr>
        <w:t>Su</w:t>
      </w:r>
      <w:r w:rsidR="00DE0BDA" w:rsidRPr="00764CE5">
        <w:rPr>
          <w:rFonts w:eastAsiaTheme="minorHAnsi"/>
          <w:b/>
          <w:lang w:eastAsia="en-US"/>
        </w:rPr>
        <w:t>pport</w:t>
      </w:r>
      <w:r w:rsidRPr="00764CE5">
        <w:rPr>
          <w:rFonts w:eastAsiaTheme="minorHAnsi"/>
          <w:b/>
          <w:lang w:eastAsia="en-US"/>
        </w:rPr>
        <w:t xml:space="preserve"> for</w:t>
      </w:r>
      <w:r w:rsidR="00DE0BDA" w:rsidRPr="00764CE5">
        <w:rPr>
          <w:rFonts w:eastAsiaTheme="minorHAnsi"/>
          <w:b/>
          <w:lang w:eastAsia="en-US"/>
        </w:rPr>
        <w:t xml:space="preserve"> Op</w:t>
      </w:r>
      <w:r w:rsidRPr="00764CE5">
        <w:rPr>
          <w:rFonts w:eastAsiaTheme="minorHAnsi"/>
          <w:b/>
          <w:lang w:eastAsia="en-US"/>
        </w:rPr>
        <w:t>tion A of the Discussion Paper</w:t>
      </w:r>
      <w:r w:rsidR="00447C71" w:rsidRPr="00764CE5">
        <w:rPr>
          <w:rFonts w:eastAsiaTheme="minorHAnsi"/>
          <w:b/>
          <w:lang w:eastAsia="en-US"/>
        </w:rPr>
        <w:t xml:space="preserve">: </w:t>
      </w:r>
    </w:p>
    <w:p w:rsidR="00DE0BDA" w:rsidRPr="00764CE5" w:rsidRDefault="00447C71" w:rsidP="00607502">
      <w:pPr>
        <w:jc w:val="both"/>
        <w:rPr>
          <w:rFonts w:eastAsiaTheme="minorHAnsi"/>
          <w:b/>
          <w:lang w:eastAsia="en-US"/>
        </w:rPr>
      </w:pPr>
      <w:r w:rsidRPr="00764CE5">
        <w:rPr>
          <w:rFonts w:eastAsiaTheme="minorHAnsi"/>
          <w:b/>
          <w:lang w:eastAsia="en-US"/>
        </w:rPr>
        <w:t>Remove limitation periods in claims for child sexual abuse</w:t>
      </w:r>
    </w:p>
    <w:p w:rsidR="00447C71" w:rsidRPr="00607502" w:rsidRDefault="00447C71" w:rsidP="00607502">
      <w:pPr>
        <w:jc w:val="both"/>
        <w:rPr>
          <w:rFonts w:eastAsiaTheme="minorHAnsi"/>
          <w:b/>
          <w:lang w:eastAsia="en-US"/>
        </w:rPr>
      </w:pPr>
    </w:p>
    <w:p w:rsidR="00DE0BDA" w:rsidRDefault="00447C71" w:rsidP="00607502">
      <w:pPr>
        <w:jc w:val="both"/>
        <w:rPr>
          <w:rFonts w:eastAsiaTheme="minorHAnsi"/>
          <w:lang w:eastAsia="en-US"/>
        </w:rPr>
      </w:pPr>
      <w:r w:rsidRPr="00DE0BDA">
        <w:rPr>
          <w:rFonts w:eastAsiaTheme="minorHAnsi"/>
          <w:lang w:eastAsia="en-US"/>
        </w:rPr>
        <w:t>Th</w:t>
      </w:r>
      <w:r>
        <w:rPr>
          <w:rFonts w:eastAsiaTheme="minorHAnsi"/>
          <w:lang w:eastAsia="en-US"/>
        </w:rPr>
        <w:t xml:space="preserve">e Commission has found that </w:t>
      </w:r>
      <w:r w:rsidRPr="00DE0BDA">
        <w:rPr>
          <w:rFonts w:eastAsiaTheme="minorHAnsi"/>
          <w:lang w:eastAsia="en-US"/>
        </w:rPr>
        <w:t>it takes an average of 22 year</w:t>
      </w:r>
      <w:r>
        <w:rPr>
          <w:rFonts w:eastAsiaTheme="minorHAnsi"/>
          <w:lang w:eastAsia="en-US"/>
        </w:rPr>
        <w:t xml:space="preserve">s for an individual to disclose past sexual abuse, a conclusion that our individual, group and systemic advocacy work supports. </w:t>
      </w:r>
      <w:r w:rsidRPr="00DE0BDA">
        <w:rPr>
          <w:rFonts w:eastAsiaTheme="minorHAnsi"/>
          <w:lang w:eastAsia="en-US"/>
        </w:rPr>
        <w:t xml:space="preserve"> </w:t>
      </w:r>
      <w:r w:rsidR="00C844EE">
        <w:rPr>
          <w:rFonts w:eastAsiaTheme="minorHAnsi"/>
          <w:lang w:eastAsia="en-US"/>
        </w:rPr>
        <w:t xml:space="preserve">The </w:t>
      </w:r>
      <w:r w:rsidR="00DE0BDA" w:rsidRPr="00DE0BDA">
        <w:rPr>
          <w:rFonts w:eastAsiaTheme="minorHAnsi"/>
          <w:lang w:eastAsia="en-US"/>
        </w:rPr>
        <w:t xml:space="preserve">reality </w:t>
      </w:r>
      <w:r w:rsidR="00C844EE">
        <w:rPr>
          <w:rFonts w:eastAsiaTheme="minorHAnsi"/>
          <w:lang w:eastAsia="en-US"/>
        </w:rPr>
        <w:t>is that the traumatic consequences of child sexual abuse are</w:t>
      </w:r>
      <w:r w:rsidR="00DE0BDA" w:rsidRPr="00DE0BDA">
        <w:rPr>
          <w:rFonts w:eastAsiaTheme="minorHAnsi"/>
          <w:lang w:eastAsia="en-US"/>
        </w:rPr>
        <w:t xml:space="preserve"> dramatic, long-lasting, and act as substantial impediments to disclosure, reporting</w:t>
      </w:r>
      <w:r w:rsidR="008F6E0A">
        <w:rPr>
          <w:rFonts w:eastAsiaTheme="minorHAnsi"/>
          <w:lang w:eastAsia="en-US"/>
        </w:rPr>
        <w:t>,</w:t>
      </w:r>
      <w:r w:rsidR="00DE0BDA" w:rsidRPr="00DE0BDA">
        <w:rPr>
          <w:rFonts w:eastAsiaTheme="minorHAnsi"/>
          <w:lang w:eastAsia="en-US"/>
        </w:rPr>
        <w:t xml:space="preserve"> and providing testimony. With </w:t>
      </w:r>
      <w:r w:rsidR="00C844EE">
        <w:rPr>
          <w:rFonts w:eastAsiaTheme="minorHAnsi"/>
          <w:lang w:eastAsia="en-US"/>
        </w:rPr>
        <w:t xml:space="preserve">regard to the current formulation and interpretation of the </w:t>
      </w:r>
      <w:r>
        <w:rPr>
          <w:rFonts w:eastAsiaTheme="minorHAnsi"/>
          <w:lang w:eastAsia="en-US"/>
        </w:rPr>
        <w:t xml:space="preserve">Limitation Act 1969 (NSW) these consequences </w:t>
      </w:r>
      <w:r w:rsidR="00C844EE">
        <w:rPr>
          <w:rFonts w:eastAsiaTheme="minorHAnsi"/>
          <w:lang w:eastAsia="en-US"/>
        </w:rPr>
        <w:t>also a</w:t>
      </w:r>
      <w:r w:rsidR="00DE0BDA" w:rsidRPr="00DE0BDA">
        <w:rPr>
          <w:rFonts w:eastAsiaTheme="minorHAnsi"/>
          <w:lang w:eastAsia="en-US"/>
        </w:rPr>
        <w:t>ct as impediments to justice.</w:t>
      </w:r>
    </w:p>
    <w:p w:rsidR="009E0498" w:rsidRPr="00DE0BDA" w:rsidRDefault="009E0498" w:rsidP="00607502">
      <w:pPr>
        <w:jc w:val="both"/>
        <w:rPr>
          <w:rFonts w:eastAsiaTheme="minorHAnsi"/>
          <w:lang w:eastAsia="en-US"/>
        </w:rPr>
      </w:pPr>
    </w:p>
    <w:p w:rsidR="008E25E1" w:rsidRDefault="00AC1196" w:rsidP="00607502">
      <w:pPr>
        <w:jc w:val="both"/>
        <w:rPr>
          <w:rFonts w:eastAsiaTheme="minorHAnsi"/>
          <w:lang w:eastAsia="en-US"/>
        </w:rPr>
      </w:pPr>
      <w:r>
        <w:rPr>
          <w:rFonts w:eastAsiaTheme="minorHAnsi"/>
          <w:lang w:eastAsia="en-US"/>
        </w:rPr>
        <w:t>PWDA agrees with the</w:t>
      </w:r>
      <w:r w:rsidR="00EA3927">
        <w:rPr>
          <w:rFonts w:eastAsiaTheme="minorHAnsi"/>
          <w:lang w:eastAsia="en-US"/>
        </w:rPr>
        <w:t xml:space="preserve"> advantages of O</w:t>
      </w:r>
      <w:r>
        <w:rPr>
          <w:rFonts w:eastAsiaTheme="minorHAnsi"/>
          <w:lang w:eastAsia="en-US"/>
        </w:rPr>
        <w:t>ption</w:t>
      </w:r>
      <w:r w:rsidR="00EA3927">
        <w:rPr>
          <w:rFonts w:eastAsiaTheme="minorHAnsi"/>
          <w:lang w:eastAsia="en-US"/>
        </w:rPr>
        <w:t xml:space="preserve"> A</w:t>
      </w:r>
      <w:r>
        <w:rPr>
          <w:rFonts w:eastAsiaTheme="minorHAnsi"/>
          <w:lang w:eastAsia="en-US"/>
        </w:rPr>
        <w:t xml:space="preserve"> as outlined in the Discussion Paper</w:t>
      </w:r>
      <w:r w:rsidR="008F6E0A">
        <w:rPr>
          <w:rFonts w:eastAsiaTheme="minorHAnsi"/>
          <w:lang w:eastAsia="en-US"/>
        </w:rPr>
        <w:t xml:space="preserve">. In particular, </w:t>
      </w:r>
      <w:r>
        <w:rPr>
          <w:rFonts w:eastAsiaTheme="minorHAnsi"/>
          <w:lang w:eastAsia="en-US"/>
        </w:rPr>
        <w:t xml:space="preserve">the removal of the requirement for a plaintiff to prove psychological injury which </w:t>
      </w:r>
      <w:r w:rsidR="00771BCF">
        <w:rPr>
          <w:rFonts w:eastAsiaTheme="minorHAnsi"/>
          <w:lang w:eastAsia="en-US"/>
        </w:rPr>
        <w:t xml:space="preserve">is </w:t>
      </w:r>
      <w:r>
        <w:rPr>
          <w:rFonts w:eastAsiaTheme="minorHAnsi"/>
          <w:lang w:eastAsia="en-US"/>
        </w:rPr>
        <w:t xml:space="preserve">distressing, onerous, time-consuming and costly to establish. </w:t>
      </w:r>
      <w:r w:rsidR="00771BCF">
        <w:rPr>
          <w:rFonts w:eastAsiaTheme="minorHAnsi"/>
          <w:lang w:eastAsia="en-US"/>
        </w:rPr>
        <w:t xml:space="preserve">Overwhelming evidence to date would also suggest that psychological harm is a self-evident result of child sexual abuse. </w:t>
      </w:r>
    </w:p>
    <w:p w:rsidR="008E25E1" w:rsidRDefault="008E25E1" w:rsidP="00607502">
      <w:pPr>
        <w:jc w:val="both"/>
        <w:rPr>
          <w:rFonts w:eastAsiaTheme="minorHAnsi"/>
          <w:lang w:eastAsia="en-US"/>
        </w:rPr>
      </w:pPr>
    </w:p>
    <w:p w:rsidR="00764CE5" w:rsidRDefault="00771BCF" w:rsidP="00607502">
      <w:pPr>
        <w:jc w:val="both"/>
        <w:rPr>
          <w:rFonts w:eastAsiaTheme="minorHAnsi"/>
          <w:lang w:eastAsia="en-US"/>
        </w:rPr>
      </w:pPr>
      <w:r>
        <w:rPr>
          <w:rFonts w:eastAsiaTheme="minorHAnsi"/>
          <w:lang w:eastAsia="en-US"/>
        </w:rPr>
        <w:t>Recognising the long-term disabling effect of this trauma within the legislation would also make the disability exception redundant (re Option C)</w:t>
      </w:r>
      <w:r w:rsidR="008E25E1">
        <w:rPr>
          <w:rFonts w:eastAsiaTheme="minorHAnsi"/>
          <w:lang w:eastAsia="en-US"/>
        </w:rPr>
        <w:t>,</w:t>
      </w:r>
      <w:r>
        <w:rPr>
          <w:rFonts w:eastAsiaTheme="minorHAnsi"/>
          <w:lang w:eastAsia="en-US"/>
        </w:rPr>
        <w:t xml:space="preserve"> and would not compel plaintiffs to </w:t>
      </w:r>
      <w:r w:rsidR="008E25E1">
        <w:rPr>
          <w:rFonts w:eastAsiaTheme="minorHAnsi"/>
          <w:lang w:eastAsia="en-US"/>
        </w:rPr>
        <w:t xml:space="preserve">medically </w:t>
      </w:r>
      <w:r>
        <w:rPr>
          <w:rFonts w:eastAsiaTheme="minorHAnsi"/>
          <w:lang w:eastAsia="en-US"/>
        </w:rPr>
        <w:t xml:space="preserve">establish </w:t>
      </w:r>
      <w:r w:rsidR="008E25E1">
        <w:rPr>
          <w:rFonts w:eastAsiaTheme="minorHAnsi"/>
          <w:lang w:eastAsia="en-US"/>
        </w:rPr>
        <w:t xml:space="preserve">or socially identify themselves as being a person with </w:t>
      </w:r>
      <w:r w:rsidR="00764CE5">
        <w:rPr>
          <w:rFonts w:eastAsiaTheme="minorHAnsi"/>
          <w:lang w:eastAsia="en-US"/>
        </w:rPr>
        <w:t xml:space="preserve">long term or </w:t>
      </w:r>
      <w:r w:rsidR="008E25E1">
        <w:rPr>
          <w:rFonts w:eastAsiaTheme="minorHAnsi"/>
          <w:lang w:eastAsia="en-US"/>
        </w:rPr>
        <w:t>‘’substantial impairment’’</w:t>
      </w:r>
      <w:r w:rsidR="008E25E1">
        <w:rPr>
          <w:rStyle w:val="FootnoteReference"/>
          <w:rFonts w:eastAsiaTheme="minorHAnsi"/>
          <w:lang w:eastAsia="en-US"/>
        </w:rPr>
        <w:footnoteReference w:id="4"/>
      </w:r>
      <w:r w:rsidR="008F6E0A">
        <w:rPr>
          <w:rFonts w:eastAsiaTheme="minorHAnsi"/>
          <w:lang w:eastAsia="en-US"/>
        </w:rPr>
        <w:t xml:space="preserve"> in order for their case to progress.</w:t>
      </w:r>
      <w:r w:rsidR="008E25E1">
        <w:rPr>
          <w:rFonts w:eastAsiaTheme="minorHAnsi"/>
          <w:lang w:eastAsia="en-US"/>
        </w:rPr>
        <w:t xml:space="preserve"> </w:t>
      </w:r>
      <w:r w:rsidR="008F6E0A">
        <w:rPr>
          <w:rFonts w:eastAsiaTheme="minorHAnsi"/>
          <w:lang w:eastAsia="en-US"/>
        </w:rPr>
        <w:t xml:space="preserve"> Currently, t</w:t>
      </w:r>
      <w:r w:rsidR="00764CE5">
        <w:rPr>
          <w:rFonts w:eastAsiaTheme="minorHAnsi"/>
          <w:lang w:eastAsia="en-US"/>
        </w:rPr>
        <w:t xml:space="preserve">his process of self-identification is additionally confronting for many survivors who do not consider themselves to be people with disability. </w:t>
      </w:r>
    </w:p>
    <w:p w:rsidR="00764CE5" w:rsidRDefault="00764CE5" w:rsidP="00607502">
      <w:pPr>
        <w:jc w:val="both"/>
        <w:rPr>
          <w:rFonts w:eastAsiaTheme="minorHAnsi"/>
          <w:lang w:eastAsia="en-US"/>
        </w:rPr>
      </w:pPr>
    </w:p>
    <w:p w:rsidR="00447C71" w:rsidRDefault="008E25E1" w:rsidP="00607502">
      <w:pPr>
        <w:jc w:val="both"/>
        <w:rPr>
          <w:rFonts w:eastAsiaTheme="minorHAnsi"/>
          <w:lang w:eastAsia="en-US"/>
        </w:rPr>
      </w:pPr>
      <w:r>
        <w:rPr>
          <w:rFonts w:eastAsiaTheme="minorHAnsi"/>
          <w:lang w:eastAsia="en-US"/>
        </w:rPr>
        <w:t>For people whose disability was not acquired as a result of abuse, any ongoing requirement</w:t>
      </w:r>
      <w:r w:rsidR="00764CE5">
        <w:rPr>
          <w:rFonts w:eastAsiaTheme="minorHAnsi"/>
          <w:lang w:eastAsia="en-US"/>
        </w:rPr>
        <w:t xml:space="preserve"> to prove that </w:t>
      </w:r>
      <w:r w:rsidR="008F6E0A">
        <w:rPr>
          <w:rFonts w:eastAsiaTheme="minorHAnsi"/>
          <w:lang w:eastAsia="en-US"/>
        </w:rPr>
        <w:t xml:space="preserve">their </w:t>
      </w:r>
      <w:r w:rsidR="00764CE5">
        <w:rPr>
          <w:rFonts w:eastAsiaTheme="minorHAnsi"/>
          <w:lang w:eastAsia="en-US"/>
        </w:rPr>
        <w:t xml:space="preserve">disability has hindered their ability to commence proceedings earlier ignores the fact that the barriers to accessing justice for people with disability are already exceedingly high, as outlined above. </w:t>
      </w:r>
    </w:p>
    <w:p w:rsidR="006960E6" w:rsidRDefault="006960E6" w:rsidP="00607502">
      <w:pPr>
        <w:jc w:val="both"/>
        <w:rPr>
          <w:rFonts w:eastAsiaTheme="minorHAnsi"/>
          <w:lang w:eastAsia="en-US"/>
        </w:rPr>
      </w:pPr>
    </w:p>
    <w:p w:rsidR="004658DD" w:rsidRPr="008F6E0A" w:rsidRDefault="006960E6" w:rsidP="00607502">
      <w:pPr>
        <w:jc w:val="both"/>
        <w:rPr>
          <w:rFonts w:eastAsiaTheme="minorHAnsi"/>
          <w:lang w:eastAsia="en-US"/>
        </w:rPr>
      </w:pPr>
      <w:r>
        <w:rPr>
          <w:rFonts w:eastAsiaTheme="minorHAnsi"/>
          <w:lang w:eastAsia="en-US"/>
        </w:rPr>
        <w:t>Establishing an exception based on the perpetrator of abuse</w:t>
      </w:r>
      <w:r w:rsidR="00DF2400">
        <w:rPr>
          <w:rFonts w:eastAsiaTheme="minorHAnsi"/>
          <w:lang w:eastAsia="en-US"/>
        </w:rPr>
        <w:t xml:space="preserve">, with those abused by family members having a longer period during which to commence proceedings than those who were abused by others </w:t>
      </w:r>
      <w:r>
        <w:rPr>
          <w:rFonts w:eastAsiaTheme="minorHAnsi"/>
          <w:lang w:eastAsia="en-US"/>
        </w:rPr>
        <w:t xml:space="preserve">(re Option E) </w:t>
      </w:r>
      <w:r w:rsidR="00DF2400">
        <w:rPr>
          <w:rFonts w:eastAsiaTheme="minorHAnsi"/>
          <w:lang w:eastAsia="en-US"/>
        </w:rPr>
        <w:t>may discriminate against children with disability.</w:t>
      </w:r>
      <w:r>
        <w:rPr>
          <w:rFonts w:eastAsiaTheme="minorHAnsi"/>
          <w:lang w:eastAsia="en-US"/>
        </w:rPr>
        <w:t xml:space="preserve"> </w:t>
      </w:r>
      <w:r w:rsidR="00DF2400">
        <w:rPr>
          <w:rFonts w:eastAsiaTheme="minorHAnsi"/>
          <w:lang w:eastAsia="en-US"/>
        </w:rPr>
        <w:t xml:space="preserve">Children with disability are more likely to have a variety of people in their lives with whom they have consistent close contact </w:t>
      </w:r>
      <w:r w:rsidR="008F6E0A">
        <w:rPr>
          <w:rFonts w:eastAsiaTheme="minorHAnsi"/>
          <w:lang w:eastAsia="en-US"/>
        </w:rPr>
        <w:t>but</w:t>
      </w:r>
      <w:r w:rsidR="00DF2400">
        <w:rPr>
          <w:rFonts w:eastAsiaTheme="minorHAnsi"/>
          <w:lang w:eastAsia="en-US"/>
        </w:rPr>
        <w:t xml:space="preserve"> who are not ‘’close associates’’</w:t>
      </w:r>
      <w:r w:rsidR="00EA26A5">
        <w:rPr>
          <w:rStyle w:val="FootnoteReference"/>
          <w:rFonts w:eastAsiaTheme="minorHAnsi"/>
          <w:lang w:eastAsia="en-US"/>
        </w:rPr>
        <w:footnoteReference w:id="5"/>
      </w:r>
      <w:r w:rsidR="00DF2400">
        <w:rPr>
          <w:rFonts w:eastAsiaTheme="minorHAnsi"/>
          <w:lang w:eastAsia="en-US"/>
        </w:rPr>
        <w:t xml:space="preserve"> for instance carers, support workers and health professionals. </w:t>
      </w:r>
      <w:r w:rsidR="00EA26A5">
        <w:rPr>
          <w:rFonts w:eastAsiaTheme="minorHAnsi"/>
          <w:lang w:eastAsia="en-US"/>
        </w:rPr>
        <w:t>As noted earlier, c</w:t>
      </w:r>
      <w:r w:rsidR="00DF2400">
        <w:rPr>
          <w:rFonts w:eastAsiaTheme="minorHAnsi"/>
          <w:lang w:eastAsia="en-US"/>
        </w:rPr>
        <w:t xml:space="preserve">hildren with disability living in institutional settings or spending prolonged periods in segregated environments </w:t>
      </w:r>
      <w:r w:rsidR="00EA26A5">
        <w:rPr>
          <w:rFonts w:eastAsiaTheme="minorHAnsi"/>
          <w:lang w:eastAsia="en-US"/>
        </w:rPr>
        <w:t>are at an increased risk of violence, abuse and neglect.</w:t>
      </w:r>
    </w:p>
    <w:p w:rsidR="004658DD" w:rsidRDefault="004658DD" w:rsidP="00607502">
      <w:pPr>
        <w:jc w:val="both"/>
        <w:rPr>
          <w:rFonts w:eastAsiaTheme="minorHAnsi"/>
          <w:u w:val="single"/>
          <w:lang w:eastAsia="en-US"/>
        </w:rPr>
      </w:pPr>
    </w:p>
    <w:p w:rsidR="00EA26A5" w:rsidRPr="00EA26A5" w:rsidRDefault="00EA26A5" w:rsidP="00607502">
      <w:pPr>
        <w:jc w:val="both"/>
        <w:rPr>
          <w:rFonts w:eastAsiaTheme="minorHAnsi"/>
          <w:u w:val="single"/>
          <w:lang w:eastAsia="en-US"/>
        </w:rPr>
      </w:pPr>
      <w:r w:rsidRPr="00EA26A5">
        <w:rPr>
          <w:rFonts w:eastAsiaTheme="minorHAnsi"/>
          <w:u w:val="single"/>
          <w:lang w:eastAsia="en-US"/>
        </w:rPr>
        <w:t>Type of actions covered</w:t>
      </w:r>
      <w:r w:rsidR="000A1982">
        <w:rPr>
          <w:rFonts w:eastAsiaTheme="minorHAnsi"/>
          <w:u w:val="single"/>
          <w:lang w:eastAsia="en-US"/>
        </w:rPr>
        <w:t xml:space="preserve"> and </w:t>
      </w:r>
      <w:r>
        <w:rPr>
          <w:rFonts w:eastAsiaTheme="minorHAnsi"/>
          <w:u w:val="single"/>
          <w:lang w:eastAsia="en-US"/>
        </w:rPr>
        <w:t>retrospectivity</w:t>
      </w:r>
    </w:p>
    <w:p w:rsidR="00EA26A5" w:rsidRDefault="00EA26A5" w:rsidP="00607502">
      <w:pPr>
        <w:jc w:val="both"/>
        <w:rPr>
          <w:rFonts w:eastAsiaTheme="minorHAnsi"/>
          <w:lang w:eastAsia="en-US"/>
        </w:rPr>
      </w:pPr>
      <w:r>
        <w:rPr>
          <w:rFonts w:eastAsiaTheme="minorHAnsi"/>
          <w:lang w:eastAsia="en-US"/>
        </w:rPr>
        <w:t xml:space="preserve">PWDA supports the inclusion of both sexual and physical abuse as types of action to which the Option </w:t>
      </w:r>
      <w:proofErr w:type="gramStart"/>
      <w:r>
        <w:rPr>
          <w:rFonts w:eastAsiaTheme="minorHAnsi"/>
          <w:lang w:eastAsia="en-US"/>
        </w:rPr>
        <w:t>A</w:t>
      </w:r>
      <w:proofErr w:type="gramEnd"/>
      <w:r>
        <w:rPr>
          <w:rFonts w:eastAsiaTheme="minorHAnsi"/>
          <w:lang w:eastAsia="en-US"/>
        </w:rPr>
        <w:t xml:space="preserve"> amendment should apply. The terminology of “criminal child </w:t>
      </w:r>
      <w:r>
        <w:rPr>
          <w:rFonts w:eastAsiaTheme="minorHAnsi"/>
          <w:lang w:eastAsia="en-US"/>
        </w:rPr>
        <w:lastRenderedPageBreak/>
        <w:t>abuse”</w:t>
      </w:r>
      <w:r>
        <w:rPr>
          <w:rStyle w:val="FootnoteReference"/>
          <w:rFonts w:eastAsiaTheme="minorHAnsi"/>
          <w:lang w:eastAsia="en-US"/>
        </w:rPr>
        <w:footnoteReference w:id="6"/>
      </w:r>
      <w:r>
        <w:rPr>
          <w:rFonts w:eastAsiaTheme="minorHAnsi"/>
          <w:lang w:eastAsia="en-US"/>
        </w:rPr>
        <w:t xml:space="preserve"> as used in the Victorian exposure draft Bill example is a useful starting point for this discussion. </w:t>
      </w:r>
    </w:p>
    <w:p w:rsidR="00EA26A5" w:rsidRPr="00DE0BDA" w:rsidRDefault="00EA26A5" w:rsidP="00607502">
      <w:pPr>
        <w:jc w:val="both"/>
        <w:rPr>
          <w:rFonts w:eastAsiaTheme="minorHAnsi"/>
          <w:lang w:eastAsia="en-US"/>
        </w:rPr>
      </w:pPr>
    </w:p>
    <w:p w:rsidR="000A1982" w:rsidRDefault="00DE0BDA" w:rsidP="00607502">
      <w:pPr>
        <w:jc w:val="both"/>
        <w:rPr>
          <w:rFonts w:eastAsiaTheme="minorHAnsi"/>
          <w:lang w:eastAsia="en-US"/>
        </w:rPr>
      </w:pPr>
      <w:r w:rsidRPr="00DE0BDA">
        <w:rPr>
          <w:rFonts w:eastAsiaTheme="minorHAnsi"/>
          <w:lang w:eastAsia="en-US"/>
        </w:rPr>
        <w:t>PWDA supports retrospectivity in claims where the limitations issue was judicially determined as an interlocutory stage</w:t>
      </w:r>
      <w:r w:rsidR="00EA26A5">
        <w:rPr>
          <w:rFonts w:eastAsiaTheme="minorHAnsi"/>
          <w:lang w:eastAsia="en-US"/>
        </w:rPr>
        <w:t xml:space="preserve"> and for claims that </w:t>
      </w:r>
      <w:r w:rsidR="000A1982">
        <w:rPr>
          <w:rFonts w:eastAsiaTheme="minorHAnsi"/>
          <w:lang w:eastAsia="en-US"/>
        </w:rPr>
        <w:t xml:space="preserve">are currently on foot. In both instances the merits of the case are unheard leaving room for the case to be determined in light of subsequent legislative amendments. As the Discussion Paper notes, prospective application would statute bar many potential plaintiffs who have not yet disclosed.  This would be unfair and </w:t>
      </w:r>
      <w:r w:rsidR="008F6E0A">
        <w:rPr>
          <w:rFonts w:eastAsiaTheme="minorHAnsi"/>
          <w:lang w:eastAsia="en-US"/>
        </w:rPr>
        <w:t>regressive</w:t>
      </w:r>
      <w:r w:rsidR="000A1982">
        <w:rPr>
          <w:rFonts w:eastAsiaTheme="minorHAnsi"/>
          <w:lang w:eastAsia="en-US"/>
        </w:rPr>
        <w:t xml:space="preserve"> particularly in light of the volume of cases being unearthed by the current Royal Commission, and the heightened expectation of redress for those </w:t>
      </w:r>
      <w:r w:rsidR="000878D1">
        <w:rPr>
          <w:rFonts w:eastAsiaTheme="minorHAnsi"/>
          <w:lang w:eastAsia="en-US"/>
        </w:rPr>
        <w:t xml:space="preserve">who are now </w:t>
      </w:r>
      <w:r w:rsidR="000A1982">
        <w:rPr>
          <w:rFonts w:eastAsiaTheme="minorHAnsi"/>
          <w:lang w:eastAsia="en-US"/>
        </w:rPr>
        <w:t>coming forward</w:t>
      </w:r>
      <w:r w:rsidR="000878D1">
        <w:rPr>
          <w:rFonts w:eastAsiaTheme="minorHAnsi"/>
          <w:lang w:eastAsia="en-US"/>
        </w:rPr>
        <w:t xml:space="preserve"> to tell their story, in many cases for the first time.</w:t>
      </w:r>
      <w:r w:rsidR="000A1982">
        <w:rPr>
          <w:rFonts w:eastAsiaTheme="minorHAnsi"/>
          <w:lang w:eastAsia="en-US"/>
        </w:rPr>
        <w:t xml:space="preserve">  </w:t>
      </w:r>
    </w:p>
    <w:p w:rsidR="000A1982" w:rsidRPr="00DE0BDA" w:rsidRDefault="000A1982" w:rsidP="00607502">
      <w:pPr>
        <w:jc w:val="both"/>
        <w:rPr>
          <w:rFonts w:eastAsiaTheme="minorHAnsi"/>
          <w:lang w:eastAsia="en-US"/>
        </w:rPr>
      </w:pPr>
      <w:r>
        <w:rPr>
          <w:rFonts w:eastAsiaTheme="minorHAnsi"/>
          <w:lang w:eastAsia="en-US"/>
        </w:rPr>
        <w:t xml:space="preserve"> </w:t>
      </w:r>
    </w:p>
    <w:p w:rsidR="00A023DE" w:rsidRDefault="000878D1" w:rsidP="00607502">
      <w:pPr>
        <w:jc w:val="both"/>
        <w:rPr>
          <w:rFonts w:eastAsiaTheme="minorHAnsi"/>
          <w:lang w:eastAsia="en-US"/>
        </w:rPr>
      </w:pPr>
      <w:r>
        <w:rPr>
          <w:rFonts w:eastAsiaTheme="minorHAnsi"/>
          <w:lang w:eastAsia="en-US"/>
        </w:rPr>
        <w:t xml:space="preserve">Consequently, </w:t>
      </w:r>
      <w:r w:rsidR="000A1982">
        <w:rPr>
          <w:rFonts w:eastAsiaTheme="minorHAnsi"/>
          <w:lang w:eastAsia="en-US"/>
        </w:rPr>
        <w:t>PWDA does not regard the possible increase in the number</w:t>
      </w:r>
      <w:r>
        <w:rPr>
          <w:rFonts w:eastAsiaTheme="minorHAnsi"/>
          <w:lang w:eastAsia="en-US"/>
        </w:rPr>
        <w:t>,</w:t>
      </w:r>
      <w:r w:rsidR="000A1982">
        <w:rPr>
          <w:rFonts w:eastAsiaTheme="minorHAnsi"/>
          <w:lang w:eastAsia="en-US"/>
        </w:rPr>
        <w:t xml:space="preserve"> or scope</w:t>
      </w:r>
      <w:r>
        <w:rPr>
          <w:rFonts w:eastAsiaTheme="minorHAnsi"/>
          <w:lang w:eastAsia="en-US"/>
        </w:rPr>
        <w:t>,</w:t>
      </w:r>
      <w:r w:rsidR="000A1982">
        <w:rPr>
          <w:rFonts w:eastAsiaTheme="minorHAnsi"/>
          <w:lang w:eastAsia="en-US"/>
        </w:rPr>
        <w:t xml:space="preserve"> of claims </w:t>
      </w:r>
      <w:r>
        <w:rPr>
          <w:rFonts w:eastAsiaTheme="minorHAnsi"/>
          <w:lang w:eastAsia="en-US"/>
        </w:rPr>
        <w:t>following amendment</w:t>
      </w:r>
      <w:r w:rsidR="008F6E0A">
        <w:rPr>
          <w:rFonts w:eastAsiaTheme="minorHAnsi"/>
          <w:lang w:eastAsia="en-US"/>
        </w:rPr>
        <w:t>s</w:t>
      </w:r>
      <w:r>
        <w:rPr>
          <w:rFonts w:eastAsiaTheme="minorHAnsi"/>
          <w:lang w:eastAsia="en-US"/>
        </w:rPr>
        <w:t xml:space="preserve"> of this sort as a compelling reason to </w:t>
      </w:r>
      <w:r w:rsidR="008F6E0A">
        <w:rPr>
          <w:rFonts w:eastAsiaTheme="minorHAnsi"/>
          <w:lang w:eastAsia="en-US"/>
        </w:rPr>
        <w:t xml:space="preserve">retain the status quo. </w:t>
      </w:r>
      <w:r>
        <w:rPr>
          <w:rFonts w:eastAsiaTheme="minorHAnsi"/>
          <w:lang w:eastAsia="en-US"/>
        </w:rPr>
        <w:t xml:space="preserve">Moreover, </w:t>
      </w:r>
      <w:r w:rsidR="000D18D9">
        <w:rPr>
          <w:rFonts w:eastAsiaTheme="minorHAnsi"/>
          <w:lang w:eastAsia="en-US"/>
        </w:rPr>
        <w:t xml:space="preserve">the potential increase to the cost of insurance for organisations at risk of litigation is not </w:t>
      </w:r>
      <w:r w:rsidR="00761699">
        <w:rPr>
          <w:rFonts w:eastAsiaTheme="minorHAnsi"/>
          <w:lang w:eastAsia="en-US"/>
        </w:rPr>
        <w:t xml:space="preserve">a factor that should trump the right of an individual to receive </w:t>
      </w:r>
      <w:r w:rsidR="00A023DE">
        <w:rPr>
          <w:rFonts w:eastAsiaTheme="minorHAnsi"/>
          <w:lang w:eastAsia="en-US"/>
        </w:rPr>
        <w:t xml:space="preserve">acknowledgement and </w:t>
      </w:r>
      <w:r w:rsidR="00761699">
        <w:rPr>
          <w:rFonts w:eastAsiaTheme="minorHAnsi"/>
          <w:lang w:eastAsia="en-US"/>
        </w:rPr>
        <w:t xml:space="preserve">redress for harm done while in the care of that organisation.  </w:t>
      </w:r>
    </w:p>
    <w:p w:rsidR="00A023DE" w:rsidRDefault="00A023DE" w:rsidP="00607502">
      <w:pPr>
        <w:jc w:val="both"/>
        <w:rPr>
          <w:rFonts w:eastAsiaTheme="minorHAnsi"/>
          <w:lang w:eastAsia="en-US"/>
        </w:rPr>
      </w:pPr>
    </w:p>
    <w:p w:rsidR="00A023DE" w:rsidRDefault="00761699" w:rsidP="00607502">
      <w:pPr>
        <w:jc w:val="both"/>
        <w:rPr>
          <w:rFonts w:eastAsiaTheme="minorHAnsi"/>
          <w:lang w:eastAsia="en-US"/>
        </w:rPr>
      </w:pPr>
      <w:r>
        <w:rPr>
          <w:rFonts w:eastAsiaTheme="minorHAnsi"/>
          <w:lang w:eastAsia="en-US"/>
        </w:rPr>
        <w:t>All organisations with children in their care have a responsibility to protect those children and to uphold their right to bodily integrity</w:t>
      </w:r>
      <w:r w:rsidR="00A023DE">
        <w:rPr>
          <w:rFonts w:eastAsiaTheme="minorHAnsi"/>
          <w:lang w:eastAsia="en-US"/>
        </w:rPr>
        <w:t xml:space="preserve">; </w:t>
      </w:r>
      <w:r>
        <w:rPr>
          <w:rFonts w:eastAsiaTheme="minorHAnsi"/>
          <w:lang w:eastAsia="en-US"/>
        </w:rPr>
        <w:t xml:space="preserve">their right to </w:t>
      </w:r>
      <w:r w:rsidR="00A023DE">
        <w:rPr>
          <w:rFonts w:eastAsiaTheme="minorHAnsi"/>
          <w:lang w:eastAsia="en-US"/>
        </w:rPr>
        <w:t>be free from violence and abuse;</w:t>
      </w:r>
      <w:r>
        <w:rPr>
          <w:rFonts w:eastAsiaTheme="minorHAnsi"/>
          <w:lang w:eastAsia="en-US"/>
        </w:rPr>
        <w:t xml:space="preserve"> and to facilitate their right to </w:t>
      </w:r>
      <w:r w:rsidR="00A023DE">
        <w:rPr>
          <w:rFonts w:eastAsiaTheme="minorHAnsi"/>
          <w:lang w:eastAsia="en-US"/>
        </w:rPr>
        <w:t xml:space="preserve">access </w:t>
      </w:r>
      <w:r>
        <w:rPr>
          <w:rFonts w:eastAsiaTheme="minorHAnsi"/>
          <w:lang w:eastAsia="en-US"/>
        </w:rPr>
        <w:t xml:space="preserve">justice </w:t>
      </w:r>
      <w:r w:rsidR="008F6E0A">
        <w:rPr>
          <w:rFonts w:eastAsiaTheme="minorHAnsi"/>
          <w:lang w:eastAsia="en-US"/>
        </w:rPr>
        <w:t xml:space="preserve">when those </w:t>
      </w:r>
      <w:r>
        <w:rPr>
          <w:rFonts w:eastAsiaTheme="minorHAnsi"/>
          <w:lang w:eastAsia="en-US"/>
        </w:rPr>
        <w:t>rights</w:t>
      </w:r>
      <w:r w:rsidR="008F6E0A">
        <w:rPr>
          <w:rFonts w:eastAsiaTheme="minorHAnsi"/>
          <w:lang w:eastAsia="en-US"/>
        </w:rPr>
        <w:t xml:space="preserve"> are violated</w:t>
      </w:r>
      <w:r>
        <w:rPr>
          <w:rFonts w:eastAsiaTheme="minorHAnsi"/>
          <w:lang w:eastAsia="en-US"/>
        </w:rPr>
        <w:t xml:space="preserve">. </w:t>
      </w:r>
      <w:r w:rsidR="00A023DE">
        <w:rPr>
          <w:rFonts w:eastAsiaTheme="minorHAnsi"/>
          <w:lang w:eastAsia="en-US"/>
        </w:rPr>
        <w:t xml:space="preserve">All too often we have seen organisations fail to respond to allegations of </w:t>
      </w:r>
      <w:r w:rsidR="008F6E0A">
        <w:rPr>
          <w:rFonts w:eastAsiaTheme="minorHAnsi"/>
          <w:lang w:eastAsia="en-US"/>
        </w:rPr>
        <w:t xml:space="preserve">serious </w:t>
      </w:r>
      <w:r w:rsidR="00A023DE">
        <w:rPr>
          <w:rFonts w:eastAsiaTheme="minorHAnsi"/>
          <w:lang w:eastAsia="en-US"/>
        </w:rPr>
        <w:t>abuse until the threat of litigation</w:t>
      </w:r>
      <w:r w:rsidR="008F6E0A">
        <w:rPr>
          <w:rFonts w:eastAsiaTheme="minorHAnsi"/>
          <w:lang w:eastAsia="en-US"/>
        </w:rPr>
        <w:t xml:space="preserve"> or reputational damage looms and this trend must cease. </w:t>
      </w:r>
    </w:p>
    <w:p w:rsidR="00A023DE" w:rsidRDefault="00A023DE" w:rsidP="00607502">
      <w:pPr>
        <w:jc w:val="both"/>
        <w:rPr>
          <w:rFonts w:eastAsiaTheme="minorHAnsi"/>
          <w:lang w:eastAsia="en-US"/>
        </w:rPr>
      </w:pPr>
    </w:p>
    <w:p w:rsidR="00A023DE" w:rsidRDefault="00761699" w:rsidP="00607502">
      <w:pPr>
        <w:jc w:val="both"/>
        <w:rPr>
          <w:rFonts w:eastAsiaTheme="minorHAnsi"/>
          <w:lang w:eastAsia="en-US"/>
        </w:rPr>
      </w:pPr>
      <w:r>
        <w:rPr>
          <w:rFonts w:eastAsiaTheme="minorHAnsi"/>
          <w:lang w:eastAsia="en-US"/>
        </w:rPr>
        <w:t xml:space="preserve">Organisations with adequate </w:t>
      </w:r>
      <w:r w:rsidR="005A2319">
        <w:rPr>
          <w:rFonts w:eastAsiaTheme="minorHAnsi"/>
          <w:lang w:eastAsia="en-US"/>
        </w:rPr>
        <w:t xml:space="preserve">quality and safeguards </w:t>
      </w:r>
      <w:r w:rsidR="00CB7DE1">
        <w:rPr>
          <w:rFonts w:eastAsiaTheme="minorHAnsi"/>
          <w:lang w:eastAsia="en-US"/>
        </w:rPr>
        <w:t xml:space="preserve">frameworks </w:t>
      </w:r>
      <w:r w:rsidR="005A2319">
        <w:rPr>
          <w:rFonts w:eastAsiaTheme="minorHAnsi"/>
          <w:lang w:eastAsia="en-US"/>
        </w:rPr>
        <w:t xml:space="preserve">in </w:t>
      </w:r>
      <w:r>
        <w:rPr>
          <w:rFonts w:eastAsiaTheme="minorHAnsi"/>
          <w:lang w:eastAsia="en-US"/>
        </w:rPr>
        <w:t xml:space="preserve">place to mitigate sexual abuse of children should not find themselves </w:t>
      </w:r>
      <w:r w:rsidR="005A2319">
        <w:rPr>
          <w:rFonts w:eastAsiaTheme="minorHAnsi"/>
          <w:lang w:eastAsia="en-US"/>
        </w:rPr>
        <w:t xml:space="preserve">in a position whereby </w:t>
      </w:r>
      <w:r w:rsidR="00A023DE">
        <w:rPr>
          <w:rFonts w:eastAsiaTheme="minorHAnsi"/>
          <w:lang w:eastAsia="en-US"/>
        </w:rPr>
        <w:t xml:space="preserve">allegations of abuse are made. Higher insurance premiums may even be a motivating factor for organisations to implement more robust </w:t>
      </w:r>
      <w:r w:rsidR="007073ED">
        <w:rPr>
          <w:rFonts w:eastAsiaTheme="minorHAnsi"/>
          <w:lang w:eastAsia="en-US"/>
        </w:rPr>
        <w:t>preventative</w:t>
      </w:r>
      <w:r w:rsidR="00A023DE">
        <w:rPr>
          <w:rFonts w:eastAsiaTheme="minorHAnsi"/>
          <w:lang w:eastAsia="en-US"/>
        </w:rPr>
        <w:t xml:space="preserve"> mechanisms.  At a systemic level, for children with disability these </w:t>
      </w:r>
      <w:r w:rsidR="00CB7DE1">
        <w:rPr>
          <w:rFonts w:eastAsiaTheme="minorHAnsi"/>
          <w:lang w:eastAsia="en-US"/>
        </w:rPr>
        <w:t>preventative mechanisms</w:t>
      </w:r>
      <w:r w:rsidR="00A023DE">
        <w:rPr>
          <w:rFonts w:eastAsiaTheme="minorHAnsi"/>
          <w:lang w:eastAsia="en-US"/>
        </w:rPr>
        <w:t xml:space="preserve"> include the closure of residential institutions, provision of adequate disability support in the community, removal of barriers to accessing justice, and increased social and economic inclusion in the community.  </w:t>
      </w:r>
    </w:p>
    <w:p w:rsidR="000A1982" w:rsidRDefault="000A1982" w:rsidP="00607502">
      <w:pPr>
        <w:jc w:val="both"/>
        <w:rPr>
          <w:rFonts w:eastAsiaTheme="minorHAnsi"/>
          <w:lang w:eastAsia="en-US"/>
        </w:rPr>
      </w:pPr>
    </w:p>
    <w:p w:rsidR="00DE0BDA" w:rsidRDefault="007073ED" w:rsidP="00607502">
      <w:pPr>
        <w:jc w:val="both"/>
        <w:rPr>
          <w:rFonts w:eastAsiaTheme="minorHAnsi"/>
          <w:lang w:eastAsia="en-US"/>
        </w:rPr>
      </w:pPr>
      <w:r>
        <w:rPr>
          <w:rFonts w:eastAsiaTheme="minorHAnsi"/>
          <w:lang w:eastAsia="en-US"/>
        </w:rPr>
        <w:t xml:space="preserve">PWDA thanks the </w:t>
      </w:r>
      <w:r w:rsidR="00DE0BDA" w:rsidRPr="00DE0BDA">
        <w:rPr>
          <w:rFonts w:eastAsiaTheme="minorHAnsi"/>
          <w:lang w:eastAsia="en-US"/>
        </w:rPr>
        <w:t xml:space="preserve">NSW Department of Justice for the opportunity to provide feedback </w:t>
      </w:r>
      <w:r w:rsidR="00B31A3F">
        <w:rPr>
          <w:rFonts w:eastAsiaTheme="minorHAnsi"/>
          <w:lang w:eastAsia="en-US"/>
        </w:rPr>
        <w:t>on</w:t>
      </w:r>
      <w:r>
        <w:rPr>
          <w:rFonts w:eastAsiaTheme="minorHAnsi"/>
          <w:lang w:eastAsia="en-US"/>
        </w:rPr>
        <w:t xml:space="preserve"> this Discussion P</w:t>
      </w:r>
      <w:r w:rsidR="00DE0BDA" w:rsidRPr="00DE0BDA">
        <w:rPr>
          <w:rFonts w:eastAsiaTheme="minorHAnsi"/>
          <w:lang w:eastAsia="en-US"/>
        </w:rPr>
        <w:t xml:space="preserve">aper. </w:t>
      </w:r>
      <w:r>
        <w:rPr>
          <w:rFonts w:eastAsiaTheme="minorHAnsi"/>
          <w:lang w:eastAsia="en-US"/>
        </w:rPr>
        <w:t xml:space="preserve"> We would welcome further consultation on any of the matters raised.</w:t>
      </w:r>
    </w:p>
    <w:p w:rsidR="007073ED" w:rsidRPr="00DE0BDA" w:rsidRDefault="007073ED" w:rsidP="00607502">
      <w:pPr>
        <w:jc w:val="both"/>
        <w:rPr>
          <w:rFonts w:eastAsiaTheme="minorHAnsi"/>
          <w:lang w:eastAsia="en-US"/>
        </w:rPr>
      </w:pPr>
    </w:p>
    <w:p w:rsidR="00DE0BDA" w:rsidRDefault="00264517" w:rsidP="00607502">
      <w:pPr>
        <w:jc w:val="both"/>
        <w:rPr>
          <w:rFonts w:eastAsiaTheme="minorHAnsi"/>
          <w:lang w:eastAsia="en-US"/>
        </w:rPr>
      </w:pPr>
      <w:r>
        <w:rPr>
          <w:rFonts w:eastAsiaTheme="minorHAnsi"/>
          <w:lang w:eastAsia="en-US"/>
        </w:rPr>
        <w:t xml:space="preserve">Yours faithfully </w:t>
      </w:r>
    </w:p>
    <w:p w:rsidR="00B31A3F" w:rsidRPr="00DE0BDA" w:rsidRDefault="00B31A3F" w:rsidP="00607502">
      <w:pPr>
        <w:jc w:val="both"/>
        <w:rPr>
          <w:rFonts w:eastAsiaTheme="minorHAnsi"/>
          <w:lang w:eastAsia="en-US"/>
        </w:rPr>
      </w:pPr>
    </w:p>
    <w:p w:rsidR="00DE0BDA" w:rsidRPr="00DE0BDA" w:rsidRDefault="00DE0BDA" w:rsidP="00607502">
      <w:pPr>
        <w:jc w:val="both"/>
        <w:rPr>
          <w:rFonts w:eastAsiaTheme="minorHAnsi"/>
          <w:lang w:eastAsia="en-US"/>
        </w:rPr>
      </w:pPr>
      <w:r w:rsidRPr="00DE0BDA">
        <w:rPr>
          <w:rFonts w:eastAsiaTheme="minorHAnsi"/>
          <w:noProof/>
        </w:rPr>
        <w:drawing>
          <wp:inline distT="0" distB="0" distL="0" distR="0" wp14:anchorId="15A2B957" wp14:editId="1EACF215">
            <wp:extent cx="1190625" cy="5788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3759" cy="590114"/>
                    </a:xfrm>
                    <a:prstGeom prst="rect">
                      <a:avLst/>
                    </a:prstGeom>
                  </pic:spPr>
                </pic:pic>
              </a:graphicData>
            </a:graphic>
          </wp:inline>
        </w:drawing>
      </w:r>
    </w:p>
    <w:p w:rsidR="00DE0BDA" w:rsidRPr="00DE0BDA" w:rsidRDefault="00DE0BDA" w:rsidP="00607502">
      <w:pPr>
        <w:jc w:val="both"/>
        <w:rPr>
          <w:rFonts w:eastAsiaTheme="minorHAnsi"/>
          <w:lang w:eastAsia="en-US"/>
        </w:rPr>
      </w:pPr>
      <w:r w:rsidRPr="00DE0BDA">
        <w:rPr>
          <w:rFonts w:eastAsiaTheme="minorHAnsi"/>
          <w:lang w:eastAsia="en-US"/>
        </w:rPr>
        <w:t>Jess Cadwallader</w:t>
      </w:r>
    </w:p>
    <w:p w:rsidR="00DE0BDA" w:rsidRDefault="00264517" w:rsidP="00607502">
      <w:pPr>
        <w:jc w:val="both"/>
        <w:rPr>
          <w:rFonts w:eastAsiaTheme="minorHAnsi"/>
          <w:lang w:eastAsia="en-US"/>
        </w:rPr>
      </w:pPr>
      <w:r>
        <w:rPr>
          <w:rFonts w:eastAsiaTheme="minorHAnsi"/>
          <w:lang w:eastAsia="en-US"/>
        </w:rPr>
        <w:t xml:space="preserve">Advocacy Project Manager: Violence Prevention </w:t>
      </w:r>
    </w:p>
    <w:p w:rsidR="00CB7DE1" w:rsidRPr="00264517" w:rsidRDefault="003D6E71" w:rsidP="00607502">
      <w:pPr>
        <w:jc w:val="both"/>
        <w:sectPr w:rsidR="00CB7DE1" w:rsidRPr="00264517" w:rsidSect="004612DD">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titlePg/>
          <w:docGrid w:linePitch="360"/>
        </w:sectPr>
      </w:pPr>
      <w:hyperlink r:id="rId15" w:history="1">
        <w:r w:rsidR="00264517" w:rsidRPr="002B1A4A">
          <w:rPr>
            <w:rStyle w:val="Hyperlink"/>
            <w:rFonts w:eastAsiaTheme="minorHAnsi"/>
            <w:lang w:eastAsia="en-US"/>
          </w:rPr>
          <w:t>jessc@pwd.org.au</w:t>
        </w:r>
      </w:hyperlink>
      <w:r w:rsidR="00264517">
        <w:rPr>
          <w:rFonts w:eastAsiaTheme="minorHAnsi"/>
          <w:lang w:eastAsia="en-US"/>
        </w:rPr>
        <w:t xml:space="preserve"> </w:t>
      </w:r>
    </w:p>
    <w:p w:rsidR="00CB7DE1" w:rsidRDefault="00CB7DE1" w:rsidP="00607502">
      <w:pPr>
        <w:jc w:val="both"/>
      </w:pPr>
    </w:p>
    <w:p w:rsidR="00E14B33" w:rsidRPr="00264517" w:rsidRDefault="00E14B33" w:rsidP="00607502">
      <w:pPr>
        <w:jc w:val="both"/>
        <w:rPr>
          <w:rStyle w:val="Hyperlink"/>
        </w:rPr>
      </w:pPr>
      <w:r w:rsidRPr="00264517">
        <w:br w:type="page"/>
      </w:r>
      <w:r w:rsidR="00090D78" w:rsidRPr="00264517">
        <w:rPr>
          <w:i/>
        </w:rPr>
        <w:lastRenderedPageBreak/>
        <w:t xml:space="preserve"> </w:t>
      </w:r>
    </w:p>
    <w:sectPr w:rsidR="00E14B33" w:rsidRPr="00264517" w:rsidSect="006428A3">
      <w:footerReference w:type="even" r:id="rId16"/>
      <w:footerReference w:type="default" r:id="rId17"/>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36D" w:rsidRDefault="006B436D">
      <w:r>
        <w:separator/>
      </w:r>
    </w:p>
  </w:endnote>
  <w:endnote w:type="continuationSeparator" w:id="0">
    <w:p w:rsidR="006B436D" w:rsidRDefault="006B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Century Gothic"/>
    <w:charset w:val="00"/>
    <w:family w:val="swiss"/>
    <w:pitch w:val="variable"/>
    <w:sig w:usb0="00000007" w:usb1="00000000" w:usb2="00000000" w:usb3="00000000" w:csb0="0000001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Pr="00264517" w:rsidRDefault="006B436D" w:rsidP="00264517">
    <w:pPr>
      <w:pStyle w:val="Footer"/>
      <w:framePr w:wrap="around" w:vAnchor="text" w:hAnchor="margin" w:xAlign="right" w:y="1"/>
      <w:jc w:val="center"/>
      <w:rPr>
        <w:rStyle w:val="PageNumber"/>
        <w:sz w:val="20"/>
      </w:rPr>
    </w:pPr>
    <w:r w:rsidRPr="00264517">
      <w:rPr>
        <w:rStyle w:val="PageNumber"/>
        <w:sz w:val="20"/>
      </w:rPr>
      <w:fldChar w:fldCharType="begin"/>
    </w:r>
    <w:r w:rsidRPr="00264517">
      <w:rPr>
        <w:rStyle w:val="PageNumber"/>
        <w:sz w:val="20"/>
      </w:rPr>
      <w:instrText xml:space="preserve">PAGE  </w:instrText>
    </w:r>
    <w:r w:rsidRPr="00264517">
      <w:rPr>
        <w:rStyle w:val="PageNumber"/>
        <w:sz w:val="20"/>
      </w:rPr>
      <w:fldChar w:fldCharType="end"/>
    </w:r>
  </w:p>
  <w:p w:rsidR="006B436D" w:rsidRPr="00264517" w:rsidRDefault="006B436D" w:rsidP="00264517">
    <w:pPr>
      <w:pStyle w:val="Footer"/>
      <w:ind w:right="360"/>
      <w:jc w:val="center"/>
      <w:rPr>
        <w:sz w:val="20"/>
      </w:rPr>
    </w:pPr>
  </w:p>
  <w:p w:rsidR="006B436D" w:rsidRPr="00264517" w:rsidRDefault="006B436D" w:rsidP="00264517">
    <w:pP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Pr="00264517" w:rsidRDefault="006B436D" w:rsidP="00264517">
    <w:pPr>
      <w:pStyle w:val="Footer"/>
      <w:ind w:right="-46"/>
      <w:jc w:val="center"/>
      <w:rPr>
        <w:sz w:val="20"/>
      </w:rPr>
    </w:pPr>
    <w:r w:rsidRPr="00264517">
      <w:rPr>
        <w:sz w:val="20"/>
      </w:rPr>
      <w:t xml:space="preserve">   </w:t>
    </w:r>
    <w:r w:rsidRPr="00264517">
      <w:rPr>
        <w:sz w:val="20"/>
      </w:rPr>
      <w:fldChar w:fldCharType="begin"/>
    </w:r>
    <w:r w:rsidRPr="00264517">
      <w:rPr>
        <w:sz w:val="20"/>
      </w:rPr>
      <w:instrText xml:space="preserve"> PAGE </w:instrText>
    </w:r>
    <w:r w:rsidRPr="00264517">
      <w:rPr>
        <w:sz w:val="20"/>
      </w:rPr>
      <w:fldChar w:fldCharType="separate"/>
    </w:r>
    <w:r w:rsidR="003D6E71">
      <w:rPr>
        <w:noProof/>
        <w:sz w:val="20"/>
      </w:rPr>
      <w:t>5</w:t>
    </w:r>
    <w:r w:rsidRPr="00264517">
      <w:rPr>
        <w:sz w:val="20"/>
      </w:rPr>
      <w:fldChar w:fldCharType="end"/>
    </w:r>
    <w:r w:rsidRPr="00264517">
      <w:rPr>
        <w:sz w:val="20"/>
      </w:rPr>
      <w:t xml:space="preserve"> of </w:t>
    </w:r>
    <w:r w:rsidR="00CB7DE1">
      <w:rPr>
        <w:sz w:val="20"/>
      </w:rPr>
      <w:t>5</w:t>
    </w:r>
  </w:p>
  <w:p w:rsidR="006B436D" w:rsidRDefault="006B43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Pr="00D808BC" w:rsidRDefault="006B436D" w:rsidP="00D808BC">
    <w:pPr>
      <w:autoSpaceDE w:val="0"/>
      <w:autoSpaceDN w:val="0"/>
      <w:adjustRightInd w:val="0"/>
      <w:spacing w:line="288" w:lineRule="auto"/>
      <w:jc w:val="center"/>
      <w:textAlignment w:val="center"/>
      <w:rPr>
        <w:color w:val="000000"/>
        <w:sz w:val="22"/>
        <w:szCs w:val="22"/>
        <w:lang w:val="en-US" w:eastAsia="en-US"/>
      </w:rPr>
    </w:pPr>
    <w:r w:rsidRPr="00D808BC">
      <w:rPr>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95885</wp:posOffset>
              </wp:positionV>
              <wp:extent cx="5736590" cy="0"/>
              <wp:effectExtent l="9525" t="10160" r="6985" b="88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B3F39"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Y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"/>
          </w:pict>
        </mc:Fallback>
      </mc:AlternateContent>
    </w:r>
  </w:p>
  <w:p w:rsidR="006B436D" w:rsidRPr="00D808BC" w:rsidRDefault="006B436D" w:rsidP="00D808BC">
    <w:pPr>
      <w:tabs>
        <w:tab w:val="center" w:pos="4513"/>
        <w:tab w:val="right" w:pos="9026"/>
      </w:tabs>
      <w:jc w:val="center"/>
    </w:pPr>
    <w:r w:rsidRPr="00D808BC">
      <w:rPr>
        <w:sz w:val="18"/>
        <w:szCs w:val="18"/>
        <w:lang w:eastAsia="en-US"/>
      </w:rPr>
      <w:t xml:space="preserve">Our vision is of a socially just, accessible and inclusive community, in which the human rights, </w:t>
    </w:r>
    <w:r w:rsidRPr="00D808BC">
      <w:rPr>
        <w:sz w:val="18"/>
        <w:szCs w:val="18"/>
        <w:lang w:eastAsia="en-US"/>
      </w:rPr>
      <w:br/>
      <w:t>citizenship, contribution and potential of people with disability are respected and celebrated.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Default="006B436D" w:rsidP="004D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36D" w:rsidRDefault="006B436D" w:rsidP="004D2FF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Pr="00CB7DE1" w:rsidRDefault="006B436D" w:rsidP="00CB7DE1">
    <w:pPr>
      <w:pStyle w:val="Footer"/>
      <w:jc w:val="center"/>
      <w:rPr>
        <w:sz w:val="20"/>
      </w:rPr>
    </w:pPr>
    <w:r w:rsidRPr="00CB7DE1">
      <w:rPr>
        <w:sz w:val="20"/>
      </w:rPr>
      <w:fldChar w:fldCharType="begin"/>
    </w:r>
    <w:r w:rsidRPr="00CB7DE1">
      <w:rPr>
        <w:sz w:val="20"/>
      </w:rPr>
      <w:instrText xml:space="preserve"> PAGE </w:instrText>
    </w:r>
    <w:r w:rsidRPr="00CB7DE1">
      <w:rPr>
        <w:sz w:val="20"/>
      </w:rPr>
      <w:fldChar w:fldCharType="separate"/>
    </w:r>
    <w:r w:rsidR="003D6E71">
      <w:rPr>
        <w:noProof/>
        <w:sz w:val="20"/>
      </w:rPr>
      <w:t>6</w:t>
    </w:r>
    <w:r w:rsidRPr="00CB7DE1">
      <w:rPr>
        <w:sz w:val="20"/>
      </w:rPr>
      <w:fldChar w:fldCharType="end"/>
    </w:r>
    <w:r w:rsidRPr="00CB7DE1">
      <w:rPr>
        <w:sz w:val="20"/>
      </w:rPr>
      <w:t xml:space="preserve"> of </w:t>
    </w:r>
    <w:r w:rsidRPr="00CB7DE1">
      <w:rPr>
        <w:sz w:val="20"/>
      </w:rPr>
      <w:fldChar w:fldCharType="begin"/>
    </w:r>
    <w:r w:rsidRPr="00CB7DE1">
      <w:rPr>
        <w:sz w:val="20"/>
      </w:rPr>
      <w:instrText xml:space="preserve"> NUMPAGES </w:instrText>
    </w:r>
    <w:r w:rsidRPr="00CB7DE1">
      <w:rPr>
        <w:sz w:val="20"/>
      </w:rPr>
      <w:fldChar w:fldCharType="separate"/>
    </w:r>
    <w:r w:rsidR="003D6E71">
      <w:rPr>
        <w:noProof/>
        <w:sz w:val="20"/>
      </w:rPr>
      <w:t>6</w:t>
    </w:r>
    <w:r w:rsidRPr="00CB7DE1">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36D" w:rsidRDefault="006B436D">
      <w:r>
        <w:separator/>
      </w:r>
    </w:p>
  </w:footnote>
  <w:footnote w:type="continuationSeparator" w:id="0">
    <w:p w:rsidR="006B436D" w:rsidRDefault="006B436D">
      <w:r>
        <w:continuationSeparator/>
      </w:r>
    </w:p>
  </w:footnote>
  <w:footnote w:id="1">
    <w:p w:rsidR="006B436D" w:rsidRDefault="006B436D" w:rsidP="00CB7DE1">
      <w:pPr>
        <w:pStyle w:val="FootnoteText"/>
        <w:jc w:val="left"/>
      </w:pPr>
      <w:r>
        <w:rPr>
          <w:rStyle w:val="FootnoteReference"/>
        </w:rPr>
        <w:footnoteRef/>
      </w:r>
      <w:r>
        <w:t xml:space="preserve"> </w:t>
      </w:r>
      <w:hyperlink r:id="rId1" w:history="1">
        <w:r w:rsidRPr="002B1A4A">
          <w:rPr>
            <w:rStyle w:val="Hyperlink"/>
          </w:rPr>
          <w:t>http://www.agd.sa.gov.au/initiatives/disability-justice-plan</w:t>
        </w:r>
      </w:hyperlink>
      <w:r>
        <w:t xml:space="preserve"> </w:t>
      </w:r>
    </w:p>
  </w:footnote>
  <w:footnote w:id="2">
    <w:p w:rsidR="006B436D" w:rsidRPr="00FB3B88" w:rsidRDefault="006B436D" w:rsidP="00CB7DE1">
      <w:pPr>
        <w:pStyle w:val="FootnoteText"/>
        <w:jc w:val="left"/>
      </w:pPr>
      <w:r w:rsidRPr="00FB3B88">
        <w:rPr>
          <w:rStyle w:val="FootnoteReference"/>
        </w:rPr>
        <w:footnoteRef/>
      </w:r>
      <w:r w:rsidRPr="00FB3B88">
        <w:t xml:space="preserve"> Sally Robinson (2011) Enabling and protecting: Proactive approaches to addressing the abuse and neglect of children and young people with disability, Children with Disability Australia, p. 9.</w:t>
      </w:r>
    </w:p>
  </w:footnote>
  <w:footnote w:id="3">
    <w:p w:rsidR="006B436D" w:rsidRPr="00686A98" w:rsidRDefault="006B436D" w:rsidP="00CB7DE1">
      <w:pPr>
        <w:pStyle w:val="FootnoteText"/>
        <w:jc w:val="left"/>
      </w:pPr>
      <w:r>
        <w:rPr>
          <w:rStyle w:val="FootnoteReference"/>
        </w:rPr>
        <w:footnoteRef/>
      </w:r>
      <w:r>
        <w:t xml:space="preserve"> Lisa Jones, Prof Mark A </w:t>
      </w:r>
      <w:proofErr w:type="spellStart"/>
      <w:r>
        <w:t>Bellis</w:t>
      </w:r>
      <w:proofErr w:type="spellEnd"/>
      <w:r>
        <w:t xml:space="preserve">, Sara Wood, MSc, Karen Hughes, PhD, Ellie McCoy, Lindsay </w:t>
      </w:r>
      <w:proofErr w:type="spellStart"/>
      <w:r>
        <w:t>Eckley</w:t>
      </w:r>
      <w:proofErr w:type="spellEnd"/>
      <w:r>
        <w:t xml:space="preserve">, Geoff Bates, MSc, Christopher </w:t>
      </w:r>
      <w:proofErr w:type="spellStart"/>
      <w:r>
        <w:t>Mikton</w:t>
      </w:r>
      <w:proofErr w:type="spellEnd"/>
      <w:r>
        <w:t>, Tom Shakespeare, Alana Officer (2012), “</w:t>
      </w:r>
      <w:r w:rsidRPr="00686A98">
        <w:t>Prevalence and risk of violence against children with disabilities: a systematic review and meta-analysis of observational studies</w:t>
      </w:r>
      <w:r>
        <w:t xml:space="preserve">” in </w:t>
      </w:r>
      <w:r>
        <w:rPr>
          <w:i/>
        </w:rPr>
        <w:t>Lancet</w:t>
      </w:r>
      <w:r>
        <w:t xml:space="preserve"> 380 (9845), pp.899-907.</w:t>
      </w:r>
    </w:p>
    <w:p w:rsidR="006B436D" w:rsidRDefault="006B436D" w:rsidP="00CB7DE1">
      <w:pPr>
        <w:pStyle w:val="FootnoteText"/>
        <w:jc w:val="left"/>
      </w:pPr>
    </w:p>
    <w:p w:rsidR="006B436D" w:rsidRDefault="006B436D" w:rsidP="00CB7DE1">
      <w:pPr>
        <w:pStyle w:val="FootnoteText"/>
        <w:jc w:val="left"/>
      </w:pPr>
    </w:p>
  </w:footnote>
  <w:footnote w:id="4">
    <w:p w:rsidR="006B436D" w:rsidRDefault="006B436D" w:rsidP="00CB7DE1">
      <w:pPr>
        <w:pStyle w:val="FootnoteText"/>
        <w:jc w:val="left"/>
      </w:pPr>
      <w:r>
        <w:rPr>
          <w:rStyle w:val="FootnoteReference"/>
        </w:rPr>
        <w:footnoteRef/>
      </w:r>
      <w:r>
        <w:t xml:space="preserve"> </w:t>
      </w:r>
      <w:proofErr w:type="spellStart"/>
      <w:r>
        <w:t>Kotulski</w:t>
      </w:r>
      <w:proofErr w:type="spellEnd"/>
      <w:r>
        <w:t xml:space="preserve"> v </w:t>
      </w:r>
      <w:proofErr w:type="spellStart"/>
      <w:r>
        <w:t>Attard</w:t>
      </w:r>
      <w:proofErr w:type="spellEnd"/>
      <w:r>
        <w:t xml:space="preserve"> [1981] 1 NSWLR 115, see Discussion Paper page 13. </w:t>
      </w:r>
    </w:p>
  </w:footnote>
  <w:footnote w:id="5">
    <w:p w:rsidR="006B436D" w:rsidRDefault="006B436D" w:rsidP="00CB7DE1">
      <w:pPr>
        <w:pStyle w:val="FootnoteText"/>
        <w:jc w:val="left"/>
      </w:pPr>
      <w:r>
        <w:rPr>
          <w:rStyle w:val="FootnoteReference"/>
        </w:rPr>
        <w:footnoteRef/>
      </w:r>
      <w:r>
        <w:t xml:space="preserve"> See Discussion Paper page 16.</w:t>
      </w:r>
    </w:p>
  </w:footnote>
  <w:footnote w:id="6">
    <w:p w:rsidR="006B436D" w:rsidRDefault="006B436D" w:rsidP="00CB7DE1">
      <w:pPr>
        <w:pStyle w:val="FootnoteText"/>
        <w:jc w:val="left"/>
      </w:pPr>
      <w:r>
        <w:rPr>
          <w:rStyle w:val="FootnoteReference"/>
        </w:rPr>
        <w:footnoteRef/>
      </w:r>
      <w:r>
        <w:t xml:space="preserve"> See Discussion Paper page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Pr="00264517" w:rsidRDefault="006B436D" w:rsidP="00264517">
    <w:pPr>
      <w:pStyle w:val="Header"/>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36D" w:rsidRDefault="006B436D" w:rsidP="00DF2E4A">
    <w:pPr>
      <w:keepLines/>
      <w:tabs>
        <w:tab w:val="center" w:pos="4153"/>
        <w:tab w:val="right" w:pos="8306"/>
      </w:tabs>
      <w:rPr>
        <w:sz w:val="14"/>
      </w:rPr>
    </w:pPr>
  </w:p>
  <w:p w:rsidR="006B436D" w:rsidRPr="00D808BC" w:rsidRDefault="006B436D" w:rsidP="00D808BC">
    <w:pPr>
      <w:tabs>
        <w:tab w:val="center" w:pos="4513"/>
      </w:tabs>
      <w:jc w:val="left"/>
      <w:rPr>
        <w:rFonts w:ascii="Times New Roman" w:hAnsi="Times New Roman" w:cs="Times New Roman"/>
        <w:lang w:eastAsia="en-US"/>
      </w:rPr>
    </w:pPr>
  </w:p>
  <w:p w:rsidR="006B436D" w:rsidRPr="00D808BC" w:rsidRDefault="006B436D" w:rsidP="00D808BC">
    <w:pPr>
      <w:tabs>
        <w:tab w:val="center" w:pos="4513"/>
        <w:tab w:val="right" w:pos="9026"/>
      </w:tabs>
      <w:jc w:val="left"/>
      <w:rPr>
        <w:rFonts w:ascii="Times New Roman" w:hAnsi="Times New Roman" w:cs="Times New Roman"/>
        <w:lang w:eastAsia="en-US"/>
      </w:rPr>
    </w:pPr>
  </w:p>
  <w:p w:rsidR="006B436D" w:rsidRPr="00D808BC" w:rsidRDefault="006B436D" w:rsidP="00D808BC">
    <w:pPr>
      <w:rPr>
        <w:sz w:val="14"/>
      </w:rPr>
    </w:pPr>
    <w:r w:rsidRPr="00D808BC">
      <w:rPr>
        <w:rFonts w:cs="Times New Roman"/>
        <w:noProof/>
        <w:sz w:val="20"/>
        <w:szCs w:val="20"/>
      </w:rPr>
      <mc:AlternateContent>
        <mc:Choice Requires="wps">
          <w:drawing>
            <wp:anchor distT="0" distB="0" distL="114300" distR="114300" simplePos="0" relativeHeight="251656192" behindDoc="0" locked="0" layoutInCell="0" allowOverlap="1">
              <wp:simplePos x="0" y="0"/>
              <wp:positionH relativeFrom="page">
                <wp:posOffset>4255135</wp:posOffset>
              </wp:positionH>
              <wp:positionV relativeFrom="page">
                <wp:posOffset>997585</wp:posOffset>
              </wp:positionV>
              <wp:extent cx="2649855"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6D" w:rsidRDefault="006B436D" w:rsidP="00D808BC">
                          <w:pPr>
                            <w:pStyle w:val="PlainText"/>
                            <w:jc w:val="lef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6B436D" w:rsidRDefault="006B436D"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6B436D" w:rsidRDefault="006B436D"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rsidR="006B436D" w:rsidRDefault="006B436D"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6B436D" w:rsidRDefault="006B436D"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rsidR="006B436D" w:rsidRDefault="006B436D"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6B436D" w:rsidRDefault="006B436D"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rFonts w:cs="Arial"/>
                                <w:sz w:val="18"/>
                              </w:rPr>
                              <w:t>pwd@pwd.org.au</w:t>
                            </w:r>
                          </w:hyperlink>
                        </w:p>
                        <w:p w:rsidR="006B436D" w:rsidRDefault="006B436D"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6B436D" w:rsidRDefault="006B436D"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5.05pt;margin-top:78.55pt;width:208.65pt;height:1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4Y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" o:allowincell="f" stroked="f">
              <v:textbox inset="0,0,0,0">
                <w:txbxContent>
                  <w:p w:rsidR="006B436D" w:rsidRDefault="006B436D" w:rsidP="00D808BC">
                    <w:pPr>
                      <w:pStyle w:val="PlainText"/>
                      <w:jc w:val="left"/>
                      <w:rPr>
                        <w:rFonts w:ascii="Arial" w:hAnsi="Arial" w:cs="Arial"/>
                        <w:b/>
                        <w:sz w:val="18"/>
                      </w:rPr>
                    </w:pPr>
                    <w:r>
                      <w:rPr>
                        <w:rFonts w:ascii="Arial" w:hAnsi="Arial" w:cs="Arial"/>
                        <w:b/>
                        <w:sz w:val="18"/>
                      </w:rPr>
                      <w:t xml:space="preserve">People with Disability </w:t>
                    </w:r>
                    <w:smartTag w:uri="urn:schemas-microsoft-com:office:smarttags" w:element="place">
                      <w:smartTag w:uri="urn:schemas-microsoft-com:office:smarttags" w:element="country-region">
                        <w:r>
                          <w:rPr>
                            <w:rFonts w:ascii="Arial" w:hAnsi="Arial" w:cs="Arial"/>
                            <w:b/>
                            <w:sz w:val="18"/>
                          </w:rPr>
                          <w:t>Australia</w:t>
                        </w:r>
                      </w:smartTag>
                    </w:smartTag>
                    <w:r>
                      <w:rPr>
                        <w:rFonts w:ascii="Arial" w:hAnsi="Arial" w:cs="Arial"/>
                        <w:b/>
                        <w:sz w:val="18"/>
                      </w:rPr>
                      <w:t xml:space="preserve"> Incorporated</w:t>
                    </w:r>
                  </w:p>
                  <w:p w:rsidR="006B436D" w:rsidRDefault="006B436D" w:rsidP="00D808BC">
                    <w:pPr>
                      <w:pStyle w:val="PlainText"/>
                      <w:tabs>
                        <w:tab w:val="left" w:pos="1701"/>
                      </w:tabs>
                      <w:spacing w:before="40"/>
                      <w:jc w:val="left"/>
                      <w:rPr>
                        <w:rFonts w:ascii="Arial" w:hAnsi="Arial" w:cs="Arial"/>
                        <w:sz w:val="18"/>
                      </w:rPr>
                    </w:pPr>
                    <w:r>
                      <w:rPr>
                        <w:rFonts w:ascii="Arial" w:hAnsi="Arial" w:cs="Arial"/>
                        <w:b/>
                        <w:sz w:val="18"/>
                      </w:rPr>
                      <w:t>Postal Address:</w:t>
                    </w:r>
                    <w:r>
                      <w:rPr>
                        <w:rFonts w:ascii="Arial" w:hAnsi="Arial" w:cs="Arial"/>
                        <w:sz w:val="18"/>
                      </w:rPr>
                      <w:tab/>
                    </w:r>
                    <w:smartTag w:uri="urn:schemas-microsoft-com:office:smarttags" w:element="address">
                      <w:smartTag w:uri="urn:schemas-microsoft-com:office:smarttags" w:element="Street">
                        <w:r>
                          <w:rPr>
                            <w:rFonts w:ascii="Arial" w:hAnsi="Arial" w:cs="Arial"/>
                            <w:sz w:val="18"/>
                          </w:rPr>
                          <w:t>PO Box</w:t>
                        </w:r>
                      </w:smartTag>
                      <w:r>
                        <w:rPr>
                          <w:rFonts w:ascii="Arial" w:hAnsi="Arial" w:cs="Arial"/>
                          <w:sz w:val="18"/>
                        </w:rPr>
                        <w:t xml:space="preserve"> 666</w:t>
                      </w:r>
                    </w:smartTag>
                  </w:p>
                  <w:p w:rsidR="006B436D" w:rsidRDefault="006B436D" w:rsidP="00D808BC">
                    <w:pPr>
                      <w:pStyle w:val="PlainText"/>
                      <w:tabs>
                        <w:tab w:val="left" w:pos="1418"/>
                        <w:tab w:val="left" w:pos="1701"/>
                      </w:tabs>
                      <w:jc w:val="left"/>
                      <w:rPr>
                        <w:rFonts w:ascii="Arial" w:hAnsi="Arial" w:cs="Arial"/>
                        <w:sz w:val="18"/>
                      </w:rPr>
                    </w:pPr>
                    <w:r>
                      <w:rPr>
                        <w:rFonts w:ascii="Arial" w:hAnsi="Arial" w:cs="Arial"/>
                        <w:sz w:val="18"/>
                      </w:rPr>
                      <w:tab/>
                    </w:r>
                    <w:r>
                      <w:rPr>
                        <w:rFonts w:ascii="Arial" w:hAnsi="Arial" w:cs="Arial"/>
                        <w:sz w:val="18"/>
                      </w:rPr>
                      <w:tab/>
                      <w:t>Strawberry Hills NSW 2012</w:t>
                    </w:r>
                  </w:p>
                  <w:p w:rsidR="006B436D" w:rsidRDefault="006B436D" w:rsidP="00D808BC">
                    <w:pPr>
                      <w:pStyle w:val="PlainText"/>
                      <w:tabs>
                        <w:tab w:val="left" w:pos="1701"/>
                      </w:tabs>
                      <w:spacing w:before="40"/>
                      <w:jc w:val="left"/>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6B436D" w:rsidRDefault="006B436D" w:rsidP="00D808BC">
                    <w:pPr>
                      <w:pStyle w:val="PlainText"/>
                      <w:tabs>
                        <w:tab w:val="left" w:pos="1701"/>
                      </w:tabs>
                      <w:ind w:left="720" w:firstLine="720"/>
                      <w:jc w:val="left"/>
                      <w:rPr>
                        <w:rFonts w:ascii="Arial" w:hAnsi="Arial" w:cs="Arial"/>
                        <w:sz w:val="18"/>
                      </w:rPr>
                    </w:pPr>
                    <w:r>
                      <w:rPr>
                        <w:rFonts w:ascii="Arial" w:hAnsi="Arial" w:cs="Arial"/>
                        <w:sz w:val="18"/>
                      </w:rPr>
                      <w:tab/>
                      <w:t>Redfern NSW 2016</w:t>
                    </w:r>
                  </w:p>
                  <w:p w:rsidR="006B436D" w:rsidRDefault="006B436D" w:rsidP="00D808BC">
                    <w:pPr>
                      <w:pStyle w:val="PlainText"/>
                      <w:tabs>
                        <w:tab w:val="left" w:pos="1418"/>
                        <w:tab w:val="left" w:pos="1701"/>
                      </w:tabs>
                      <w:spacing w:before="40"/>
                      <w:jc w:val="left"/>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6B436D" w:rsidRDefault="006B436D" w:rsidP="00D808BC">
                    <w:pPr>
                      <w:pStyle w:val="PlainText"/>
                      <w:tabs>
                        <w:tab w:val="left" w:pos="1701"/>
                      </w:tabs>
                      <w:jc w:val="left"/>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6B436D" w:rsidRDefault="006B436D" w:rsidP="00D808BC">
                    <w:pPr>
                      <w:pStyle w:val="PlainText"/>
                      <w:tabs>
                        <w:tab w:val="left" w:pos="1418"/>
                        <w:tab w:val="left" w:pos="1701"/>
                      </w:tabs>
                      <w:jc w:val="left"/>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6B436D" w:rsidRDefault="006B436D" w:rsidP="00D808BC">
                    <w:pPr>
                      <w:pStyle w:val="PlainText"/>
                      <w:tabs>
                        <w:tab w:val="left" w:pos="1701"/>
                      </w:tabs>
                      <w:spacing w:before="40"/>
                      <w:jc w:val="left"/>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6B436D" w:rsidRDefault="006B436D" w:rsidP="00D808BC">
                    <w:pPr>
                      <w:pStyle w:val="PlainText"/>
                      <w:tabs>
                        <w:tab w:val="left" w:pos="1701"/>
                      </w:tabs>
                      <w:spacing w:before="120"/>
                      <w:jc w:val="left"/>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D808BC">
      <w:rPr>
        <w:rFonts w:cs="Times New Roman"/>
        <w:noProof/>
        <w:szCs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70485</wp:posOffset>
          </wp:positionV>
          <wp:extent cx="919480" cy="1096010"/>
          <wp:effectExtent l="0" t="0" r="0" b="8890"/>
          <wp:wrapSquare wrapText="bothSides"/>
          <wp:docPr id="10" name="Picture 10"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36D" w:rsidRDefault="006B436D" w:rsidP="00DF2E4A">
    <w:pPr>
      <w:keepLines/>
      <w:tabs>
        <w:tab w:val="center" w:pos="4153"/>
        <w:tab w:val="right" w:pos="8306"/>
      </w:tabs>
      <w:rPr>
        <w:sz w:val="14"/>
      </w:rPr>
    </w:pPr>
    <w:r w:rsidRPr="00D808BC">
      <w:rPr>
        <w:rFonts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1059180</wp:posOffset>
              </wp:positionV>
              <wp:extent cx="1066800" cy="228600"/>
              <wp:effectExtent l="0" t="1905"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436D" w:rsidRDefault="006B436D" w:rsidP="00D808BC">
                          <w:pPr>
                            <w:pStyle w:val="pwd"/>
                            <w:keepLines/>
                            <w:jc w:val="left"/>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2pt;margin-top:83.4pt;width:8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fgg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" stroked="f">
              <v:textbox>
                <w:txbxContent>
                  <w:p w:rsidR="006B436D" w:rsidRDefault="006B436D" w:rsidP="00D808BC">
                    <w:pPr>
                      <w:pStyle w:val="pwd"/>
                      <w:keepLines/>
                      <w:jc w:val="left"/>
                      <w:rPr>
                        <w:rFonts w:ascii="Arial" w:hAnsi="Arial"/>
                        <w:spacing w:val="0"/>
                      </w:rPr>
                    </w:pPr>
                    <w:r>
                      <w:rPr>
                        <w:rFonts w:ascii="Arial" w:hAnsi="Arial"/>
                        <w:spacing w:val="0"/>
                      </w:rPr>
                      <w:t xml:space="preserve">  ABN 98 879 981 198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E25DA"/>
    <w:multiLevelType w:val="hybridMultilevel"/>
    <w:tmpl w:val="2C46F0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264660"/>
    <w:multiLevelType w:val="hybridMultilevel"/>
    <w:tmpl w:val="134CADA4"/>
    <w:lvl w:ilvl="0" w:tplc="DA3A98D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88227C"/>
    <w:multiLevelType w:val="hybridMultilevel"/>
    <w:tmpl w:val="4F36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DD62EB"/>
    <w:multiLevelType w:val="hybridMultilevel"/>
    <w:tmpl w:val="1BEE0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nsid w:val="198A74CE"/>
    <w:multiLevelType w:val="hybridMultilevel"/>
    <w:tmpl w:val="9FD6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46D58"/>
    <w:multiLevelType w:val="hybridMultilevel"/>
    <w:tmpl w:val="3C18BA82"/>
    <w:lvl w:ilvl="0" w:tplc="0C090001">
      <w:start w:val="1"/>
      <w:numFmt w:val="bullet"/>
      <w:lvlText w:val=""/>
      <w:lvlJc w:val="left"/>
      <w:pPr>
        <w:ind w:left="360" w:hanging="360"/>
      </w:pPr>
      <w:rPr>
        <w:rFonts w:ascii="Symbol" w:hAnsi="Symbol"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28D4185"/>
    <w:multiLevelType w:val="hybridMultilevel"/>
    <w:tmpl w:val="31FA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712F1C"/>
    <w:multiLevelType w:val="hybridMultilevel"/>
    <w:tmpl w:val="1FB8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953942"/>
    <w:multiLevelType w:val="hybridMultilevel"/>
    <w:tmpl w:val="CB3EB1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27D96ED6"/>
    <w:multiLevelType w:val="hybridMultilevel"/>
    <w:tmpl w:val="CF323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81373"/>
    <w:multiLevelType w:val="hybridMultilevel"/>
    <w:tmpl w:val="D60C2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330927"/>
    <w:multiLevelType w:val="hybridMultilevel"/>
    <w:tmpl w:val="F686279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386951FA"/>
    <w:multiLevelType w:val="hybridMultilevel"/>
    <w:tmpl w:val="BB88ECAA"/>
    <w:lvl w:ilvl="0" w:tplc="A4CA4F20">
      <w:start w:val="1"/>
      <w:numFmt w:val="decimal"/>
      <w:lvlText w:val="%1."/>
      <w:lvlJc w:val="left"/>
      <w:pPr>
        <w:ind w:left="360" w:hanging="360"/>
      </w:pPr>
      <w:rPr>
        <w:rFonts w:hint="default"/>
        <w:color w:val="auto"/>
      </w:rPr>
    </w:lvl>
    <w:lvl w:ilvl="1" w:tplc="A3E8678E">
      <w:start w:val="1"/>
      <w:numFmt w:val="decimal"/>
      <w:lvlText w:val="%2)"/>
      <w:lvlJc w:val="left"/>
      <w:pPr>
        <w:ind w:left="1080" w:hanging="360"/>
      </w:pPr>
    </w:lvl>
    <w:lvl w:ilvl="2" w:tplc="0C090019">
      <w:start w:val="1"/>
      <w:numFmt w:val="lowerLetter"/>
      <w:lvlText w:val="%3."/>
      <w:lvlJc w:val="lef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D604034"/>
    <w:multiLevelType w:val="hybridMultilevel"/>
    <w:tmpl w:val="4F3C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1B1E1C"/>
    <w:multiLevelType w:val="hybridMultilevel"/>
    <w:tmpl w:val="BF70B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6C11EEE"/>
    <w:multiLevelType w:val="hybridMultilevel"/>
    <w:tmpl w:val="F0989CD6"/>
    <w:lvl w:ilvl="0" w:tplc="42EA57A0">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0A3FE4"/>
    <w:multiLevelType w:val="hybridMultilevel"/>
    <w:tmpl w:val="77240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F72874"/>
    <w:multiLevelType w:val="multilevel"/>
    <w:tmpl w:val="3352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3D10AF"/>
    <w:multiLevelType w:val="hybridMultilevel"/>
    <w:tmpl w:val="BF00141C"/>
    <w:lvl w:ilvl="0" w:tplc="0C090011">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7860580"/>
    <w:multiLevelType w:val="hybridMultilevel"/>
    <w:tmpl w:val="D7D23284"/>
    <w:lvl w:ilvl="0" w:tplc="5B540658">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57516B7"/>
    <w:multiLevelType w:val="hybridMultilevel"/>
    <w:tmpl w:val="1C124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A5318F"/>
    <w:multiLevelType w:val="hybridMultilevel"/>
    <w:tmpl w:val="B662743A"/>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71713C04"/>
    <w:multiLevelType w:val="hybridMultilevel"/>
    <w:tmpl w:val="CD42E3AE"/>
    <w:lvl w:ilvl="0" w:tplc="8D0A4F56">
      <w:start w:val="9"/>
      <w:numFmt w:val="decimal"/>
      <w:suff w:val="nothing"/>
      <w:lvlText w:val="%1."/>
      <w:lvlJc w:val="left"/>
      <w:pPr>
        <w:ind w:left="227" w:hanging="227"/>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2B67C07"/>
    <w:multiLevelType w:val="hybridMultilevel"/>
    <w:tmpl w:val="D8E67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5"/>
  </w:num>
  <w:num w:numId="4">
    <w:abstractNumId w:val="22"/>
  </w:num>
  <w:num w:numId="5">
    <w:abstractNumId w:val="21"/>
  </w:num>
  <w:num w:numId="6">
    <w:abstractNumId w:val="3"/>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7"/>
  </w:num>
  <w:num w:numId="11">
    <w:abstractNumId w:val="5"/>
  </w:num>
  <w:num w:numId="12">
    <w:abstractNumId w:val="18"/>
  </w:num>
  <w:num w:numId="13">
    <w:abstractNumId w:val="13"/>
  </w:num>
  <w:num w:numId="14">
    <w:abstractNumId w:val="23"/>
  </w:num>
  <w:num w:numId="15">
    <w:abstractNumId w:val="1"/>
  </w:num>
  <w:num w:numId="16">
    <w:abstractNumId w:val="6"/>
  </w:num>
  <w:num w:numId="17">
    <w:abstractNumId w:val="2"/>
  </w:num>
  <w:num w:numId="18">
    <w:abstractNumId w:val="16"/>
  </w:num>
  <w:num w:numId="19">
    <w:abstractNumId w:val="10"/>
  </w:num>
  <w:num w:numId="20">
    <w:abstractNumId w:val="11"/>
  </w:num>
  <w:num w:numId="21">
    <w:abstractNumId w:val="20"/>
  </w:num>
  <w:num w:numId="22">
    <w:abstractNumId w:val="7"/>
  </w:num>
  <w:num w:numId="23">
    <w:abstractNumId w:val="8"/>
  </w:num>
  <w:num w:numId="24">
    <w:abstractNumId w:val="4"/>
  </w:num>
  <w:num w:numId="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AB"/>
    <w:rsid w:val="00001744"/>
    <w:rsid w:val="00004D58"/>
    <w:rsid w:val="00007FD4"/>
    <w:rsid w:val="00013A1C"/>
    <w:rsid w:val="000160B4"/>
    <w:rsid w:val="0002108C"/>
    <w:rsid w:val="00032A28"/>
    <w:rsid w:val="00036D87"/>
    <w:rsid w:val="000373DF"/>
    <w:rsid w:val="00054608"/>
    <w:rsid w:val="00063573"/>
    <w:rsid w:val="000730B1"/>
    <w:rsid w:val="00081959"/>
    <w:rsid w:val="00087415"/>
    <w:rsid w:val="000878D1"/>
    <w:rsid w:val="00090D78"/>
    <w:rsid w:val="000915A7"/>
    <w:rsid w:val="000966E9"/>
    <w:rsid w:val="000A1982"/>
    <w:rsid w:val="000B03AA"/>
    <w:rsid w:val="000B52A4"/>
    <w:rsid w:val="000C23DD"/>
    <w:rsid w:val="000D18D9"/>
    <w:rsid w:val="000D2FEE"/>
    <w:rsid w:val="000E5167"/>
    <w:rsid w:val="000F2A37"/>
    <w:rsid w:val="00100F5F"/>
    <w:rsid w:val="00106A13"/>
    <w:rsid w:val="00110721"/>
    <w:rsid w:val="001139FD"/>
    <w:rsid w:val="001225CA"/>
    <w:rsid w:val="00122F55"/>
    <w:rsid w:val="00123343"/>
    <w:rsid w:val="00124730"/>
    <w:rsid w:val="00134D85"/>
    <w:rsid w:val="00135CAC"/>
    <w:rsid w:val="001430BF"/>
    <w:rsid w:val="001469B3"/>
    <w:rsid w:val="00154D46"/>
    <w:rsid w:val="00155D51"/>
    <w:rsid w:val="00160489"/>
    <w:rsid w:val="001645BC"/>
    <w:rsid w:val="00165EC2"/>
    <w:rsid w:val="00167EA3"/>
    <w:rsid w:val="00172ECF"/>
    <w:rsid w:val="001815A8"/>
    <w:rsid w:val="00191F22"/>
    <w:rsid w:val="0019775D"/>
    <w:rsid w:val="001B2A27"/>
    <w:rsid w:val="001B3B3B"/>
    <w:rsid w:val="001B60E8"/>
    <w:rsid w:val="001C17A0"/>
    <w:rsid w:val="001C2097"/>
    <w:rsid w:val="001C4F56"/>
    <w:rsid w:val="001D6C4B"/>
    <w:rsid w:val="001E7B5E"/>
    <w:rsid w:val="001F47D9"/>
    <w:rsid w:val="001F6DFE"/>
    <w:rsid w:val="00201C88"/>
    <w:rsid w:val="002057FB"/>
    <w:rsid w:val="0021748C"/>
    <w:rsid w:val="002237A3"/>
    <w:rsid w:val="00225E6A"/>
    <w:rsid w:val="0023125F"/>
    <w:rsid w:val="00243D85"/>
    <w:rsid w:val="00243FB3"/>
    <w:rsid w:val="00244850"/>
    <w:rsid w:val="00245B37"/>
    <w:rsid w:val="00264517"/>
    <w:rsid w:val="002718BD"/>
    <w:rsid w:val="00284477"/>
    <w:rsid w:val="00284A0D"/>
    <w:rsid w:val="00286E22"/>
    <w:rsid w:val="0029428E"/>
    <w:rsid w:val="002944E5"/>
    <w:rsid w:val="00294CF5"/>
    <w:rsid w:val="002A10C6"/>
    <w:rsid w:val="002A4A27"/>
    <w:rsid w:val="002B05C0"/>
    <w:rsid w:val="002D3029"/>
    <w:rsid w:val="002D46C6"/>
    <w:rsid w:val="002D6029"/>
    <w:rsid w:val="002D724D"/>
    <w:rsid w:val="002E2026"/>
    <w:rsid w:val="002E5435"/>
    <w:rsid w:val="003005E9"/>
    <w:rsid w:val="00301B24"/>
    <w:rsid w:val="003112A6"/>
    <w:rsid w:val="003151FC"/>
    <w:rsid w:val="00317417"/>
    <w:rsid w:val="00323736"/>
    <w:rsid w:val="00332341"/>
    <w:rsid w:val="0033559C"/>
    <w:rsid w:val="00341040"/>
    <w:rsid w:val="00347AF8"/>
    <w:rsid w:val="00364EC2"/>
    <w:rsid w:val="0036787B"/>
    <w:rsid w:val="0037418D"/>
    <w:rsid w:val="003809AB"/>
    <w:rsid w:val="00382699"/>
    <w:rsid w:val="00386342"/>
    <w:rsid w:val="00397A1A"/>
    <w:rsid w:val="00397B05"/>
    <w:rsid w:val="003A00C6"/>
    <w:rsid w:val="003A38B3"/>
    <w:rsid w:val="003A5B5C"/>
    <w:rsid w:val="003B5012"/>
    <w:rsid w:val="003D4F72"/>
    <w:rsid w:val="003D6E71"/>
    <w:rsid w:val="003D71EF"/>
    <w:rsid w:val="003E46CE"/>
    <w:rsid w:val="00405490"/>
    <w:rsid w:val="00406FE0"/>
    <w:rsid w:val="004110EA"/>
    <w:rsid w:val="00414E6A"/>
    <w:rsid w:val="00415F0F"/>
    <w:rsid w:val="00421500"/>
    <w:rsid w:val="00421D4D"/>
    <w:rsid w:val="00441322"/>
    <w:rsid w:val="00445332"/>
    <w:rsid w:val="00447C71"/>
    <w:rsid w:val="00455B09"/>
    <w:rsid w:val="00456EBB"/>
    <w:rsid w:val="004612DD"/>
    <w:rsid w:val="00464113"/>
    <w:rsid w:val="00464B24"/>
    <w:rsid w:val="004658DD"/>
    <w:rsid w:val="00471091"/>
    <w:rsid w:val="00473500"/>
    <w:rsid w:val="004771D4"/>
    <w:rsid w:val="00486E23"/>
    <w:rsid w:val="00487678"/>
    <w:rsid w:val="00493281"/>
    <w:rsid w:val="00493376"/>
    <w:rsid w:val="00493B12"/>
    <w:rsid w:val="00495732"/>
    <w:rsid w:val="00495AE2"/>
    <w:rsid w:val="004A14E0"/>
    <w:rsid w:val="004A5739"/>
    <w:rsid w:val="004B0BB1"/>
    <w:rsid w:val="004B10DE"/>
    <w:rsid w:val="004C0B06"/>
    <w:rsid w:val="004C715C"/>
    <w:rsid w:val="004C7899"/>
    <w:rsid w:val="004D2FF6"/>
    <w:rsid w:val="004D3BD3"/>
    <w:rsid w:val="004E3A46"/>
    <w:rsid w:val="004E448E"/>
    <w:rsid w:val="005005FD"/>
    <w:rsid w:val="00502A87"/>
    <w:rsid w:val="00512E79"/>
    <w:rsid w:val="00514DE9"/>
    <w:rsid w:val="00516923"/>
    <w:rsid w:val="00540CF6"/>
    <w:rsid w:val="00543B76"/>
    <w:rsid w:val="00545A40"/>
    <w:rsid w:val="00552B85"/>
    <w:rsid w:val="0055697C"/>
    <w:rsid w:val="00564B4F"/>
    <w:rsid w:val="005678E6"/>
    <w:rsid w:val="00571D18"/>
    <w:rsid w:val="00577576"/>
    <w:rsid w:val="00577B7A"/>
    <w:rsid w:val="00583747"/>
    <w:rsid w:val="005A2319"/>
    <w:rsid w:val="005A7E1B"/>
    <w:rsid w:val="005B696C"/>
    <w:rsid w:val="005C3E1B"/>
    <w:rsid w:val="005C56E7"/>
    <w:rsid w:val="005D2522"/>
    <w:rsid w:val="005D3C6B"/>
    <w:rsid w:val="005D504F"/>
    <w:rsid w:val="005E2169"/>
    <w:rsid w:val="005E6F03"/>
    <w:rsid w:val="005F4263"/>
    <w:rsid w:val="006040D6"/>
    <w:rsid w:val="0060602D"/>
    <w:rsid w:val="00607502"/>
    <w:rsid w:val="00607561"/>
    <w:rsid w:val="00613309"/>
    <w:rsid w:val="00613CEF"/>
    <w:rsid w:val="00615316"/>
    <w:rsid w:val="00623C3F"/>
    <w:rsid w:val="006314A6"/>
    <w:rsid w:val="006428A3"/>
    <w:rsid w:val="0064355B"/>
    <w:rsid w:val="00662AA3"/>
    <w:rsid w:val="00662BE2"/>
    <w:rsid w:val="00663724"/>
    <w:rsid w:val="006659F4"/>
    <w:rsid w:val="0069559F"/>
    <w:rsid w:val="006960E6"/>
    <w:rsid w:val="00696E95"/>
    <w:rsid w:val="00697CA5"/>
    <w:rsid w:val="006A0B1F"/>
    <w:rsid w:val="006A64C6"/>
    <w:rsid w:val="006B0474"/>
    <w:rsid w:val="006B1802"/>
    <w:rsid w:val="006B1E69"/>
    <w:rsid w:val="006B436D"/>
    <w:rsid w:val="006B71D2"/>
    <w:rsid w:val="006C00ED"/>
    <w:rsid w:val="006D140E"/>
    <w:rsid w:val="006F0509"/>
    <w:rsid w:val="006F402C"/>
    <w:rsid w:val="007032C9"/>
    <w:rsid w:val="007044D5"/>
    <w:rsid w:val="007073ED"/>
    <w:rsid w:val="007137AA"/>
    <w:rsid w:val="00730F12"/>
    <w:rsid w:val="00731992"/>
    <w:rsid w:val="00732275"/>
    <w:rsid w:val="00734E19"/>
    <w:rsid w:val="00735A9B"/>
    <w:rsid w:val="0074173A"/>
    <w:rsid w:val="007544F7"/>
    <w:rsid w:val="00761699"/>
    <w:rsid w:val="00763D2A"/>
    <w:rsid w:val="00764CE5"/>
    <w:rsid w:val="00767B92"/>
    <w:rsid w:val="007707E9"/>
    <w:rsid w:val="00771BCF"/>
    <w:rsid w:val="00773265"/>
    <w:rsid w:val="007809A8"/>
    <w:rsid w:val="00791A67"/>
    <w:rsid w:val="007A429F"/>
    <w:rsid w:val="007B7DF0"/>
    <w:rsid w:val="007C195C"/>
    <w:rsid w:val="007C1AB6"/>
    <w:rsid w:val="007C5600"/>
    <w:rsid w:val="007D0A84"/>
    <w:rsid w:val="007D2B73"/>
    <w:rsid w:val="007E4EB8"/>
    <w:rsid w:val="007E5864"/>
    <w:rsid w:val="007F3AC1"/>
    <w:rsid w:val="007F62E6"/>
    <w:rsid w:val="007F669D"/>
    <w:rsid w:val="007F6E8C"/>
    <w:rsid w:val="0080272B"/>
    <w:rsid w:val="00816E51"/>
    <w:rsid w:val="0082033D"/>
    <w:rsid w:val="00823CD9"/>
    <w:rsid w:val="00833685"/>
    <w:rsid w:val="0084721A"/>
    <w:rsid w:val="00860AC9"/>
    <w:rsid w:val="008634AE"/>
    <w:rsid w:val="00864976"/>
    <w:rsid w:val="00865A01"/>
    <w:rsid w:val="0087622F"/>
    <w:rsid w:val="00876301"/>
    <w:rsid w:val="00882968"/>
    <w:rsid w:val="00883CC0"/>
    <w:rsid w:val="00886DA6"/>
    <w:rsid w:val="0089594A"/>
    <w:rsid w:val="00895D67"/>
    <w:rsid w:val="00897C66"/>
    <w:rsid w:val="008B37C1"/>
    <w:rsid w:val="008B6CB2"/>
    <w:rsid w:val="008C0406"/>
    <w:rsid w:val="008C4F2E"/>
    <w:rsid w:val="008C6733"/>
    <w:rsid w:val="008C6C8D"/>
    <w:rsid w:val="008D0918"/>
    <w:rsid w:val="008D42FD"/>
    <w:rsid w:val="008D7D54"/>
    <w:rsid w:val="008E2439"/>
    <w:rsid w:val="008E25E1"/>
    <w:rsid w:val="008E5B0B"/>
    <w:rsid w:val="008E7EC3"/>
    <w:rsid w:val="008F3AD8"/>
    <w:rsid w:val="008F6E0A"/>
    <w:rsid w:val="00902AC4"/>
    <w:rsid w:val="00906334"/>
    <w:rsid w:val="00906731"/>
    <w:rsid w:val="00907509"/>
    <w:rsid w:val="009175D0"/>
    <w:rsid w:val="0092242D"/>
    <w:rsid w:val="0092307F"/>
    <w:rsid w:val="00931959"/>
    <w:rsid w:val="00936A98"/>
    <w:rsid w:val="00936BFF"/>
    <w:rsid w:val="0093755C"/>
    <w:rsid w:val="00941D59"/>
    <w:rsid w:val="00955B6A"/>
    <w:rsid w:val="00957865"/>
    <w:rsid w:val="00963014"/>
    <w:rsid w:val="00973E69"/>
    <w:rsid w:val="00983EF5"/>
    <w:rsid w:val="00994499"/>
    <w:rsid w:val="009961BC"/>
    <w:rsid w:val="0099695C"/>
    <w:rsid w:val="009976AB"/>
    <w:rsid w:val="009D3666"/>
    <w:rsid w:val="009D45B6"/>
    <w:rsid w:val="009D6023"/>
    <w:rsid w:val="009E0498"/>
    <w:rsid w:val="009E10A9"/>
    <w:rsid w:val="009E1876"/>
    <w:rsid w:val="009E3C1E"/>
    <w:rsid w:val="009E5D16"/>
    <w:rsid w:val="009F6909"/>
    <w:rsid w:val="00A00F27"/>
    <w:rsid w:val="00A0235C"/>
    <w:rsid w:val="00A023DE"/>
    <w:rsid w:val="00A057E7"/>
    <w:rsid w:val="00A062DD"/>
    <w:rsid w:val="00A06381"/>
    <w:rsid w:val="00A15450"/>
    <w:rsid w:val="00A22095"/>
    <w:rsid w:val="00A228D5"/>
    <w:rsid w:val="00A23BA4"/>
    <w:rsid w:val="00A263D5"/>
    <w:rsid w:val="00A306F9"/>
    <w:rsid w:val="00A341F7"/>
    <w:rsid w:val="00A45757"/>
    <w:rsid w:val="00A4654A"/>
    <w:rsid w:val="00A4730D"/>
    <w:rsid w:val="00A4797F"/>
    <w:rsid w:val="00A47AD2"/>
    <w:rsid w:val="00A47CED"/>
    <w:rsid w:val="00A54A68"/>
    <w:rsid w:val="00A577D0"/>
    <w:rsid w:val="00A66FD7"/>
    <w:rsid w:val="00A74FCD"/>
    <w:rsid w:val="00A77F40"/>
    <w:rsid w:val="00A9650F"/>
    <w:rsid w:val="00AA1BE1"/>
    <w:rsid w:val="00AA49B5"/>
    <w:rsid w:val="00AA4F32"/>
    <w:rsid w:val="00AB2B02"/>
    <w:rsid w:val="00AB59E2"/>
    <w:rsid w:val="00AB5FD5"/>
    <w:rsid w:val="00AB7509"/>
    <w:rsid w:val="00AC10F0"/>
    <w:rsid w:val="00AC1196"/>
    <w:rsid w:val="00AC2DB9"/>
    <w:rsid w:val="00AD6196"/>
    <w:rsid w:val="00AE5A41"/>
    <w:rsid w:val="00AF7AB7"/>
    <w:rsid w:val="00B048D5"/>
    <w:rsid w:val="00B051B2"/>
    <w:rsid w:val="00B1277E"/>
    <w:rsid w:val="00B13D44"/>
    <w:rsid w:val="00B2705D"/>
    <w:rsid w:val="00B30908"/>
    <w:rsid w:val="00B31A3F"/>
    <w:rsid w:val="00B37CDA"/>
    <w:rsid w:val="00B527A8"/>
    <w:rsid w:val="00B54DA3"/>
    <w:rsid w:val="00B66F64"/>
    <w:rsid w:val="00B84A5A"/>
    <w:rsid w:val="00BA3674"/>
    <w:rsid w:val="00BA515A"/>
    <w:rsid w:val="00BA6E9B"/>
    <w:rsid w:val="00BB31FD"/>
    <w:rsid w:val="00BB7CDE"/>
    <w:rsid w:val="00BC0869"/>
    <w:rsid w:val="00BC6810"/>
    <w:rsid w:val="00BD7E57"/>
    <w:rsid w:val="00BE305D"/>
    <w:rsid w:val="00BE5A51"/>
    <w:rsid w:val="00BE6F85"/>
    <w:rsid w:val="00BF619D"/>
    <w:rsid w:val="00C04805"/>
    <w:rsid w:val="00C07E2A"/>
    <w:rsid w:val="00C15A8C"/>
    <w:rsid w:val="00C15AAE"/>
    <w:rsid w:val="00C15AB2"/>
    <w:rsid w:val="00C32792"/>
    <w:rsid w:val="00C403EA"/>
    <w:rsid w:val="00C41AE5"/>
    <w:rsid w:val="00C42EE7"/>
    <w:rsid w:val="00C53C3B"/>
    <w:rsid w:val="00C55827"/>
    <w:rsid w:val="00C610B7"/>
    <w:rsid w:val="00C65B60"/>
    <w:rsid w:val="00C71C86"/>
    <w:rsid w:val="00C76330"/>
    <w:rsid w:val="00C82E4B"/>
    <w:rsid w:val="00C844EE"/>
    <w:rsid w:val="00C84CFA"/>
    <w:rsid w:val="00C94D33"/>
    <w:rsid w:val="00C96E80"/>
    <w:rsid w:val="00CA161D"/>
    <w:rsid w:val="00CB30BF"/>
    <w:rsid w:val="00CB4349"/>
    <w:rsid w:val="00CB7DE1"/>
    <w:rsid w:val="00CF348C"/>
    <w:rsid w:val="00CF40ED"/>
    <w:rsid w:val="00CF5E10"/>
    <w:rsid w:val="00D01C42"/>
    <w:rsid w:val="00D031C9"/>
    <w:rsid w:val="00D079C4"/>
    <w:rsid w:val="00D10777"/>
    <w:rsid w:val="00D10D88"/>
    <w:rsid w:val="00D12149"/>
    <w:rsid w:val="00D2068D"/>
    <w:rsid w:val="00D305CF"/>
    <w:rsid w:val="00D50213"/>
    <w:rsid w:val="00D51D3C"/>
    <w:rsid w:val="00D61F9C"/>
    <w:rsid w:val="00D6447C"/>
    <w:rsid w:val="00D658A1"/>
    <w:rsid w:val="00D808BC"/>
    <w:rsid w:val="00D80E89"/>
    <w:rsid w:val="00D83EC7"/>
    <w:rsid w:val="00D96872"/>
    <w:rsid w:val="00D96DA8"/>
    <w:rsid w:val="00DA1FAC"/>
    <w:rsid w:val="00DC16AC"/>
    <w:rsid w:val="00DC354E"/>
    <w:rsid w:val="00DC6052"/>
    <w:rsid w:val="00DD4562"/>
    <w:rsid w:val="00DE0BDA"/>
    <w:rsid w:val="00DE2A1B"/>
    <w:rsid w:val="00DE3E0A"/>
    <w:rsid w:val="00DE675D"/>
    <w:rsid w:val="00DF2400"/>
    <w:rsid w:val="00DF2AFD"/>
    <w:rsid w:val="00DF2E4A"/>
    <w:rsid w:val="00DF46C9"/>
    <w:rsid w:val="00DF7602"/>
    <w:rsid w:val="00DF770D"/>
    <w:rsid w:val="00E01EBF"/>
    <w:rsid w:val="00E100BB"/>
    <w:rsid w:val="00E10AEA"/>
    <w:rsid w:val="00E14B33"/>
    <w:rsid w:val="00E32361"/>
    <w:rsid w:val="00E3598A"/>
    <w:rsid w:val="00E42613"/>
    <w:rsid w:val="00E4444B"/>
    <w:rsid w:val="00E61266"/>
    <w:rsid w:val="00E71A10"/>
    <w:rsid w:val="00E902BB"/>
    <w:rsid w:val="00E93D97"/>
    <w:rsid w:val="00E94620"/>
    <w:rsid w:val="00EA26A5"/>
    <w:rsid w:val="00EA29D2"/>
    <w:rsid w:val="00EA3927"/>
    <w:rsid w:val="00EB58C7"/>
    <w:rsid w:val="00EB62C3"/>
    <w:rsid w:val="00EC7FBB"/>
    <w:rsid w:val="00ED0090"/>
    <w:rsid w:val="00ED0804"/>
    <w:rsid w:val="00ED2F27"/>
    <w:rsid w:val="00EE2FCE"/>
    <w:rsid w:val="00EE30C1"/>
    <w:rsid w:val="00EE562F"/>
    <w:rsid w:val="00F026C0"/>
    <w:rsid w:val="00F04D31"/>
    <w:rsid w:val="00F12646"/>
    <w:rsid w:val="00F16675"/>
    <w:rsid w:val="00F239AC"/>
    <w:rsid w:val="00F25891"/>
    <w:rsid w:val="00F32CA6"/>
    <w:rsid w:val="00F33DD5"/>
    <w:rsid w:val="00F34BB7"/>
    <w:rsid w:val="00F471DF"/>
    <w:rsid w:val="00F52410"/>
    <w:rsid w:val="00F61DE8"/>
    <w:rsid w:val="00F6480D"/>
    <w:rsid w:val="00F66AE2"/>
    <w:rsid w:val="00F700DB"/>
    <w:rsid w:val="00F72F6D"/>
    <w:rsid w:val="00F84C00"/>
    <w:rsid w:val="00F857D9"/>
    <w:rsid w:val="00F86709"/>
    <w:rsid w:val="00F87AC0"/>
    <w:rsid w:val="00F92B62"/>
    <w:rsid w:val="00FB3B88"/>
    <w:rsid w:val="00FB6BE6"/>
    <w:rsid w:val="00FC295B"/>
    <w:rsid w:val="00FC40C8"/>
    <w:rsid w:val="00FC4CAD"/>
    <w:rsid w:val="00FC72D0"/>
    <w:rsid w:val="00FC7F40"/>
    <w:rsid w:val="00FD077E"/>
    <w:rsid w:val="00FD489C"/>
    <w:rsid w:val="00FD52D5"/>
    <w:rsid w:val="00FE1780"/>
    <w:rsid w:val="00FE1AB9"/>
    <w:rsid w:val="00FF4615"/>
    <w:rsid w:val="00FF4A69"/>
    <w:rsid w:val="00FF7C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5:chartTrackingRefBased/>
  <w15:docId w15:val="{BC70D09D-7EB2-48A7-8AEA-34AF8130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C8D"/>
    <w:pPr>
      <w:jc w:val="right"/>
    </w:pPr>
    <w:rPr>
      <w:sz w:val="24"/>
      <w:szCs w:val="24"/>
    </w:rPr>
  </w:style>
  <w:style w:type="paragraph" w:styleId="Heading1">
    <w:name w:val="heading 1"/>
    <w:basedOn w:val="Normal"/>
    <w:next w:val="Normal"/>
    <w:link w:val="Heading1Char"/>
    <w:qFormat/>
    <w:rsid w:val="00730F12"/>
    <w:pPr>
      <w:spacing w:before="240"/>
      <w:jc w:val="both"/>
      <w:outlineLvl w:val="0"/>
    </w:pPr>
    <w:rPr>
      <w:rFonts w:ascii="Calibri" w:hAnsi="Calibri" w:cs="Calibri"/>
      <w:b/>
      <w:sz w:val="28"/>
      <w:szCs w:val="28"/>
      <w:u w:val="single"/>
    </w:rPr>
  </w:style>
  <w:style w:type="paragraph" w:styleId="Heading2">
    <w:name w:val="heading 2"/>
    <w:basedOn w:val="Normal"/>
    <w:next w:val="Normal"/>
    <w:link w:val="Heading2Char"/>
    <w:qFormat/>
    <w:rsid w:val="0033559C"/>
    <w:pPr>
      <w:keepNext/>
      <w:jc w:val="both"/>
      <w:outlineLvl w:val="1"/>
    </w:pPr>
    <w:rPr>
      <w:rFonts w:ascii="Calibri" w:hAnsi="Calibri" w:cs="Calibri"/>
      <w:b/>
      <w:bCs/>
      <w:sz w:val="28"/>
      <w:szCs w:val="28"/>
    </w:rPr>
  </w:style>
  <w:style w:type="paragraph" w:styleId="Heading3">
    <w:name w:val="heading 3"/>
    <w:basedOn w:val="Normal"/>
    <w:next w:val="Normal"/>
    <w:link w:val="Heading3Char"/>
    <w:qFormat/>
    <w:rsid w:val="00E100BB"/>
    <w:pPr>
      <w:keepNext/>
      <w:spacing w:before="240" w:after="60"/>
      <w:ind w:left="720"/>
      <w:outlineLvl w:val="2"/>
    </w:pPr>
    <w:rPr>
      <w:b/>
      <w:bCs/>
      <w:szCs w:val="26"/>
    </w:rPr>
  </w:style>
  <w:style w:type="paragraph" w:styleId="Heading7">
    <w:name w:val="heading 7"/>
    <w:basedOn w:val="Normal"/>
    <w:next w:val="Normal"/>
    <w:link w:val="Heading7Char"/>
    <w:qFormat/>
    <w:rsid w:val="004D2FF6"/>
    <w:pPr>
      <w:keepNext/>
      <w:ind w:left="360"/>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2FF6"/>
    <w:pPr>
      <w:tabs>
        <w:tab w:val="center" w:pos="4153"/>
        <w:tab w:val="right" w:pos="8306"/>
      </w:tabs>
    </w:pPr>
    <w:rPr>
      <w:szCs w:val="20"/>
    </w:rPr>
  </w:style>
  <w:style w:type="paragraph" w:styleId="TOC2">
    <w:name w:val="toc 2"/>
    <w:basedOn w:val="Normal"/>
    <w:next w:val="Normal"/>
    <w:autoRedefine/>
    <w:uiPriority w:val="39"/>
    <w:rsid w:val="003005E9"/>
    <w:pPr>
      <w:tabs>
        <w:tab w:val="left" w:pos="1080"/>
        <w:tab w:val="right" w:leader="dot" w:pos="8296"/>
      </w:tabs>
      <w:ind w:left="1080" w:hanging="540"/>
    </w:pPr>
    <w:rPr>
      <w:rFonts w:ascii="Calibri" w:hAnsi="Calibri"/>
      <w:noProof/>
    </w:rPr>
  </w:style>
  <w:style w:type="character" w:styleId="Hyperlink">
    <w:name w:val="Hyperlink"/>
    <w:uiPriority w:val="99"/>
    <w:rsid w:val="004D2FF6"/>
    <w:rPr>
      <w:color w:val="0000FF"/>
      <w:u w:val="single"/>
    </w:rPr>
  </w:style>
  <w:style w:type="character" w:customStyle="1" w:styleId="Heading1Char">
    <w:name w:val="Heading 1 Char"/>
    <w:link w:val="Heading1"/>
    <w:rsid w:val="00730F12"/>
    <w:rPr>
      <w:rFonts w:ascii="Calibri" w:hAnsi="Calibri" w:cs="Calibri"/>
      <w:b/>
      <w:sz w:val="28"/>
      <w:szCs w:val="28"/>
      <w:u w:val="single"/>
      <w:lang w:eastAsia="en-US"/>
    </w:rPr>
  </w:style>
  <w:style w:type="table" w:styleId="TableGrid">
    <w:name w:val="Table Grid"/>
    <w:basedOn w:val="TableNormal"/>
    <w:rsid w:val="004D2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D2FF6"/>
  </w:style>
  <w:style w:type="paragraph" w:styleId="TOC1">
    <w:name w:val="toc 1"/>
    <w:basedOn w:val="Normal"/>
    <w:next w:val="Normal"/>
    <w:autoRedefine/>
    <w:uiPriority w:val="39"/>
    <w:rsid w:val="00D83EC7"/>
    <w:pPr>
      <w:tabs>
        <w:tab w:val="left" w:pos="540"/>
        <w:tab w:val="right" w:leader="dot" w:pos="8296"/>
      </w:tabs>
      <w:ind w:left="1080" w:hanging="1080"/>
    </w:pPr>
    <w:rPr>
      <w:rFonts w:ascii="Calibri" w:hAnsi="Calibri"/>
    </w:rPr>
  </w:style>
  <w:style w:type="paragraph" w:styleId="TOC3">
    <w:name w:val="toc 3"/>
    <w:basedOn w:val="Normal"/>
    <w:next w:val="Normal"/>
    <w:autoRedefine/>
    <w:uiPriority w:val="39"/>
    <w:rsid w:val="0033559C"/>
    <w:pPr>
      <w:tabs>
        <w:tab w:val="left" w:pos="851"/>
        <w:tab w:val="right" w:leader="dot" w:pos="8296"/>
      </w:tabs>
      <w:ind w:left="1080" w:hanging="513"/>
    </w:pPr>
    <w:rPr>
      <w:rFonts w:ascii="Calibri" w:eastAsia="Copperplate Gothic Bold" w:hAnsi="Calibri" w:cs="Copperplate Gothic Bold"/>
      <w:noProof/>
    </w:rPr>
  </w:style>
  <w:style w:type="character" w:customStyle="1" w:styleId="Heading2Char">
    <w:name w:val="Heading 2 Char"/>
    <w:link w:val="Heading2"/>
    <w:rsid w:val="0033559C"/>
    <w:rPr>
      <w:rFonts w:ascii="Calibri" w:hAnsi="Calibri" w:cs="Calibri"/>
      <w:b/>
      <w:bCs/>
      <w:sz w:val="28"/>
      <w:szCs w:val="28"/>
      <w:lang w:eastAsia="en-US"/>
    </w:rPr>
  </w:style>
  <w:style w:type="character" w:styleId="FollowedHyperlink">
    <w:name w:val="FollowedHyperlink"/>
    <w:rsid w:val="00BE305D"/>
    <w:rPr>
      <w:color w:val="800080"/>
      <w:u w:val="single"/>
    </w:rPr>
  </w:style>
  <w:style w:type="paragraph" w:styleId="Header">
    <w:name w:val="header"/>
    <w:basedOn w:val="Normal"/>
    <w:rsid w:val="00731992"/>
    <w:pPr>
      <w:tabs>
        <w:tab w:val="center" w:pos="4153"/>
        <w:tab w:val="right" w:pos="8306"/>
      </w:tabs>
    </w:pPr>
  </w:style>
  <w:style w:type="paragraph" w:styleId="NormalWeb">
    <w:name w:val="Normal (Web)"/>
    <w:basedOn w:val="Normal"/>
    <w:rsid w:val="00F857D9"/>
    <w:pPr>
      <w:spacing w:before="100" w:beforeAutospacing="1" w:after="100" w:afterAutospacing="1"/>
    </w:pPr>
  </w:style>
  <w:style w:type="paragraph" w:customStyle="1" w:styleId="styletitle2">
    <w:name w:val="styletitle2"/>
    <w:basedOn w:val="Normal"/>
    <w:rsid w:val="00F857D9"/>
    <w:pPr>
      <w:spacing w:before="100" w:beforeAutospacing="1" w:after="100" w:afterAutospacing="1"/>
    </w:pPr>
  </w:style>
  <w:style w:type="paragraph" w:styleId="BalloonText">
    <w:name w:val="Balloon Text"/>
    <w:basedOn w:val="Normal"/>
    <w:link w:val="BalloonTextChar"/>
    <w:uiPriority w:val="99"/>
    <w:semiHidden/>
    <w:rsid w:val="00F92B62"/>
    <w:rPr>
      <w:rFonts w:ascii="Tahoma" w:hAnsi="Tahoma" w:cs="Tahoma"/>
      <w:sz w:val="16"/>
      <w:szCs w:val="16"/>
    </w:rPr>
  </w:style>
  <w:style w:type="paragraph" w:styleId="DocumentMap">
    <w:name w:val="Document Map"/>
    <w:basedOn w:val="Normal"/>
    <w:semiHidden/>
    <w:rsid w:val="00613CEF"/>
    <w:pPr>
      <w:shd w:val="clear" w:color="auto" w:fill="000080"/>
    </w:pPr>
    <w:rPr>
      <w:rFonts w:ascii="Tahoma" w:hAnsi="Tahoma" w:cs="Tahoma"/>
      <w:sz w:val="20"/>
      <w:szCs w:val="20"/>
    </w:rPr>
  </w:style>
  <w:style w:type="character" w:customStyle="1" w:styleId="Heading3Char">
    <w:name w:val="Heading 3 Char"/>
    <w:link w:val="Heading3"/>
    <w:rsid w:val="00E100BB"/>
    <w:rPr>
      <w:rFonts w:ascii="Arial" w:hAnsi="Arial" w:cs="Arial"/>
      <w:b/>
      <w:bCs/>
      <w:sz w:val="24"/>
      <w:szCs w:val="26"/>
      <w:lang w:eastAsia="en-US"/>
    </w:rPr>
  </w:style>
  <w:style w:type="character" w:customStyle="1" w:styleId="Heading7Char">
    <w:name w:val="Heading 7 Char"/>
    <w:link w:val="Heading7"/>
    <w:rsid w:val="00E14B33"/>
    <w:rPr>
      <w:rFonts w:ascii="Arial" w:hAnsi="Arial"/>
      <w:b/>
      <w:bCs/>
      <w:sz w:val="28"/>
      <w:lang w:eastAsia="en-US"/>
    </w:rPr>
  </w:style>
  <w:style w:type="character" w:customStyle="1" w:styleId="FooterChar">
    <w:name w:val="Footer Char"/>
    <w:link w:val="Footer"/>
    <w:rsid w:val="00E14B33"/>
    <w:rPr>
      <w:rFonts w:ascii="Arial" w:hAnsi="Arial"/>
      <w:sz w:val="24"/>
      <w:lang w:eastAsia="en-US"/>
    </w:rPr>
  </w:style>
  <w:style w:type="paragraph" w:styleId="FootnoteText">
    <w:name w:val="footnote text"/>
    <w:basedOn w:val="Normal"/>
    <w:link w:val="FootnoteTextChar"/>
    <w:rsid w:val="00E14B33"/>
    <w:rPr>
      <w:sz w:val="20"/>
      <w:szCs w:val="20"/>
    </w:rPr>
  </w:style>
  <w:style w:type="character" w:customStyle="1" w:styleId="FootnoteTextChar">
    <w:name w:val="Footnote Text Char"/>
    <w:link w:val="FootnoteText"/>
    <w:rsid w:val="00E14B33"/>
    <w:rPr>
      <w:rFonts w:ascii="Arial" w:hAnsi="Arial"/>
      <w:lang w:eastAsia="en-US"/>
    </w:rPr>
  </w:style>
  <w:style w:type="character" w:styleId="FootnoteReference">
    <w:name w:val="footnote reference"/>
    <w:uiPriority w:val="99"/>
    <w:rsid w:val="00E14B33"/>
    <w:rPr>
      <w:vertAlign w:val="superscript"/>
    </w:rPr>
  </w:style>
  <w:style w:type="character" w:customStyle="1" w:styleId="apple-converted-space">
    <w:name w:val="apple-converted-space"/>
    <w:rsid w:val="00E14B33"/>
  </w:style>
  <w:style w:type="character" w:styleId="Emphasis">
    <w:name w:val="Emphasis"/>
    <w:uiPriority w:val="20"/>
    <w:qFormat/>
    <w:rsid w:val="00E14B33"/>
    <w:rPr>
      <w:i/>
      <w:iCs/>
    </w:rPr>
  </w:style>
  <w:style w:type="paragraph" w:styleId="ListParagraph">
    <w:name w:val="List Paragraph"/>
    <w:basedOn w:val="Normal"/>
    <w:uiPriority w:val="34"/>
    <w:qFormat/>
    <w:rsid w:val="00E14B33"/>
    <w:pPr>
      <w:ind w:left="720"/>
    </w:pPr>
  </w:style>
  <w:style w:type="character" w:customStyle="1" w:styleId="BalloonTextChar">
    <w:name w:val="Balloon Text Char"/>
    <w:link w:val="BalloonText"/>
    <w:uiPriority w:val="99"/>
    <w:semiHidden/>
    <w:rsid w:val="00E14B33"/>
    <w:rPr>
      <w:rFonts w:ascii="Tahoma" w:hAnsi="Tahoma" w:cs="Tahoma"/>
      <w:sz w:val="16"/>
      <w:szCs w:val="16"/>
      <w:lang w:eastAsia="en-US"/>
    </w:rPr>
  </w:style>
  <w:style w:type="paragraph" w:styleId="TOCHeading">
    <w:name w:val="TOC Heading"/>
    <w:basedOn w:val="Heading1"/>
    <w:next w:val="Normal"/>
    <w:uiPriority w:val="39"/>
    <w:semiHidden/>
    <w:unhideWhenUsed/>
    <w:qFormat/>
    <w:rsid w:val="00E14B33"/>
    <w:pPr>
      <w:keepLines/>
      <w:spacing w:before="480" w:line="276" w:lineRule="auto"/>
      <w:outlineLvl w:val="9"/>
    </w:pPr>
    <w:rPr>
      <w:rFonts w:ascii="Cambria" w:eastAsia="MS Gothic" w:hAnsi="Cambria" w:cs="Times New Roman"/>
      <w:color w:val="365F91"/>
      <w:lang w:val="en-US" w:eastAsia="ja-JP"/>
    </w:rPr>
  </w:style>
  <w:style w:type="character" w:styleId="CommentReference">
    <w:name w:val="annotation reference"/>
    <w:uiPriority w:val="99"/>
    <w:unhideWhenUsed/>
    <w:rsid w:val="00E14B33"/>
    <w:rPr>
      <w:sz w:val="16"/>
      <w:szCs w:val="16"/>
    </w:rPr>
  </w:style>
  <w:style w:type="paragraph" w:styleId="CommentText">
    <w:name w:val="annotation text"/>
    <w:basedOn w:val="Normal"/>
    <w:link w:val="CommentTextChar"/>
    <w:uiPriority w:val="99"/>
    <w:unhideWhenUsed/>
    <w:rsid w:val="00E14B33"/>
    <w:rPr>
      <w:sz w:val="20"/>
      <w:szCs w:val="20"/>
    </w:rPr>
  </w:style>
  <w:style w:type="character" w:customStyle="1" w:styleId="CommentTextChar">
    <w:name w:val="Comment Text Char"/>
    <w:link w:val="CommentText"/>
    <w:uiPriority w:val="99"/>
    <w:rsid w:val="00E14B33"/>
    <w:rPr>
      <w:rFonts w:ascii="Arial" w:hAnsi="Arial"/>
      <w:lang w:eastAsia="en-US"/>
    </w:rPr>
  </w:style>
  <w:style w:type="paragraph" w:styleId="CommentSubject">
    <w:name w:val="annotation subject"/>
    <w:basedOn w:val="CommentText"/>
    <w:next w:val="CommentText"/>
    <w:link w:val="CommentSubjectChar"/>
    <w:uiPriority w:val="99"/>
    <w:unhideWhenUsed/>
    <w:rsid w:val="00E14B33"/>
    <w:rPr>
      <w:b/>
      <w:bCs/>
    </w:rPr>
  </w:style>
  <w:style w:type="character" w:customStyle="1" w:styleId="CommentSubjectChar">
    <w:name w:val="Comment Subject Char"/>
    <w:link w:val="CommentSubject"/>
    <w:uiPriority w:val="99"/>
    <w:rsid w:val="00E14B33"/>
    <w:rPr>
      <w:rFonts w:ascii="Arial" w:hAnsi="Arial"/>
      <w:b/>
      <w:bCs/>
      <w:lang w:eastAsia="en-US"/>
    </w:rPr>
  </w:style>
  <w:style w:type="paragraph" w:styleId="Revision">
    <w:name w:val="Revision"/>
    <w:hidden/>
    <w:uiPriority w:val="99"/>
    <w:semiHidden/>
    <w:rsid w:val="00E14B33"/>
    <w:pPr>
      <w:jc w:val="right"/>
    </w:pPr>
    <w:rPr>
      <w:sz w:val="24"/>
      <w:szCs w:val="24"/>
      <w:lang w:eastAsia="en-US"/>
    </w:rPr>
  </w:style>
  <w:style w:type="paragraph" w:customStyle="1" w:styleId="blockquote">
    <w:name w:val="block quote"/>
    <w:basedOn w:val="Normal"/>
    <w:link w:val="blockquoteChar"/>
    <w:qFormat/>
    <w:rsid w:val="00154D46"/>
    <w:pPr>
      <w:ind w:left="720" w:right="720"/>
      <w:jc w:val="both"/>
    </w:pPr>
  </w:style>
  <w:style w:type="character" w:customStyle="1" w:styleId="bwf9lq2b37sv">
    <w:name w:val="bwf9lq2b37sv"/>
    <w:rsid w:val="000160B4"/>
  </w:style>
  <w:style w:type="character" w:customStyle="1" w:styleId="blockquoteChar">
    <w:name w:val="block quote Char"/>
    <w:link w:val="blockquote"/>
    <w:rsid w:val="00154D46"/>
    <w:rPr>
      <w:rFonts w:ascii="Arial" w:hAnsi="Arial"/>
      <w:sz w:val="24"/>
      <w:szCs w:val="24"/>
      <w:lang w:eastAsia="en-US"/>
    </w:rPr>
  </w:style>
  <w:style w:type="paragraph" w:styleId="PlainText">
    <w:name w:val="Plain Text"/>
    <w:basedOn w:val="Normal"/>
    <w:link w:val="PlainTextChar"/>
    <w:uiPriority w:val="99"/>
    <w:unhideWhenUsed/>
    <w:rsid w:val="008D7D54"/>
    <w:rPr>
      <w:rFonts w:ascii="Calibri" w:eastAsia="Calibri" w:hAnsi="Calibri" w:cs="Times New Roman"/>
      <w:sz w:val="22"/>
      <w:szCs w:val="21"/>
    </w:rPr>
  </w:style>
  <w:style w:type="character" w:customStyle="1" w:styleId="PlainTextChar">
    <w:name w:val="Plain Text Char"/>
    <w:link w:val="PlainText"/>
    <w:uiPriority w:val="99"/>
    <w:rsid w:val="008D7D54"/>
    <w:rPr>
      <w:rFonts w:ascii="Calibri" w:eastAsia="Calibri" w:hAnsi="Calibri"/>
      <w:sz w:val="22"/>
      <w:szCs w:val="21"/>
      <w:lang w:eastAsia="en-US"/>
    </w:rPr>
  </w:style>
  <w:style w:type="paragraph" w:styleId="EndnoteText">
    <w:name w:val="endnote text"/>
    <w:basedOn w:val="Normal"/>
    <w:link w:val="EndnoteTextChar"/>
    <w:rsid w:val="004C7899"/>
    <w:rPr>
      <w:sz w:val="20"/>
      <w:szCs w:val="20"/>
    </w:rPr>
  </w:style>
  <w:style w:type="character" w:customStyle="1" w:styleId="EndnoteTextChar">
    <w:name w:val="Endnote Text Char"/>
    <w:link w:val="EndnoteText"/>
    <w:rsid w:val="004C7899"/>
    <w:rPr>
      <w:rFonts w:ascii="Arial" w:hAnsi="Arial"/>
      <w:lang w:eastAsia="en-US"/>
    </w:rPr>
  </w:style>
  <w:style w:type="character" w:styleId="EndnoteReference">
    <w:name w:val="endnote reference"/>
    <w:rsid w:val="004C7899"/>
    <w:rPr>
      <w:vertAlign w:val="superscript"/>
    </w:rPr>
  </w:style>
  <w:style w:type="paragraph" w:customStyle="1" w:styleId="pwd">
    <w:name w:val="pwd"/>
    <w:rsid w:val="00123343"/>
    <w:pPr>
      <w:jc w:val="right"/>
    </w:pPr>
    <w:rPr>
      <w:rFonts w:ascii="Futura Bk BT" w:hAnsi="Futura Bk BT"/>
      <w:spacing w:val="6"/>
      <w:sz w:val="14"/>
      <w:szCs w:val="24"/>
      <w:lang w:eastAsia="en-US"/>
    </w:rPr>
  </w:style>
  <w:style w:type="paragraph" w:styleId="NoSpacing">
    <w:name w:val="No Spacing"/>
    <w:uiPriority w:val="1"/>
    <w:qFormat/>
    <w:rsid w:val="00864976"/>
    <w:pPr>
      <w:jc w:val="righ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91748">
      <w:bodyDiv w:val="1"/>
      <w:marLeft w:val="0"/>
      <w:marRight w:val="0"/>
      <w:marTop w:val="0"/>
      <w:marBottom w:val="0"/>
      <w:divBdr>
        <w:top w:val="none" w:sz="0" w:space="0" w:color="auto"/>
        <w:left w:val="none" w:sz="0" w:space="0" w:color="auto"/>
        <w:bottom w:val="none" w:sz="0" w:space="0" w:color="auto"/>
        <w:right w:val="none" w:sz="0" w:space="0" w:color="auto"/>
      </w:divBdr>
    </w:div>
    <w:div w:id="332489656">
      <w:bodyDiv w:val="1"/>
      <w:marLeft w:val="0"/>
      <w:marRight w:val="0"/>
      <w:marTop w:val="0"/>
      <w:marBottom w:val="0"/>
      <w:divBdr>
        <w:top w:val="none" w:sz="0" w:space="0" w:color="auto"/>
        <w:left w:val="none" w:sz="0" w:space="0" w:color="auto"/>
        <w:bottom w:val="none" w:sz="0" w:space="0" w:color="auto"/>
        <w:right w:val="none" w:sz="0" w:space="0" w:color="auto"/>
      </w:divBdr>
    </w:div>
    <w:div w:id="502866415">
      <w:bodyDiv w:val="1"/>
      <w:marLeft w:val="0"/>
      <w:marRight w:val="0"/>
      <w:marTop w:val="0"/>
      <w:marBottom w:val="0"/>
      <w:divBdr>
        <w:top w:val="none" w:sz="0" w:space="0" w:color="auto"/>
        <w:left w:val="none" w:sz="0" w:space="0" w:color="auto"/>
        <w:bottom w:val="none" w:sz="0" w:space="0" w:color="auto"/>
        <w:right w:val="none" w:sz="0" w:space="0" w:color="auto"/>
      </w:divBdr>
    </w:div>
    <w:div w:id="515507536">
      <w:bodyDiv w:val="1"/>
      <w:marLeft w:val="0"/>
      <w:marRight w:val="0"/>
      <w:marTop w:val="0"/>
      <w:marBottom w:val="0"/>
      <w:divBdr>
        <w:top w:val="none" w:sz="0" w:space="0" w:color="auto"/>
        <w:left w:val="none" w:sz="0" w:space="0" w:color="auto"/>
        <w:bottom w:val="none" w:sz="0" w:space="0" w:color="auto"/>
        <w:right w:val="none" w:sz="0" w:space="0" w:color="auto"/>
      </w:divBdr>
    </w:div>
    <w:div w:id="1068041121">
      <w:bodyDiv w:val="1"/>
      <w:marLeft w:val="0"/>
      <w:marRight w:val="0"/>
      <w:marTop w:val="0"/>
      <w:marBottom w:val="0"/>
      <w:divBdr>
        <w:top w:val="none" w:sz="0" w:space="0" w:color="auto"/>
        <w:left w:val="none" w:sz="0" w:space="0" w:color="auto"/>
        <w:bottom w:val="none" w:sz="0" w:space="0" w:color="auto"/>
        <w:right w:val="none" w:sz="0" w:space="0" w:color="auto"/>
      </w:divBdr>
    </w:div>
    <w:div w:id="1159882451">
      <w:bodyDiv w:val="1"/>
      <w:marLeft w:val="0"/>
      <w:marRight w:val="0"/>
      <w:marTop w:val="0"/>
      <w:marBottom w:val="0"/>
      <w:divBdr>
        <w:top w:val="none" w:sz="0" w:space="0" w:color="auto"/>
        <w:left w:val="none" w:sz="0" w:space="0" w:color="auto"/>
        <w:bottom w:val="none" w:sz="0" w:space="0" w:color="auto"/>
        <w:right w:val="none" w:sz="0" w:space="0" w:color="auto"/>
      </w:divBdr>
    </w:div>
    <w:div w:id="184019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ce.policy@agd.nsw.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essc@pwd.org.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tif"/><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gd.sa.gov.au/initiatives/disability-justice-pla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PWDA%20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B4391-A485-4581-A62F-9CF1D565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SUBMISSION</Template>
  <TotalTime>0</TotalTime>
  <Pages>6</Pages>
  <Words>1907</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Project Proposal</vt:lpstr>
    </vt:vector>
  </TitlesOfParts>
  <Company/>
  <LinksUpToDate>false</LinksUpToDate>
  <CharactersWithSpaces>12824</CharactersWithSpaces>
  <SharedDoc>false</SharedDoc>
  <HLinks>
    <vt:vector size="42" baseType="variant">
      <vt:variant>
        <vt:i4>1638448</vt:i4>
      </vt:variant>
      <vt:variant>
        <vt:i4>32</vt:i4>
      </vt:variant>
      <vt:variant>
        <vt:i4>0</vt:i4>
      </vt:variant>
      <vt:variant>
        <vt:i4>5</vt:i4>
      </vt:variant>
      <vt:variant>
        <vt:lpwstr/>
      </vt:variant>
      <vt:variant>
        <vt:lpwstr>_Toc394304708</vt:lpwstr>
      </vt:variant>
      <vt:variant>
        <vt:i4>1638448</vt:i4>
      </vt:variant>
      <vt:variant>
        <vt:i4>26</vt:i4>
      </vt:variant>
      <vt:variant>
        <vt:i4>0</vt:i4>
      </vt:variant>
      <vt:variant>
        <vt:i4>5</vt:i4>
      </vt:variant>
      <vt:variant>
        <vt:lpwstr/>
      </vt:variant>
      <vt:variant>
        <vt:lpwstr>_Toc394304707</vt:lpwstr>
      </vt:variant>
      <vt:variant>
        <vt:i4>1638448</vt:i4>
      </vt:variant>
      <vt:variant>
        <vt:i4>20</vt:i4>
      </vt:variant>
      <vt:variant>
        <vt:i4>0</vt:i4>
      </vt:variant>
      <vt:variant>
        <vt:i4>5</vt:i4>
      </vt:variant>
      <vt:variant>
        <vt:lpwstr/>
      </vt:variant>
      <vt:variant>
        <vt:lpwstr>_Toc394304706</vt:lpwstr>
      </vt:variant>
      <vt:variant>
        <vt:i4>1638448</vt:i4>
      </vt:variant>
      <vt:variant>
        <vt:i4>14</vt:i4>
      </vt:variant>
      <vt:variant>
        <vt:i4>0</vt:i4>
      </vt:variant>
      <vt:variant>
        <vt:i4>5</vt:i4>
      </vt:variant>
      <vt:variant>
        <vt:lpwstr/>
      </vt:variant>
      <vt:variant>
        <vt:lpwstr>_Toc394304705</vt:lpwstr>
      </vt:variant>
      <vt:variant>
        <vt:i4>1638448</vt:i4>
      </vt:variant>
      <vt:variant>
        <vt:i4>8</vt:i4>
      </vt:variant>
      <vt:variant>
        <vt:i4>0</vt:i4>
      </vt:variant>
      <vt:variant>
        <vt:i4>5</vt:i4>
      </vt:variant>
      <vt:variant>
        <vt:lpwstr/>
      </vt:variant>
      <vt:variant>
        <vt:lpwstr>_Toc394304704</vt:lpwstr>
      </vt:variant>
      <vt:variant>
        <vt:i4>1638448</vt:i4>
      </vt:variant>
      <vt:variant>
        <vt:i4>2</vt:i4>
      </vt:variant>
      <vt:variant>
        <vt:i4>0</vt:i4>
      </vt:variant>
      <vt:variant>
        <vt:i4>5</vt:i4>
      </vt:variant>
      <vt:variant>
        <vt:lpwstr/>
      </vt:variant>
      <vt:variant>
        <vt:lpwstr>_Toc394304703</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
  <dc:creator>Jess Cadwallader</dc:creator>
  <cp:keywords/>
  <cp:lastModifiedBy>Nathan Mikhael</cp:lastModifiedBy>
  <cp:revision>2</cp:revision>
  <cp:lastPrinted>2014-04-08T06:58:00Z</cp:lastPrinted>
  <dcterms:created xsi:type="dcterms:W3CDTF">2015-06-17T05:59:00Z</dcterms:created>
  <dcterms:modified xsi:type="dcterms:W3CDTF">2015-06-17T05:59:00Z</dcterms:modified>
</cp:coreProperties>
</file>