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B8" w:rsidRDefault="00250EB8"/>
    <w:p w:rsidR="000C179E" w:rsidRDefault="000C179E">
      <w:r w:rsidRPr="0049521E">
        <w:rPr>
          <w:rFonts w:cs="Arial"/>
          <w:b/>
          <w:noProof/>
          <w:sz w:val="36"/>
          <w:szCs w:val="36"/>
          <w:lang w:eastAsia="en-AU"/>
        </w:rPr>
        <w:drawing>
          <wp:inline distT="0" distB="0" distL="0" distR="0" wp14:anchorId="7DD0CBDB" wp14:editId="4E2992B5">
            <wp:extent cx="1485900" cy="1485900"/>
            <wp:effectExtent l="0" t="0" r="0" b="0"/>
            <wp:docPr id="1" name="Picture 1" descr="H:\Twitter\PWDA_Ic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witter\PWDA_Icon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0C179E" w:rsidRDefault="000C179E"/>
    <w:p w:rsidR="000C179E" w:rsidRDefault="000C179E"/>
    <w:p w:rsidR="000C179E" w:rsidRDefault="000C179E"/>
    <w:p w:rsidR="000C179E" w:rsidRPr="003D1056" w:rsidRDefault="000C179E" w:rsidP="000C179E">
      <w:pPr>
        <w:suppressAutoHyphens/>
        <w:ind w:right="-330"/>
        <w:jc w:val="right"/>
        <w:rPr>
          <w:rFonts w:ascii="VAG Rounded" w:hAnsi="VAG Rounded" w:cs="Arial"/>
          <w:b/>
          <w:color w:val="005496"/>
          <w:sz w:val="36"/>
          <w:szCs w:val="36"/>
        </w:rPr>
      </w:pPr>
      <w:r w:rsidRPr="003D1056">
        <w:rPr>
          <w:rFonts w:ascii="VAG Rounded" w:hAnsi="VAG Rounded" w:cs="Arial"/>
          <w:b/>
          <w:color w:val="005496"/>
          <w:sz w:val="36"/>
          <w:szCs w:val="36"/>
        </w:rPr>
        <w:t>People with Disability Australia (PWDA)</w:t>
      </w:r>
    </w:p>
    <w:p w:rsidR="000C179E" w:rsidRPr="003D1056" w:rsidRDefault="000C179E" w:rsidP="000C179E">
      <w:pPr>
        <w:tabs>
          <w:tab w:val="left" w:pos="5790"/>
        </w:tabs>
        <w:suppressAutoHyphens/>
        <w:ind w:right="-330"/>
        <w:rPr>
          <w:rFonts w:ascii="VAG Rounded" w:hAnsi="VAG Rounded" w:cs="Arial"/>
          <w:b/>
          <w:color w:val="005496"/>
          <w:sz w:val="36"/>
          <w:szCs w:val="36"/>
        </w:rPr>
      </w:pPr>
      <w:r>
        <w:rPr>
          <w:rFonts w:ascii="VAG Rounded" w:hAnsi="VAG Rounded" w:cs="Arial"/>
          <w:b/>
          <w:color w:val="005496"/>
          <w:sz w:val="36"/>
          <w:szCs w:val="36"/>
        </w:rPr>
        <w:tab/>
      </w:r>
    </w:p>
    <w:p w:rsidR="000C179E" w:rsidRPr="003D1056" w:rsidRDefault="000C179E" w:rsidP="000C179E">
      <w:pPr>
        <w:pBdr>
          <w:top w:val="single" w:sz="12" w:space="1" w:color="auto"/>
          <w:bottom w:val="single" w:sz="12" w:space="1" w:color="auto"/>
        </w:pBdr>
        <w:suppressAutoHyphens/>
        <w:ind w:right="-329"/>
        <w:jc w:val="right"/>
        <w:rPr>
          <w:rFonts w:ascii="VAG Rounded" w:hAnsi="VAG Rounded" w:cs="Arial"/>
          <w:b/>
          <w:color w:val="005496"/>
          <w:sz w:val="36"/>
          <w:szCs w:val="36"/>
        </w:rPr>
      </w:pPr>
    </w:p>
    <w:p w:rsidR="002D3CE0" w:rsidRDefault="002D3CE0" w:rsidP="000C179E">
      <w:pPr>
        <w:pBdr>
          <w:top w:val="single" w:sz="12" w:space="1" w:color="auto"/>
          <w:bottom w:val="single" w:sz="12" w:space="1" w:color="auto"/>
        </w:pBdr>
        <w:suppressAutoHyphens/>
        <w:ind w:right="-329"/>
        <w:jc w:val="right"/>
        <w:rPr>
          <w:rFonts w:ascii="VAG Rounded" w:hAnsi="VAG Rounded" w:cs="Arial"/>
          <w:b/>
          <w:color w:val="005496"/>
          <w:sz w:val="36"/>
          <w:szCs w:val="36"/>
        </w:rPr>
      </w:pPr>
      <w:bookmarkStart w:id="0" w:name="_GoBack"/>
      <w:r>
        <w:rPr>
          <w:rFonts w:ascii="VAG Rounded" w:hAnsi="VAG Rounded" w:cs="Arial"/>
          <w:b/>
          <w:color w:val="005496"/>
          <w:sz w:val="36"/>
          <w:szCs w:val="36"/>
        </w:rPr>
        <w:t>Submission to the Queensland Parliament</w:t>
      </w:r>
      <w:r w:rsidR="00C6787B">
        <w:rPr>
          <w:rFonts w:ascii="VAG Rounded" w:hAnsi="VAG Rounded" w:cs="Arial"/>
          <w:b/>
          <w:color w:val="005496"/>
          <w:sz w:val="36"/>
          <w:szCs w:val="36"/>
        </w:rPr>
        <w:t>, Legal Affairs &amp; Community Safety Committee</w:t>
      </w:r>
      <w:r w:rsidR="000C179E" w:rsidRPr="003D1056">
        <w:rPr>
          <w:rFonts w:ascii="VAG Rounded" w:hAnsi="VAG Rounded" w:cs="Arial"/>
          <w:b/>
          <w:color w:val="005496"/>
          <w:sz w:val="36"/>
          <w:szCs w:val="36"/>
        </w:rPr>
        <w:t xml:space="preserve">: </w:t>
      </w:r>
    </w:p>
    <w:p w:rsidR="000C179E" w:rsidRPr="003D1056" w:rsidRDefault="002D3CE0" w:rsidP="000C179E">
      <w:pPr>
        <w:pBdr>
          <w:top w:val="single" w:sz="12" w:space="1" w:color="auto"/>
          <w:bottom w:val="single" w:sz="12" w:space="1" w:color="auto"/>
        </w:pBdr>
        <w:suppressAutoHyphens/>
        <w:ind w:right="-329"/>
        <w:jc w:val="right"/>
        <w:rPr>
          <w:rFonts w:ascii="VAG Rounded" w:hAnsi="VAG Rounded" w:cs="Arial"/>
          <w:b/>
          <w:color w:val="005496"/>
          <w:sz w:val="36"/>
          <w:szCs w:val="36"/>
        </w:rPr>
      </w:pPr>
      <w:r>
        <w:rPr>
          <w:rFonts w:ascii="VAG Rounded" w:hAnsi="VAG Rounded" w:cs="Arial"/>
          <w:b/>
          <w:color w:val="005496"/>
          <w:sz w:val="36"/>
          <w:szCs w:val="36"/>
        </w:rPr>
        <w:t>The Queensland Human Rights Act 2018</w:t>
      </w:r>
    </w:p>
    <w:bookmarkEnd w:id="0"/>
    <w:p w:rsidR="000C179E" w:rsidRPr="003D1056" w:rsidRDefault="000C179E" w:rsidP="000C179E">
      <w:pPr>
        <w:pBdr>
          <w:top w:val="single" w:sz="12" w:space="1" w:color="auto"/>
          <w:bottom w:val="single" w:sz="12" w:space="1" w:color="auto"/>
        </w:pBdr>
        <w:suppressAutoHyphens/>
        <w:ind w:right="-329"/>
        <w:jc w:val="right"/>
        <w:rPr>
          <w:rFonts w:ascii="VAG Rounded" w:hAnsi="VAG Rounded" w:cs="Arial"/>
          <w:b/>
          <w:color w:val="005496"/>
          <w:sz w:val="36"/>
          <w:szCs w:val="36"/>
        </w:rPr>
      </w:pPr>
    </w:p>
    <w:p w:rsidR="000C179E" w:rsidRPr="003D1056" w:rsidRDefault="000C179E" w:rsidP="000C179E">
      <w:pPr>
        <w:suppressAutoHyphens/>
        <w:ind w:right="-330"/>
        <w:rPr>
          <w:rFonts w:ascii="VAG Rounded" w:hAnsi="VAG Rounded" w:cs="Arial"/>
          <w:b/>
          <w:color w:val="005496"/>
          <w:sz w:val="36"/>
          <w:szCs w:val="36"/>
        </w:rPr>
      </w:pPr>
    </w:p>
    <w:p w:rsidR="000C179E" w:rsidRPr="003D1056" w:rsidRDefault="002D3CE0" w:rsidP="000C179E">
      <w:pPr>
        <w:suppressAutoHyphens/>
        <w:ind w:right="-330"/>
        <w:jc w:val="right"/>
        <w:rPr>
          <w:rFonts w:ascii="VAG Rounded" w:hAnsi="VAG Rounded" w:cs="Arial"/>
          <w:b/>
          <w:color w:val="005496"/>
          <w:sz w:val="36"/>
          <w:szCs w:val="36"/>
        </w:rPr>
      </w:pPr>
      <w:r>
        <w:rPr>
          <w:rFonts w:ascii="VAG Rounded" w:hAnsi="VAG Rounded" w:cs="Arial"/>
          <w:b/>
          <w:color w:val="005496"/>
          <w:sz w:val="36"/>
          <w:szCs w:val="36"/>
        </w:rPr>
        <w:t>November</w:t>
      </w:r>
      <w:r w:rsidR="000C179E" w:rsidRPr="003D1056">
        <w:rPr>
          <w:rFonts w:ascii="VAG Rounded" w:hAnsi="VAG Rounded" w:cs="Arial"/>
          <w:b/>
          <w:color w:val="005496"/>
          <w:sz w:val="36"/>
          <w:szCs w:val="36"/>
        </w:rPr>
        <w:t xml:space="preserve"> 2018</w:t>
      </w:r>
    </w:p>
    <w:p w:rsidR="000C179E" w:rsidRDefault="000C179E"/>
    <w:p w:rsidR="00ED67FC" w:rsidRDefault="00ED67FC"/>
    <w:p w:rsidR="00ED67FC" w:rsidRDefault="00ED67FC"/>
    <w:p w:rsidR="00ED67FC" w:rsidRDefault="00ED67FC"/>
    <w:p w:rsidR="00ED67FC" w:rsidRDefault="00ED67FC"/>
    <w:p w:rsidR="00ED67FC" w:rsidRDefault="00ED67FC"/>
    <w:p w:rsidR="00ED67FC" w:rsidRDefault="00ED67FC"/>
    <w:p w:rsidR="00ED67FC" w:rsidRDefault="00ED67FC"/>
    <w:p w:rsidR="00ED67FC" w:rsidRDefault="00ED67FC"/>
    <w:p w:rsidR="00ED67FC" w:rsidRDefault="00ED67FC"/>
    <w:p w:rsidR="00ED67FC" w:rsidRDefault="00ED67FC"/>
    <w:p w:rsidR="00ED67FC" w:rsidRDefault="00ED67FC"/>
    <w:p w:rsidR="00ED67FC" w:rsidRDefault="00ED67FC"/>
    <w:p w:rsidR="00ED67FC" w:rsidRPr="004B6CEB" w:rsidRDefault="00ED67FC" w:rsidP="00ED67FC">
      <w:pPr>
        <w:rPr>
          <w:rFonts w:cs="Arial"/>
        </w:rPr>
      </w:pPr>
      <w:r w:rsidRPr="004B6CEB">
        <w:rPr>
          <w:rFonts w:cs="Arial"/>
        </w:rPr>
        <w:t>Contact details:</w:t>
      </w:r>
    </w:p>
    <w:p w:rsidR="00ED67FC" w:rsidRPr="004B6CEB" w:rsidRDefault="00ED67FC" w:rsidP="00ED67FC">
      <w:pPr>
        <w:rPr>
          <w:rFonts w:cs="Arial"/>
        </w:rPr>
      </w:pPr>
    </w:p>
    <w:p w:rsidR="00ED67FC" w:rsidRPr="004B6CEB" w:rsidRDefault="00ED67FC" w:rsidP="00ED67FC">
      <w:pPr>
        <w:rPr>
          <w:rFonts w:cs="Arial"/>
          <w:b/>
        </w:rPr>
      </w:pPr>
      <w:r>
        <w:rPr>
          <w:rFonts w:cs="Arial"/>
          <w:b/>
        </w:rPr>
        <w:t>Frances Quan Farrant</w:t>
      </w:r>
    </w:p>
    <w:p w:rsidR="00ED67FC" w:rsidRPr="004B6CEB" w:rsidRDefault="00ED67FC" w:rsidP="00ED67FC">
      <w:pPr>
        <w:rPr>
          <w:rFonts w:cs="Arial"/>
        </w:rPr>
      </w:pPr>
      <w:r w:rsidRPr="004B6CEB">
        <w:rPr>
          <w:rFonts w:cs="Arial"/>
        </w:rPr>
        <w:t xml:space="preserve">Senior </w:t>
      </w:r>
      <w:r>
        <w:rPr>
          <w:rFonts w:cs="Arial"/>
        </w:rPr>
        <w:t xml:space="preserve">Research &amp; </w:t>
      </w:r>
      <w:r w:rsidRPr="004B6CEB">
        <w:rPr>
          <w:rFonts w:cs="Arial"/>
        </w:rPr>
        <w:t>Policy Officer</w:t>
      </w:r>
      <w:r w:rsidR="00023174">
        <w:rPr>
          <w:rFonts w:cs="Arial"/>
        </w:rPr>
        <w:t xml:space="preserve"> (QLD)</w:t>
      </w:r>
    </w:p>
    <w:p w:rsidR="00AE0613" w:rsidRPr="00AE0613" w:rsidRDefault="00AE0613" w:rsidP="00AE0613">
      <w:pPr>
        <w:rPr>
          <w:rFonts w:cs="Arial"/>
          <w:szCs w:val="24"/>
          <w:lang w:eastAsia="en-AU"/>
        </w:rPr>
      </w:pPr>
      <w:r w:rsidRPr="00AE0613">
        <w:rPr>
          <w:rFonts w:cs="Arial"/>
          <w:szCs w:val="24"/>
          <w:lang w:eastAsia="en-AU"/>
        </w:rPr>
        <w:t xml:space="preserve">People with Disability Australia Incorporated </w:t>
      </w:r>
    </w:p>
    <w:p w:rsidR="00AE0613" w:rsidRPr="00AE0613" w:rsidRDefault="00AE0613" w:rsidP="00AE0613">
      <w:pPr>
        <w:rPr>
          <w:rFonts w:cs="Arial"/>
          <w:szCs w:val="24"/>
          <w:lang w:eastAsia="en-AU"/>
        </w:rPr>
      </w:pPr>
      <w:r w:rsidRPr="00AE0613">
        <w:rPr>
          <w:rFonts w:cs="Arial"/>
          <w:szCs w:val="24"/>
          <w:lang w:eastAsia="en-AU"/>
        </w:rPr>
        <w:t>PO Box 666 Strawberry Hills NSW 2012</w:t>
      </w:r>
    </w:p>
    <w:p w:rsidR="00ED67FC" w:rsidRDefault="00ED67FC" w:rsidP="00ED67FC">
      <w:pPr>
        <w:rPr>
          <w:rFonts w:cs="Arial"/>
        </w:rPr>
      </w:pPr>
      <w:r>
        <w:rPr>
          <w:rFonts w:cs="Arial"/>
        </w:rPr>
        <w:t>Mob: 0410 406115</w:t>
      </w:r>
    </w:p>
    <w:p w:rsidR="00ED67FC" w:rsidRDefault="00ED67FC" w:rsidP="00ED67FC">
      <w:pPr>
        <w:rPr>
          <w:rFonts w:cs="Arial"/>
        </w:rPr>
      </w:pPr>
      <w:r>
        <w:rPr>
          <w:rFonts w:cs="Arial"/>
        </w:rPr>
        <w:t xml:space="preserve">Email: </w:t>
      </w:r>
      <w:hyperlink r:id="rId9" w:history="1">
        <w:r w:rsidR="00AE0613" w:rsidRPr="00AE1C05">
          <w:rPr>
            <w:rStyle w:val="Hyperlink"/>
            <w:rFonts w:cs="Arial"/>
          </w:rPr>
          <w:t>FrancesF@pwd.org.au</w:t>
        </w:r>
      </w:hyperlink>
    </w:p>
    <w:p w:rsidR="00AE0613" w:rsidRPr="004B6CEB" w:rsidRDefault="00AE0613" w:rsidP="00ED67FC">
      <w:pPr>
        <w:rPr>
          <w:rFonts w:cs="Arial"/>
        </w:rPr>
      </w:pPr>
    </w:p>
    <w:p w:rsidR="00AE0613" w:rsidRDefault="00AE0613" w:rsidP="00ED67FC">
      <w:pPr>
        <w:rPr>
          <w:rFonts w:cs="Arial"/>
          <w:b/>
        </w:rPr>
      </w:pPr>
    </w:p>
    <w:p w:rsidR="00AE0613" w:rsidRDefault="00AE0613" w:rsidP="00ED67FC">
      <w:pPr>
        <w:rPr>
          <w:rFonts w:cs="Arial"/>
          <w:b/>
        </w:rPr>
      </w:pPr>
    </w:p>
    <w:p w:rsidR="00AE0613" w:rsidRDefault="00AE0613" w:rsidP="00ED67FC">
      <w:pPr>
        <w:rPr>
          <w:rFonts w:cs="Arial"/>
          <w:b/>
        </w:rPr>
      </w:pPr>
    </w:p>
    <w:p w:rsidR="00AE0613" w:rsidRDefault="00AE0613" w:rsidP="00ED67FC">
      <w:pPr>
        <w:rPr>
          <w:rFonts w:cs="Arial"/>
          <w:b/>
        </w:rPr>
      </w:pPr>
    </w:p>
    <w:p w:rsidR="00ED67FC" w:rsidRDefault="00B211A5" w:rsidP="00ED67FC">
      <w:pPr>
        <w:rPr>
          <w:rFonts w:cs="Arial"/>
          <w:b/>
        </w:rPr>
      </w:pPr>
      <w:r w:rsidRPr="00B211A5">
        <w:rPr>
          <w:rFonts w:cs="Arial"/>
          <w:b/>
        </w:rPr>
        <w:t>About P</w:t>
      </w:r>
      <w:r>
        <w:rPr>
          <w:rFonts w:cs="Arial"/>
          <w:b/>
        </w:rPr>
        <w:t xml:space="preserve">eople with </w:t>
      </w:r>
      <w:r w:rsidRPr="00B211A5">
        <w:rPr>
          <w:rFonts w:cs="Arial"/>
          <w:b/>
        </w:rPr>
        <w:t>D</w:t>
      </w:r>
      <w:r>
        <w:rPr>
          <w:rFonts w:cs="Arial"/>
          <w:b/>
        </w:rPr>
        <w:t xml:space="preserve">isability </w:t>
      </w:r>
      <w:r w:rsidRPr="00B211A5">
        <w:rPr>
          <w:rFonts w:cs="Arial"/>
          <w:b/>
        </w:rPr>
        <w:t>A</w:t>
      </w:r>
      <w:r>
        <w:rPr>
          <w:rFonts w:cs="Arial"/>
          <w:b/>
        </w:rPr>
        <w:t>ustralia</w:t>
      </w:r>
    </w:p>
    <w:p w:rsidR="00B211A5" w:rsidRDefault="00B211A5" w:rsidP="00ED67FC">
      <w:pPr>
        <w:rPr>
          <w:rFonts w:cs="Arial"/>
          <w:b/>
        </w:rPr>
      </w:pPr>
    </w:p>
    <w:p w:rsidR="00B211A5" w:rsidRPr="00B211A5" w:rsidRDefault="00B211A5" w:rsidP="00B211A5">
      <w:pPr>
        <w:numPr>
          <w:ilvl w:val="0"/>
          <w:numId w:val="4"/>
        </w:numPr>
        <w:autoSpaceDE w:val="0"/>
        <w:autoSpaceDN w:val="0"/>
        <w:adjustRightInd w:val="0"/>
        <w:jc w:val="both"/>
        <w:rPr>
          <w:rFonts w:cs="Arial"/>
          <w:color w:val="000000"/>
          <w:szCs w:val="24"/>
          <w:lang w:eastAsia="en-AU"/>
        </w:rPr>
      </w:pPr>
      <w:r w:rsidRPr="00B211A5">
        <w:rPr>
          <w:rFonts w:cs="Arial"/>
          <w:b/>
          <w:bCs/>
          <w:color w:val="000000"/>
          <w:szCs w:val="24"/>
          <w:lang w:eastAsia="en-AU"/>
        </w:rPr>
        <w:t>People with Disability Australia (</w:t>
      </w:r>
      <w:hyperlink r:id="rId10" w:history="1">
        <w:r w:rsidRPr="00B211A5">
          <w:rPr>
            <w:rFonts w:cs="Arial"/>
            <w:b/>
            <w:bCs/>
            <w:color w:val="0000FF"/>
            <w:szCs w:val="24"/>
            <w:u w:val="single"/>
            <w:lang w:eastAsia="en-AU"/>
          </w:rPr>
          <w:t>PWDA</w:t>
        </w:r>
      </w:hyperlink>
      <w:r w:rsidRPr="00B211A5">
        <w:rPr>
          <w:rFonts w:cs="Arial"/>
          <w:b/>
          <w:bCs/>
          <w:color w:val="000000"/>
          <w:szCs w:val="24"/>
          <w:lang w:eastAsia="en-AU"/>
        </w:rPr>
        <w:t xml:space="preserve">) </w:t>
      </w:r>
      <w:r w:rsidRPr="00B211A5">
        <w:rPr>
          <w:rFonts w:cs="Arial"/>
          <w:color w:val="000000"/>
          <w:szCs w:val="24"/>
          <w:lang w:eastAsia="en-AU"/>
        </w:rPr>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rsidR="00B211A5" w:rsidRPr="00B211A5" w:rsidRDefault="00B211A5" w:rsidP="00B211A5">
      <w:pPr>
        <w:autoSpaceDE w:val="0"/>
        <w:autoSpaceDN w:val="0"/>
        <w:adjustRightInd w:val="0"/>
        <w:ind w:left="720"/>
        <w:jc w:val="both"/>
        <w:rPr>
          <w:rFonts w:cs="Arial"/>
          <w:color w:val="000000"/>
          <w:szCs w:val="24"/>
          <w:lang w:eastAsia="en-AU"/>
        </w:rPr>
      </w:pPr>
    </w:p>
    <w:p w:rsidR="00B211A5" w:rsidRPr="00B211A5" w:rsidRDefault="00B211A5" w:rsidP="00B211A5">
      <w:pPr>
        <w:numPr>
          <w:ilvl w:val="0"/>
          <w:numId w:val="4"/>
        </w:numPr>
        <w:autoSpaceDE w:val="0"/>
        <w:autoSpaceDN w:val="0"/>
        <w:adjustRightInd w:val="0"/>
        <w:jc w:val="both"/>
        <w:rPr>
          <w:rFonts w:cs="Arial"/>
          <w:color w:val="000000"/>
          <w:szCs w:val="24"/>
          <w:lang w:eastAsia="en-AU"/>
        </w:rPr>
      </w:pPr>
      <w:r w:rsidRPr="00B211A5">
        <w:rPr>
          <w:rFonts w:cs="Arial"/>
          <w:color w:val="000000"/>
          <w:szCs w:val="24"/>
          <w:lang w:eastAsia="en-AU"/>
        </w:rPr>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rsidR="00B211A5" w:rsidRPr="00B211A5" w:rsidRDefault="00B211A5" w:rsidP="00B211A5">
      <w:pPr>
        <w:ind w:left="720"/>
        <w:jc w:val="right"/>
        <w:rPr>
          <w:rFonts w:cs="Arial"/>
          <w:szCs w:val="24"/>
          <w:lang w:eastAsia="en-AU"/>
        </w:rPr>
      </w:pPr>
    </w:p>
    <w:p w:rsidR="00B211A5" w:rsidRPr="00B211A5" w:rsidRDefault="00B211A5" w:rsidP="00B211A5">
      <w:pPr>
        <w:numPr>
          <w:ilvl w:val="0"/>
          <w:numId w:val="4"/>
        </w:numPr>
        <w:autoSpaceDE w:val="0"/>
        <w:autoSpaceDN w:val="0"/>
        <w:adjustRightInd w:val="0"/>
        <w:jc w:val="both"/>
        <w:rPr>
          <w:rFonts w:cs="Arial"/>
          <w:color w:val="000000"/>
          <w:szCs w:val="24"/>
          <w:lang w:eastAsia="en-AU"/>
        </w:rPr>
      </w:pPr>
      <w:r w:rsidRPr="00B211A5">
        <w:rPr>
          <w:rFonts w:cs="Arial"/>
          <w:color w:val="000000"/>
          <w:szCs w:val="24"/>
          <w:lang w:eastAsia="en-AU"/>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rsidR="00B211A5" w:rsidRPr="00B211A5" w:rsidRDefault="00B211A5" w:rsidP="00B211A5">
      <w:pPr>
        <w:ind w:left="720"/>
        <w:jc w:val="right"/>
        <w:rPr>
          <w:rFonts w:cs="Arial"/>
          <w:szCs w:val="24"/>
          <w:lang w:eastAsia="en-AU"/>
        </w:rPr>
      </w:pPr>
    </w:p>
    <w:p w:rsidR="00B211A5" w:rsidRPr="00B211A5" w:rsidRDefault="00B211A5" w:rsidP="00B211A5">
      <w:pPr>
        <w:numPr>
          <w:ilvl w:val="0"/>
          <w:numId w:val="4"/>
        </w:numPr>
        <w:autoSpaceDE w:val="0"/>
        <w:autoSpaceDN w:val="0"/>
        <w:adjustRightInd w:val="0"/>
        <w:jc w:val="both"/>
        <w:rPr>
          <w:rFonts w:cs="Arial"/>
          <w:color w:val="000000"/>
          <w:szCs w:val="24"/>
          <w:lang w:eastAsia="en-AU"/>
        </w:rPr>
      </w:pPr>
      <w:r w:rsidRPr="00B211A5">
        <w:rPr>
          <w:rFonts w:cs="Arial"/>
          <w:color w:val="000000"/>
          <w:szCs w:val="24"/>
          <w:lang w:eastAsia="en-AU"/>
        </w:rPr>
        <w:t>PWDA is also a founding member of Disabled People’s Organisations Australia (</w:t>
      </w:r>
      <w:hyperlink r:id="rId11" w:history="1">
        <w:r w:rsidRPr="00B211A5">
          <w:rPr>
            <w:rFonts w:cs="Arial"/>
            <w:color w:val="0000FF"/>
            <w:szCs w:val="24"/>
            <w:u w:val="single"/>
            <w:lang w:eastAsia="en-AU"/>
          </w:rPr>
          <w:t>DPO Australia</w:t>
        </w:r>
      </w:hyperlink>
      <w:r w:rsidRPr="00B211A5">
        <w:rPr>
          <w:rFonts w:cs="Arial"/>
          <w:color w:val="000000"/>
          <w:szCs w:val="24"/>
          <w:lang w:eastAsia="en-AU"/>
        </w:rPr>
        <w:t xml:space="preserve">) along with Women With Disabilities Australia, First Peoples Disability Network Australia, and National Ethnic Disability Alliance. DPO’s are organisations that are led by, and constituted of, people with disability.  </w:t>
      </w:r>
    </w:p>
    <w:p w:rsidR="00B211A5" w:rsidRPr="00B211A5" w:rsidRDefault="00B211A5" w:rsidP="00ED67FC">
      <w:pPr>
        <w:rPr>
          <w:rFonts w:cs="Arial"/>
          <w:b/>
        </w:rPr>
      </w:pPr>
    </w:p>
    <w:p w:rsidR="00B211A5" w:rsidRDefault="00B211A5"/>
    <w:p w:rsidR="00B211A5" w:rsidRDefault="00B211A5"/>
    <w:p w:rsidR="00B211A5" w:rsidRPr="00B211A5" w:rsidRDefault="00B211A5">
      <w:pPr>
        <w:rPr>
          <w:b/>
        </w:rPr>
      </w:pPr>
      <w:r w:rsidRPr="00B211A5">
        <w:rPr>
          <w:b/>
        </w:rPr>
        <w:t>Introduction</w:t>
      </w:r>
    </w:p>
    <w:p w:rsidR="00B211A5" w:rsidRDefault="00B211A5"/>
    <w:p w:rsidR="00E50A43" w:rsidRDefault="008D7334">
      <w:r>
        <w:t>As a national peak body for people with disability and Disabled Person’s Organisation (DPO), P</w:t>
      </w:r>
      <w:r w:rsidR="00020782">
        <w:t xml:space="preserve">eople with </w:t>
      </w:r>
      <w:r>
        <w:t>D</w:t>
      </w:r>
      <w:r w:rsidR="00020782">
        <w:t xml:space="preserve">isability Australia (PWDA) </w:t>
      </w:r>
      <w:r>
        <w:t xml:space="preserve">congratulates the Queensland Government for introducing the </w:t>
      </w:r>
      <w:r w:rsidRPr="00E24C5E">
        <w:rPr>
          <w:i/>
        </w:rPr>
        <w:t>Queensland Human Rights Act 2018</w:t>
      </w:r>
      <w:r w:rsidR="00F572F0">
        <w:t xml:space="preserve"> (</w:t>
      </w:r>
      <w:r w:rsidR="00E50A43">
        <w:t>“</w:t>
      </w:r>
      <w:r w:rsidR="00F572F0">
        <w:t xml:space="preserve">The </w:t>
      </w:r>
      <w:r w:rsidR="00BB5DDC">
        <w:t>Bill</w:t>
      </w:r>
      <w:r w:rsidR="00E50A43">
        <w:t>”</w:t>
      </w:r>
      <w:r w:rsidR="00F572F0">
        <w:t>)</w:t>
      </w:r>
      <w:r>
        <w:t>.</w:t>
      </w:r>
      <w:r w:rsidR="00F572F0">
        <w:t xml:space="preserve"> </w:t>
      </w:r>
      <w:r w:rsidR="00B03CDF">
        <w:t>PWDA strongly supports the introduction of a Human Rights Act in Queensland.</w:t>
      </w:r>
    </w:p>
    <w:p w:rsidR="00ED67FC" w:rsidRDefault="00F572F0">
      <w:r>
        <w:t xml:space="preserve">The introduction of the </w:t>
      </w:r>
      <w:r w:rsidR="00020782">
        <w:t>Bill, once approved,</w:t>
      </w:r>
      <w:r>
        <w:t xml:space="preserve"> brings Queensland </w:t>
      </w:r>
      <w:r w:rsidR="00020782">
        <w:t>ahead</w:t>
      </w:r>
      <w:r w:rsidR="0072718B">
        <w:t xml:space="preserve"> and </w:t>
      </w:r>
      <w:r w:rsidR="007B7557">
        <w:t>surpasses Victoria’s</w:t>
      </w:r>
      <w:r w:rsidR="0072718B">
        <w:t xml:space="preserve"> </w:t>
      </w:r>
      <w:r w:rsidR="0072718B" w:rsidRPr="0072718B">
        <w:rPr>
          <w:i/>
        </w:rPr>
        <w:t>Charter of Human Rights and Responsibilities</w:t>
      </w:r>
      <w:r w:rsidR="0072718B">
        <w:t>,</w:t>
      </w:r>
      <w:r w:rsidR="00020782">
        <w:t xml:space="preserve"> in achieving and supporting Human Rights for all community members; by ensuring a human rights culture is fostered across all arms of government, including policy frameworks, service delivery and new laws. It also brings Queensland </w:t>
      </w:r>
      <w:r>
        <w:t>closer to the</w:t>
      </w:r>
      <w:r w:rsidR="00020782">
        <w:t xml:space="preserve"> full</w:t>
      </w:r>
      <w:r>
        <w:t xml:space="preserve"> implementation of the </w:t>
      </w:r>
      <w:r w:rsidRPr="00D90976">
        <w:rPr>
          <w:i/>
        </w:rPr>
        <w:t>United Nations Convention on the rights of Person’s with Disability</w:t>
      </w:r>
      <w:r w:rsidR="00020782" w:rsidRPr="00D90976">
        <w:rPr>
          <w:i/>
        </w:rPr>
        <w:t xml:space="preserve"> (UNCRPD)</w:t>
      </w:r>
      <w:r>
        <w:t>.</w:t>
      </w:r>
    </w:p>
    <w:p w:rsidR="00F572F0" w:rsidRDefault="00F572F0"/>
    <w:p w:rsidR="00F572F0" w:rsidRDefault="00F572F0"/>
    <w:p w:rsidR="00BB5DDC" w:rsidRDefault="00BB5DDC"/>
    <w:p w:rsidR="00374151" w:rsidRDefault="00445406">
      <w:pPr>
        <w:rPr>
          <w:b/>
        </w:rPr>
      </w:pPr>
      <w:r>
        <w:rPr>
          <w:b/>
        </w:rPr>
        <w:t xml:space="preserve">Recommendations for the Human Rights </w:t>
      </w:r>
      <w:r w:rsidR="00374151">
        <w:rPr>
          <w:b/>
        </w:rPr>
        <w:t>Act 2018</w:t>
      </w:r>
    </w:p>
    <w:p w:rsidR="00C87264" w:rsidRDefault="00C87264">
      <w:pPr>
        <w:rPr>
          <w:b/>
        </w:rPr>
      </w:pPr>
    </w:p>
    <w:p w:rsidR="00C87264" w:rsidRDefault="006A7002" w:rsidP="00C87264">
      <w:r>
        <w:t>PWDA supports the Human Rights framework proposed in the Bill, however, in</w:t>
      </w:r>
      <w:r w:rsidR="00C87264">
        <w:t xml:space="preserve"> order to be truly effective the Human Rights Act must be legally enforceable. The Bill should give people the means to take legal action should they be treated unfairly. In addition, the Bill needs to guarantee provisions for people with disability to ensure </w:t>
      </w:r>
      <w:r w:rsidR="00C87264">
        <w:lastRenderedPageBreak/>
        <w:t>effective and full access to justice and equality before the law, as equal citizens, in any form of legal proceedings.</w:t>
      </w:r>
    </w:p>
    <w:p w:rsidR="00C87264" w:rsidRDefault="00C87264" w:rsidP="00C87264">
      <w:r>
        <w:t xml:space="preserve">In its current form, the Bill does not effectively guarantee these rights, therefore </w:t>
      </w:r>
      <w:r w:rsidR="00445406">
        <w:t>PWDA</w:t>
      </w:r>
      <w:r>
        <w:t xml:space="preserve"> have listed the following recommendations.</w:t>
      </w:r>
    </w:p>
    <w:p w:rsidR="00C87264" w:rsidRDefault="00C87264">
      <w:pPr>
        <w:rPr>
          <w:b/>
        </w:rPr>
      </w:pPr>
    </w:p>
    <w:p w:rsidR="00374151" w:rsidRDefault="00374151">
      <w:pPr>
        <w:rPr>
          <w:b/>
        </w:rPr>
      </w:pPr>
    </w:p>
    <w:p w:rsidR="00374151" w:rsidRPr="006A7002" w:rsidRDefault="00374151" w:rsidP="006A7002">
      <w:pPr>
        <w:pStyle w:val="ListParagraph"/>
        <w:numPr>
          <w:ilvl w:val="0"/>
          <w:numId w:val="5"/>
        </w:numPr>
        <w:rPr>
          <w:b/>
        </w:rPr>
      </w:pPr>
      <w:r w:rsidRPr="006A7002">
        <w:rPr>
          <w:b/>
        </w:rPr>
        <w:t>Making a Complaint to a Court or Tribunal</w:t>
      </w:r>
    </w:p>
    <w:p w:rsidR="00374151" w:rsidRPr="00374151" w:rsidRDefault="00374151">
      <w:pPr>
        <w:rPr>
          <w:b/>
        </w:rPr>
      </w:pPr>
    </w:p>
    <w:p w:rsidR="00F572F0" w:rsidRDefault="00BB5DDC">
      <w:r>
        <w:t xml:space="preserve">Whilst PWDA recognises that having non-judicial means by which to resolve breaches of human rights </w:t>
      </w:r>
      <w:r w:rsidR="00E05276">
        <w:t>may</w:t>
      </w:r>
      <w:r>
        <w:t xml:space="preserve"> deliver satisfactory outcomes</w:t>
      </w:r>
      <w:r w:rsidR="006A7002">
        <w:t xml:space="preserve"> for some</w:t>
      </w:r>
      <w:r>
        <w:t>, a</w:t>
      </w:r>
      <w:r w:rsidR="00E05276">
        <w:t>s currently proposed in</w:t>
      </w:r>
      <w:r w:rsidR="006A7002">
        <w:t xml:space="preserve"> the Bill.</w:t>
      </w:r>
      <w:r>
        <w:t xml:space="preserve"> It should also be noted that under the Bill</w:t>
      </w:r>
      <w:r w:rsidR="00E05276">
        <w:t xml:space="preserve"> as it currently stands, </w:t>
      </w:r>
      <w:r w:rsidR="009A4805">
        <w:t>the Human Rights Commission cannot:</w:t>
      </w:r>
    </w:p>
    <w:p w:rsidR="009A4805" w:rsidRDefault="009A4805"/>
    <w:p w:rsidR="009A4805" w:rsidRPr="00C30C43" w:rsidRDefault="009A4805" w:rsidP="009A4805">
      <w:pPr>
        <w:pStyle w:val="ListParagraph"/>
        <w:numPr>
          <w:ilvl w:val="0"/>
          <w:numId w:val="1"/>
        </w:numPr>
        <w:rPr>
          <w:i/>
        </w:rPr>
      </w:pPr>
      <w:r w:rsidRPr="00C30C43">
        <w:rPr>
          <w:i/>
        </w:rPr>
        <w:t>Make a legally binding finding about whether a government agency, body or a particular law, breaches human rights.</w:t>
      </w:r>
    </w:p>
    <w:p w:rsidR="009A4805" w:rsidRDefault="009A4805" w:rsidP="009A4805">
      <w:pPr>
        <w:pStyle w:val="ListParagraph"/>
        <w:numPr>
          <w:ilvl w:val="0"/>
          <w:numId w:val="1"/>
        </w:numPr>
      </w:pPr>
      <w:r w:rsidRPr="00C30C43">
        <w:rPr>
          <w:i/>
        </w:rPr>
        <w:t>Award remedies to address the harms caused by a breach of Human Rights</w:t>
      </w:r>
      <w:r>
        <w:t>.</w:t>
      </w:r>
    </w:p>
    <w:p w:rsidR="00ED110A" w:rsidRDefault="00ED110A" w:rsidP="00ED110A"/>
    <w:p w:rsidR="00ED110A" w:rsidRDefault="00ED110A" w:rsidP="00ED110A">
      <w:r>
        <w:t xml:space="preserve">Therefore, the Human Rights Act needs a standalone </w:t>
      </w:r>
      <w:r w:rsidR="006A7002">
        <w:t>cause of action</w:t>
      </w:r>
      <w:r w:rsidR="00374151">
        <w:t xml:space="preserve"> in order</w:t>
      </w:r>
      <w:r>
        <w:t xml:space="preserve"> that people can uphold their rights in a tribunal or court. Similar to the Victorian Charter, the Bill only allows for claims</w:t>
      </w:r>
      <w:r w:rsidR="00D972C5">
        <w:t xml:space="preserve"> to be raised in legal proceedings if there is another ground on which to challenge the decision or action. A recent review of the Victorian Charter recommended amending the Charter to include a standalone </w:t>
      </w:r>
      <w:r w:rsidR="006A7002">
        <w:t>cause of action</w:t>
      </w:r>
      <w:r w:rsidR="00D972C5">
        <w:t>, such as exists in the ACT, and for complaints to be made to a tribunal and not the Supreme Court.</w:t>
      </w:r>
      <w:r w:rsidR="00596B76">
        <w:rPr>
          <w:rStyle w:val="FootnoteReference"/>
        </w:rPr>
        <w:footnoteReference w:id="1"/>
      </w:r>
    </w:p>
    <w:p w:rsidR="008D7334" w:rsidRDefault="008D7334"/>
    <w:p w:rsidR="000B7BB4" w:rsidRDefault="00832710">
      <w:r w:rsidRPr="000B7BB4">
        <w:rPr>
          <w:b/>
        </w:rPr>
        <w:t>Recommendation:</w:t>
      </w:r>
      <w:r w:rsidR="00D972C5">
        <w:t xml:space="preserve"> </w:t>
      </w:r>
    </w:p>
    <w:p w:rsidR="006A7002" w:rsidRDefault="006A7002"/>
    <w:p w:rsidR="00832710" w:rsidRDefault="00D972C5" w:rsidP="000B7BB4">
      <w:pPr>
        <w:pStyle w:val="ListParagraph"/>
        <w:numPr>
          <w:ilvl w:val="0"/>
          <w:numId w:val="3"/>
        </w:numPr>
      </w:pPr>
      <w:r>
        <w:t xml:space="preserve">The Bill must include a standalone </w:t>
      </w:r>
      <w:r w:rsidR="006A7002">
        <w:t>cause of action</w:t>
      </w:r>
      <w:r>
        <w:t xml:space="preserve"> </w:t>
      </w:r>
      <w:r w:rsidR="00596B76">
        <w:t>so that breaches of the Human Rights Act can be heard at QCAT or the Supreme Court.</w:t>
      </w:r>
    </w:p>
    <w:p w:rsidR="006A7002" w:rsidRDefault="006A7002" w:rsidP="006A7002"/>
    <w:p w:rsidR="00832710" w:rsidRDefault="00832710"/>
    <w:p w:rsidR="00832710" w:rsidRDefault="00832710"/>
    <w:p w:rsidR="005F01ED" w:rsidRPr="006A7002" w:rsidRDefault="00596B76" w:rsidP="006A7002">
      <w:pPr>
        <w:pStyle w:val="ListParagraph"/>
        <w:numPr>
          <w:ilvl w:val="0"/>
          <w:numId w:val="3"/>
        </w:numPr>
        <w:rPr>
          <w:b/>
        </w:rPr>
      </w:pPr>
      <w:r w:rsidRPr="006A7002">
        <w:rPr>
          <w:b/>
        </w:rPr>
        <w:t>Access to Justice and Equality before the Law</w:t>
      </w:r>
    </w:p>
    <w:p w:rsidR="005F01ED" w:rsidRDefault="005F01ED">
      <w:pPr>
        <w:rPr>
          <w:b/>
        </w:rPr>
      </w:pPr>
    </w:p>
    <w:p w:rsidR="00832710" w:rsidRDefault="00832710">
      <w:pPr>
        <w:rPr>
          <w:color w:val="000000" w:themeColor="text1"/>
        </w:rPr>
      </w:pPr>
      <w:r w:rsidRPr="00DF4DC4">
        <w:rPr>
          <w:color w:val="000000" w:themeColor="text1"/>
        </w:rPr>
        <w:t xml:space="preserve"> </w:t>
      </w:r>
      <w:r w:rsidR="00302916" w:rsidRPr="00DF4DC4">
        <w:rPr>
          <w:color w:val="000000" w:themeColor="text1"/>
        </w:rPr>
        <w:t>It is noted that c</w:t>
      </w:r>
      <w:r w:rsidR="005F01ED" w:rsidRPr="00DF4DC4">
        <w:rPr>
          <w:color w:val="000000" w:themeColor="text1"/>
        </w:rPr>
        <w:t xml:space="preserve">lause 15 of the Human Rights </w:t>
      </w:r>
      <w:r w:rsidR="00302916" w:rsidRPr="00DF4DC4">
        <w:rPr>
          <w:color w:val="000000" w:themeColor="text1"/>
        </w:rPr>
        <w:t>Act</w:t>
      </w:r>
      <w:r w:rsidR="005F01ED" w:rsidRPr="00DF4DC4">
        <w:rPr>
          <w:color w:val="000000" w:themeColor="text1"/>
        </w:rPr>
        <w:t xml:space="preserve"> – Recognition and equality before the law, subsection (5),  provides that measures taken for the purpose of assisting or advancing persons or groups of persons disadvantaged because of discrimination do not constitute discrimination. </w:t>
      </w:r>
    </w:p>
    <w:p w:rsidR="00DF4DC4" w:rsidRPr="00DF4DC4" w:rsidRDefault="00DF4DC4">
      <w:pPr>
        <w:rPr>
          <w:color w:val="000000" w:themeColor="text1"/>
        </w:rPr>
      </w:pPr>
    </w:p>
    <w:p w:rsidR="00DB66DE" w:rsidRPr="00DF4DC4" w:rsidRDefault="00DB66DE">
      <w:pPr>
        <w:rPr>
          <w:color w:val="000000" w:themeColor="text1"/>
        </w:rPr>
      </w:pPr>
      <w:r w:rsidRPr="00DF4DC4">
        <w:rPr>
          <w:color w:val="000000" w:themeColor="text1"/>
        </w:rPr>
        <w:t>In addition</w:t>
      </w:r>
      <w:r w:rsidR="00E07948">
        <w:rPr>
          <w:color w:val="000000" w:themeColor="text1"/>
        </w:rPr>
        <w:t>,</w:t>
      </w:r>
      <w:r w:rsidRPr="00DF4DC4">
        <w:rPr>
          <w:color w:val="000000" w:themeColor="text1"/>
        </w:rPr>
        <w:t xml:space="preserve"> in clause 32 – Rights in Criminal Proceedings, subsection (25) </w:t>
      </w:r>
      <w:r w:rsidR="00E07948">
        <w:rPr>
          <w:color w:val="000000" w:themeColor="text1"/>
        </w:rPr>
        <w:t xml:space="preserve">Person must have the right </w:t>
      </w:r>
      <w:r w:rsidRPr="00DF4DC4">
        <w:rPr>
          <w:color w:val="000000" w:themeColor="text1"/>
        </w:rPr>
        <w:t>to have free assistance of specialised communication tools and technology and assistants if the person has speech difficulties that require assistance.</w:t>
      </w:r>
    </w:p>
    <w:p w:rsidR="00DB66DE" w:rsidRPr="00DF4DC4" w:rsidRDefault="00DB66DE">
      <w:pPr>
        <w:rPr>
          <w:color w:val="000000" w:themeColor="text1"/>
        </w:rPr>
      </w:pPr>
    </w:p>
    <w:p w:rsidR="00DB66DE" w:rsidRPr="00DF4DC4" w:rsidRDefault="00DB66DE">
      <w:pPr>
        <w:rPr>
          <w:color w:val="000000" w:themeColor="text1"/>
        </w:rPr>
      </w:pPr>
      <w:r w:rsidRPr="00DF4DC4">
        <w:rPr>
          <w:color w:val="000000" w:themeColor="text1"/>
        </w:rPr>
        <w:t xml:space="preserve">That whilst both clauses go some way to ensure that certain people with disability might not necessarily be disadvantaged or discriminated against during legal and criminal proceedings, the Act is not strong enough in ensuring that a person with </w:t>
      </w:r>
      <w:r w:rsidRPr="00DF4DC4">
        <w:rPr>
          <w:color w:val="000000" w:themeColor="text1"/>
        </w:rPr>
        <w:lastRenderedPageBreak/>
        <w:t xml:space="preserve">disability does indeed have full access to and equality </w:t>
      </w:r>
      <w:r w:rsidR="00DF4DC4" w:rsidRPr="00DF4DC4">
        <w:rPr>
          <w:color w:val="000000" w:themeColor="text1"/>
        </w:rPr>
        <w:t>before the law in order to ensure full due process rights as per Article 13 of the UNCRPD</w:t>
      </w:r>
      <w:r w:rsidR="004652C5">
        <w:rPr>
          <w:rStyle w:val="FootnoteReference"/>
          <w:color w:val="000000" w:themeColor="text1"/>
        </w:rPr>
        <w:footnoteReference w:id="2"/>
      </w:r>
      <w:r w:rsidR="00DF4DC4" w:rsidRPr="00DF4DC4">
        <w:rPr>
          <w:color w:val="000000" w:themeColor="text1"/>
        </w:rPr>
        <w:t xml:space="preserve"> which states:</w:t>
      </w:r>
    </w:p>
    <w:p w:rsidR="00DF4DC4" w:rsidRDefault="00DF4DC4">
      <w:pPr>
        <w:rPr>
          <w:color w:val="1F497D"/>
        </w:rPr>
      </w:pPr>
    </w:p>
    <w:p w:rsidR="00DF4DC4" w:rsidRPr="000E3EF2" w:rsidRDefault="00DF4DC4" w:rsidP="00AB14BF">
      <w:pPr>
        <w:pStyle w:val="NormalWeb"/>
        <w:spacing w:before="0" w:beforeAutospacing="0" w:after="195" w:afterAutospacing="0" w:line="255" w:lineRule="atLeast"/>
        <w:ind w:left="720"/>
        <w:textAlignment w:val="baseline"/>
        <w:rPr>
          <w:rFonts w:ascii="Arial" w:hAnsi="Arial" w:cs="Arial"/>
          <w:i/>
          <w:color w:val="000000"/>
        </w:rPr>
      </w:pPr>
      <w:r w:rsidRPr="000E3EF2">
        <w:rPr>
          <w:rFonts w:ascii="Arial" w:hAnsi="Arial" w:cs="Arial"/>
          <w:i/>
          <w:color w:val="000000"/>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rsidR="00DF4DC4" w:rsidRPr="000E3EF2" w:rsidRDefault="00DF4DC4" w:rsidP="00AB14BF">
      <w:pPr>
        <w:pStyle w:val="NormalWeb"/>
        <w:spacing w:before="0" w:beforeAutospacing="0" w:after="195" w:afterAutospacing="0" w:line="255" w:lineRule="atLeast"/>
        <w:ind w:left="720"/>
        <w:textAlignment w:val="baseline"/>
        <w:rPr>
          <w:rFonts w:ascii="Arial" w:hAnsi="Arial" w:cs="Arial"/>
          <w:i/>
          <w:color w:val="000000"/>
        </w:rPr>
      </w:pPr>
      <w:r w:rsidRPr="000E3EF2">
        <w:rPr>
          <w:rFonts w:ascii="Arial" w:hAnsi="Arial" w:cs="Arial"/>
          <w:i/>
          <w:color w:val="000000"/>
        </w:rPr>
        <w:t>2. In order to help to ensure effective access to justice for persons with disabilities, States Parties shall promote appropriate training for those working in the field of administration of justice, including police and prison staff.</w:t>
      </w:r>
    </w:p>
    <w:p w:rsidR="00D96A27" w:rsidRDefault="00D96A27" w:rsidP="00DF4DC4">
      <w:pPr>
        <w:pStyle w:val="NormalWeb"/>
        <w:spacing w:before="0" w:beforeAutospacing="0" w:after="195" w:afterAutospacing="0" w:line="255" w:lineRule="atLeast"/>
        <w:textAlignment w:val="baseline"/>
        <w:rPr>
          <w:rFonts w:ascii="Arial" w:hAnsi="Arial" w:cs="Arial"/>
          <w:color w:val="000000"/>
        </w:rPr>
      </w:pPr>
      <w:r>
        <w:rPr>
          <w:rFonts w:ascii="Arial" w:hAnsi="Arial" w:cs="Arial"/>
          <w:color w:val="000000"/>
        </w:rPr>
        <w:t>The Victorian Human Rights Commission along with the Judicial College, developed a set of guidelines to help judges make decisions that align with the Victorian Charter of Human Rights and Responsibilities.</w:t>
      </w:r>
      <w:r>
        <w:rPr>
          <w:rStyle w:val="FootnoteReference"/>
          <w:rFonts w:ascii="Arial" w:hAnsi="Arial" w:cs="Arial"/>
          <w:color w:val="000000"/>
        </w:rPr>
        <w:footnoteReference w:id="3"/>
      </w:r>
    </w:p>
    <w:p w:rsidR="0085369F" w:rsidRDefault="0085369F" w:rsidP="00DF4DC4">
      <w:pPr>
        <w:pStyle w:val="NormalWeb"/>
        <w:spacing w:before="0" w:beforeAutospacing="0" w:after="195" w:afterAutospacing="0" w:line="255" w:lineRule="atLeast"/>
        <w:textAlignment w:val="baseline"/>
        <w:rPr>
          <w:rFonts w:ascii="Arial" w:hAnsi="Arial" w:cs="Arial"/>
          <w:color w:val="000000"/>
        </w:rPr>
      </w:pPr>
      <w:r>
        <w:rPr>
          <w:rFonts w:ascii="Arial" w:hAnsi="Arial" w:cs="Arial"/>
          <w:color w:val="000000"/>
        </w:rPr>
        <w:t>South Australia has enacted a Disability Justice Strategy, which supports access to justice and equality before the law for people with disability across all legal settings.</w:t>
      </w:r>
      <w:r>
        <w:rPr>
          <w:rStyle w:val="FootnoteReference"/>
          <w:rFonts w:ascii="Arial" w:hAnsi="Arial" w:cs="Arial"/>
          <w:color w:val="000000"/>
        </w:rPr>
        <w:footnoteReference w:id="4"/>
      </w:r>
    </w:p>
    <w:p w:rsidR="00405953" w:rsidRDefault="00405953" w:rsidP="00DF4DC4">
      <w:pPr>
        <w:pStyle w:val="NormalWeb"/>
        <w:spacing w:before="0" w:beforeAutospacing="0" w:after="195" w:afterAutospacing="0" w:line="255" w:lineRule="atLeast"/>
        <w:textAlignment w:val="baseline"/>
        <w:rPr>
          <w:rFonts w:ascii="Arial" w:hAnsi="Arial" w:cs="Arial"/>
          <w:color w:val="000000"/>
        </w:rPr>
      </w:pPr>
      <w:r>
        <w:rPr>
          <w:rFonts w:ascii="Arial" w:hAnsi="Arial" w:cs="Arial"/>
          <w:color w:val="000000"/>
        </w:rPr>
        <w:t>New South Wales has recognised and reviewed the need for a Disability Justice Strategy (2017), which PWDA also supported.</w:t>
      </w:r>
      <w:r>
        <w:rPr>
          <w:rStyle w:val="FootnoteReference"/>
          <w:rFonts w:ascii="Arial" w:hAnsi="Arial" w:cs="Arial"/>
          <w:color w:val="000000"/>
        </w:rPr>
        <w:footnoteReference w:id="5"/>
      </w:r>
      <w:r>
        <w:rPr>
          <w:rFonts w:ascii="Arial" w:hAnsi="Arial" w:cs="Arial"/>
          <w:color w:val="000000"/>
        </w:rPr>
        <w:t xml:space="preserve">  </w:t>
      </w:r>
    </w:p>
    <w:p w:rsidR="00646042" w:rsidRDefault="00646042"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72EA0" w:rsidRDefault="00172EA0" w:rsidP="00DF4DC4">
      <w:pPr>
        <w:pStyle w:val="NormalWeb"/>
        <w:spacing w:before="0" w:beforeAutospacing="0" w:after="195" w:afterAutospacing="0" w:line="255" w:lineRule="atLeast"/>
        <w:textAlignment w:val="baseline"/>
        <w:rPr>
          <w:rFonts w:ascii="Arial" w:hAnsi="Arial" w:cs="Arial"/>
          <w:b/>
          <w:color w:val="000000" w:themeColor="text1"/>
        </w:rPr>
      </w:pPr>
    </w:p>
    <w:p w:rsidR="0011770D" w:rsidRDefault="0011770D" w:rsidP="00DF4DC4">
      <w:pPr>
        <w:pStyle w:val="NormalWeb"/>
        <w:spacing w:before="0" w:beforeAutospacing="0" w:after="195" w:afterAutospacing="0" w:line="255" w:lineRule="atLeast"/>
        <w:textAlignment w:val="baseline"/>
        <w:rPr>
          <w:rFonts w:ascii="Arial" w:hAnsi="Arial" w:cs="Arial"/>
          <w:color w:val="000000"/>
        </w:rPr>
      </w:pPr>
      <w:r w:rsidRPr="0085369F">
        <w:rPr>
          <w:rFonts w:ascii="Arial" w:hAnsi="Arial" w:cs="Arial"/>
          <w:b/>
          <w:color w:val="000000" w:themeColor="text1"/>
        </w:rPr>
        <w:lastRenderedPageBreak/>
        <w:t>Recommendations</w:t>
      </w:r>
      <w:r>
        <w:rPr>
          <w:rFonts w:ascii="Arial" w:hAnsi="Arial" w:cs="Arial"/>
          <w:color w:val="000000"/>
        </w:rPr>
        <w:t>:</w:t>
      </w:r>
    </w:p>
    <w:p w:rsidR="0011770D" w:rsidRDefault="0011770D" w:rsidP="0085369F">
      <w:pPr>
        <w:pStyle w:val="NormalWeb"/>
        <w:numPr>
          <w:ilvl w:val="0"/>
          <w:numId w:val="2"/>
        </w:numPr>
        <w:spacing w:before="0" w:beforeAutospacing="0" w:after="195" w:afterAutospacing="0" w:line="255" w:lineRule="atLeast"/>
        <w:textAlignment w:val="baseline"/>
        <w:rPr>
          <w:rFonts w:ascii="Arial" w:hAnsi="Arial" w:cs="Arial"/>
          <w:color w:val="000000"/>
        </w:rPr>
      </w:pPr>
      <w:r>
        <w:rPr>
          <w:rFonts w:ascii="Arial" w:hAnsi="Arial" w:cs="Arial"/>
          <w:color w:val="000000"/>
        </w:rPr>
        <w:t>That Clause 15 subsection (5) include a specific guarantee to procedural and age-appropriate accommodations</w:t>
      </w:r>
      <w:r w:rsidR="00160053">
        <w:rPr>
          <w:rFonts w:ascii="Arial" w:hAnsi="Arial" w:cs="Arial"/>
          <w:color w:val="000000"/>
        </w:rPr>
        <w:t xml:space="preserve"> (reasonable adjustments)</w:t>
      </w:r>
      <w:r>
        <w:rPr>
          <w:rFonts w:ascii="Arial" w:hAnsi="Arial" w:cs="Arial"/>
          <w:color w:val="000000"/>
        </w:rPr>
        <w:t xml:space="preserve"> in all legal proceedings</w:t>
      </w:r>
      <w:r w:rsidR="00D96A27">
        <w:rPr>
          <w:rFonts w:ascii="Arial" w:hAnsi="Arial" w:cs="Arial"/>
          <w:color w:val="000000"/>
        </w:rPr>
        <w:t xml:space="preserve"> including, as witnesses, in investigations and other preliminary stages.</w:t>
      </w:r>
    </w:p>
    <w:p w:rsidR="00D96A27" w:rsidRDefault="00D96A27" w:rsidP="0085369F">
      <w:pPr>
        <w:pStyle w:val="NormalWeb"/>
        <w:numPr>
          <w:ilvl w:val="0"/>
          <w:numId w:val="2"/>
        </w:numPr>
        <w:spacing w:before="0" w:beforeAutospacing="0" w:after="195" w:afterAutospacing="0" w:line="255" w:lineRule="atLeast"/>
        <w:textAlignment w:val="baseline"/>
        <w:rPr>
          <w:rFonts w:ascii="Arial" w:hAnsi="Arial" w:cs="Arial"/>
          <w:color w:val="000000"/>
        </w:rPr>
      </w:pPr>
      <w:r>
        <w:rPr>
          <w:rFonts w:ascii="Arial" w:hAnsi="Arial" w:cs="Arial"/>
          <w:color w:val="000000"/>
        </w:rPr>
        <w:t>That the Act include provision for the appropriate training to all people working within the legal and judicial field</w:t>
      </w:r>
      <w:r w:rsidR="0085369F">
        <w:rPr>
          <w:rFonts w:ascii="Arial" w:hAnsi="Arial" w:cs="Arial"/>
          <w:color w:val="000000"/>
        </w:rPr>
        <w:t>, including police officers and prison officers,</w:t>
      </w:r>
      <w:r>
        <w:rPr>
          <w:rFonts w:ascii="Arial" w:hAnsi="Arial" w:cs="Arial"/>
          <w:color w:val="000000"/>
        </w:rPr>
        <w:t xml:space="preserve"> on disability awareness and disability access to justice.</w:t>
      </w:r>
    </w:p>
    <w:p w:rsidR="00D96A27" w:rsidRDefault="00D96A27" w:rsidP="0085369F">
      <w:pPr>
        <w:pStyle w:val="NormalWeb"/>
        <w:numPr>
          <w:ilvl w:val="0"/>
          <w:numId w:val="2"/>
        </w:numPr>
        <w:spacing w:before="0" w:beforeAutospacing="0" w:after="195" w:afterAutospacing="0" w:line="255" w:lineRule="atLeast"/>
        <w:textAlignment w:val="baseline"/>
        <w:rPr>
          <w:rFonts w:ascii="Arial" w:hAnsi="Arial" w:cs="Arial"/>
          <w:color w:val="000000"/>
        </w:rPr>
      </w:pPr>
      <w:r>
        <w:rPr>
          <w:rFonts w:ascii="Arial" w:hAnsi="Arial" w:cs="Arial"/>
          <w:color w:val="000000"/>
        </w:rPr>
        <w:t xml:space="preserve">That the Act include provision to support the Human Rights Commission to create a set of guidelines for the judiciary on how to interpret the Sentencing Act and the Evidence Act in accordance with the Human Rights </w:t>
      </w:r>
      <w:r w:rsidR="0085369F">
        <w:rPr>
          <w:rFonts w:ascii="Arial" w:hAnsi="Arial" w:cs="Arial"/>
          <w:color w:val="000000"/>
        </w:rPr>
        <w:t>Act.</w:t>
      </w:r>
    </w:p>
    <w:p w:rsidR="0085369F" w:rsidRPr="00DF4DC4" w:rsidRDefault="0085369F" w:rsidP="0085369F">
      <w:pPr>
        <w:pStyle w:val="NormalWeb"/>
        <w:numPr>
          <w:ilvl w:val="0"/>
          <w:numId w:val="2"/>
        </w:numPr>
        <w:spacing w:before="0" w:beforeAutospacing="0" w:after="195" w:afterAutospacing="0" w:line="255" w:lineRule="atLeast"/>
        <w:textAlignment w:val="baseline"/>
        <w:rPr>
          <w:rFonts w:ascii="Arial" w:hAnsi="Arial" w:cs="Arial"/>
          <w:color w:val="000000"/>
        </w:rPr>
      </w:pPr>
      <w:r>
        <w:rPr>
          <w:rFonts w:ascii="Arial" w:hAnsi="Arial" w:cs="Arial"/>
          <w:color w:val="000000"/>
        </w:rPr>
        <w:t>That the Act include provision for a Disability Justice Strategy to ensure the full and effective recognition of people with disability before the law.</w:t>
      </w:r>
    </w:p>
    <w:p w:rsidR="00DF4DC4" w:rsidRDefault="00DF4DC4"/>
    <w:p w:rsidR="00A356F4" w:rsidRDefault="00A356F4"/>
    <w:p w:rsidR="00694875" w:rsidRPr="00694875" w:rsidRDefault="00B150A1" w:rsidP="00694875">
      <w:pPr>
        <w:pStyle w:val="ListParagraph"/>
        <w:rPr>
          <w:rFonts w:cs="Arial"/>
          <w:b/>
          <w:color w:val="000000"/>
          <w:lang w:eastAsia="en-AU"/>
        </w:rPr>
      </w:pPr>
      <w:r>
        <w:rPr>
          <w:rFonts w:cs="Arial"/>
          <w:b/>
        </w:rPr>
        <w:t>3.</w:t>
      </w:r>
      <w:r w:rsidRPr="00694875">
        <w:rPr>
          <w:rFonts w:cs="Arial"/>
          <w:b/>
        </w:rPr>
        <w:t xml:space="preserve"> Consequential</w:t>
      </w:r>
      <w:r w:rsidR="00694875" w:rsidRPr="00694875">
        <w:rPr>
          <w:rFonts w:cs="Arial"/>
          <w:b/>
        </w:rPr>
        <w:t xml:space="preserve"> amendment to the Corrective Services Act 2006 (Qld), Clause 126 </w:t>
      </w:r>
    </w:p>
    <w:p w:rsidR="00694875" w:rsidRDefault="00694875" w:rsidP="00694875">
      <w:pPr>
        <w:rPr>
          <w:rFonts w:cs="Arial"/>
          <w:color w:val="000000"/>
          <w:lang w:eastAsia="en-AU"/>
        </w:rPr>
      </w:pPr>
    </w:p>
    <w:p w:rsidR="00694875" w:rsidRDefault="002B60A5" w:rsidP="00694875">
      <w:pPr>
        <w:rPr>
          <w:rFonts w:cs="Arial"/>
          <w:color w:val="000000"/>
          <w:lang w:eastAsia="en-AU"/>
        </w:rPr>
      </w:pPr>
      <w:r>
        <w:rPr>
          <w:rFonts w:cs="Arial"/>
          <w:color w:val="000000"/>
          <w:lang w:eastAsia="en-AU"/>
        </w:rPr>
        <w:t>PWDA</w:t>
      </w:r>
      <w:r w:rsidR="00694875" w:rsidRPr="004B5B79">
        <w:rPr>
          <w:rFonts w:cs="Arial"/>
          <w:color w:val="000000"/>
          <w:lang w:eastAsia="en-AU"/>
        </w:rPr>
        <w:t xml:space="preserve"> does not support the proposed consequential amendments to the </w:t>
      </w:r>
      <w:r w:rsidR="00694875" w:rsidRPr="004B5B79">
        <w:rPr>
          <w:rFonts w:cs="Arial"/>
          <w:i/>
          <w:iCs/>
          <w:color w:val="000000"/>
          <w:lang w:eastAsia="en-AU"/>
        </w:rPr>
        <w:t xml:space="preserve">Corrective Services Act 2006 </w:t>
      </w:r>
      <w:r w:rsidR="00694875" w:rsidRPr="004B5B79">
        <w:rPr>
          <w:rFonts w:cs="Arial"/>
          <w:color w:val="000000"/>
          <w:lang w:eastAsia="en-AU"/>
        </w:rPr>
        <w:t>(Qld) provided for in clause 126 of the Bill.  This provision sanctions a breach of the human rights of a prisoner detained on remand or without charge in circumstances where this is justified on the basis of consideration of the security and good management of the corrective services facility. We do not consider that this consequential amendment is appropriate, nor is it necessary in light of the recogni</w:t>
      </w:r>
      <w:r w:rsidR="00694875">
        <w:rPr>
          <w:rFonts w:cs="Arial"/>
          <w:color w:val="000000"/>
          <w:lang w:eastAsia="en-AU"/>
        </w:rPr>
        <w:t>tion, in C</w:t>
      </w:r>
      <w:r w:rsidR="00694875" w:rsidRPr="004B5B79">
        <w:rPr>
          <w:rFonts w:cs="Arial"/>
          <w:color w:val="000000"/>
          <w:lang w:eastAsia="en-AU"/>
        </w:rPr>
        <w:t xml:space="preserve">lause 13 of the Bill, that human rights can be </w:t>
      </w:r>
      <w:r w:rsidR="00694875">
        <w:rPr>
          <w:rFonts w:cs="Arial"/>
          <w:color w:val="000000"/>
          <w:lang w:eastAsia="en-AU"/>
        </w:rPr>
        <w:t xml:space="preserve">reasonably </w:t>
      </w:r>
      <w:r w:rsidR="00694875" w:rsidRPr="004B5B79">
        <w:rPr>
          <w:rFonts w:cs="Arial"/>
          <w:color w:val="000000"/>
          <w:lang w:eastAsia="en-AU"/>
        </w:rPr>
        <w:t>limited.</w:t>
      </w:r>
    </w:p>
    <w:p w:rsidR="00694875" w:rsidRDefault="00694875" w:rsidP="00694875">
      <w:pPr>
        <w:rPr>
          <w:rFonts w:cs="Arial"/>
          <w:color w:val="000000"/>
          <w:lang w:eastAsia="en-AU"/>
        </w:rPr>
      </w:pPr>
    </w:p>
    <w:p w:rsidR="00694875" w:rsidRDefault="009760AC" w:rsidP="00694875">
      <w:pPr>
        <w:rPr>
          <w:rFonts w:cs="Arial"/>
          <w:color w:val="000000"/>
          <w:lang w:eastAsia="en-AU"/>
        </w:rPr>
      </w:pPr>
      <w:r>
        <w:rPr>
          <w:rFonts w:cs="Arial"/>
          <w:color w:val="000000"/>
          <w:lang w:eastAsia="en-AU"/>
        </w:rPr>
        <w:t>PWDA</w:t>
      </w:r>
      <w:r w:rsidR="00694875">
        <w:rPr>
          <w:rFonts w:cs="Arial"/>
          <w:color w:val="000000"/>
          <w:lang w:eastAsia="en-AU"/>
        </w:rPr>
        <w:t xml:space="preserve"> note</w:t>
      </w:r>
      <w:r>
        <w:rPr>
          <w:rFonts w:cs="Arial"/>
          <w:color w:val="000000"/>
          <w:lang w:eastAsia="en-AU"/>
        </w:rPr>
        <w:t>s</w:t>
      </w:r>
      <w:r w:rsidR="00694875">
        <w:rPr>
          <w:rFonts w:cs="Arial"/>
          <w:color w:val="000000"/>
          <w:lang w:eastAsia="en-AU"/>
        </w:rPr>
        <w:t xml:space="preserve"> the significant over-representation of people with disability within the Queensland criminal justice system, with research indicating that approximately 10% of Queensland prisoners have intellectual disability.</w:t>
      </w:r>
      <w:r w:rsidR="00694875">
        <w:rPr>
          <w:rStyle w:val="FootnoteReference"/>
          <w:rFonts w:cs="Arial"/>
          <w:color w:val="000000"/>
          <w:lang w:eastAsia="en-AU"/>
        </w:rPr>
        <w:footnoteReference w:id="6"/>
      </w:r>
      <w:r w:rsidR="00694875">
        <w:rPr>
          <w:rFonts w:cs="Arial"/>
          <w:color w:val="000000"/>
          <w:lang w:eastAsia="en-AU"/>
        </w:rPr>
        <w:t xml:space="preserve">  We also note the extreme vulnerability of people with disability in this environment, given the current inadequate measures in place to ensure that prisons are a safe, accessible and appropriate environment for people with disability.</w:t>
      </w:r>
      <w:r w:rsidR="00694875">
        <w:rPr>
          <w:rStyle w:val="FootnoteReference"/>
          <w:rFonts w:cs="Arial"/>
          <w:color w:val="000000"/>
          <w:lang w:eastAsia="en-AU"/>
        </w:rPr>
        <w:footnoteReference w:id="7"/>
      </w:r>
      <w:r w:rsidR="00694875">
        <w:rPr>
          <w:rFonts w:cs="Arial"/>
          <w:color w:val="000000"/>
          <w:lang w:eastAsia="en-AU"/>
        </w:rPr>
        <w:t xml:space="preserve">  Of particular concern, people with intellectual </w:t>
      </w:r>
      <w:r w:rsidR="002B60A5">
        <w:rPr>
          <w:rFonts w:cs="Arial"/>
          <w:color w:val="000000"/>
          <w:lang w:eastAsia="en-AU"/>
        </w:rPr>
        <w:t xml:space="preserve">disability </w:t>
      </w:r>
      <w:r w:rsidR="00694875">
        <w:rPr>
          <w:rFonts w:cs="Arial"/>
          <w:color w:val="000000"/>
          <w:lang w:eastAsia="en-AU"/>
        </w:rPr>
        <w:t>can be subjected to solitary confinement within prisons to protect them from harm from other prisoners.</w:t>
      </w:r>
    </w:p>
    <w:p w:rsidR="00694875" w:rsidRDefault="00694875" w:rsidP="00694875">
      <w:pPr>
        <w:rPr>
          <w:rFonts w:cs="Arial"/>
          <w:color w:val="000000"/>
          <w:lang w:eastAsia="en-AU"/>
        </w:rPr>
      </w:pPr>
    </w:p>
    <w:p w:rsidR="002B60A5" w:rsidRDefault="002B60A5" w:rsidP="00694875">
      <w:pPr>
        <w:rPr>
          <w:rFonts w:cs="Arial"/>
          <w:color w:val="000000"/>
          <w:lang w:eastAsia="en-AU"/>
        </w:rPr>
      </w:pPr>
      <w:r w:rsidRPr="002B60A5">
        <w:rPr>
          <w:rFonts w:cs="Arial"/>
          <w:b/>
          <w:color w:val="000000"/>
          <w:lang w:eastAsia="en-AU"/>
        </w:rPr>
        <w:t>Recommendation</w:t>
      </w:r>
      <w:r>
        <w:rPr>
          <w:rFonts w:cs="Arial"/>
          <w:color w:val="000000"/>
          <w:lang w:eastAsia="en-AU"/>
        </w:rPr>
        <w:t>:</w:t>
      </w:r>
    </w:p>
    <w:p w:rsidR="002B60A5" w:rsidRDefault="002B60A5" w:rsidP="00694875">
      <w:pPr>
        <w:rPr>
          <w:rFonts w:cs="Arial"/>
          <w:color w:val="000000"/>
          <w:lang w:eastAsia="en-AU"/>
        </w:rPr>
      </w:pPr>
    </w:p>
    <w:p w:rsidR="0077654B" w:rsidRPr="002B60A5" w:rsidRDefault="002B60A5" w:rsidP="002B60A5">
      <w:pPr>
        <w:pStyle w:val="ListParagraph"/>
        <w:numPr>
          <w:ilvl w:val="0"/>
          <w:numId w:val="6"/>
        </w:numPr>
        <w:rPr>
          <w:b/>
        </w:rPr>
      </w:pPr>
      <w:r>
        <w:rPr>
          <w:rFonts w:cs="Arial"/>
          <w:color w:val="000000"/>
          <w:lang w:eastAsia="en-AU"/>
        </w:rPr>
        <w:t>PWDA</w:t>
      </w:r>
      <w:r w:rsidR="00694875" w:rsidRPr="002B60A5">
        <w:rPr>
          <w:rFonts w:cs="Arial"/>
          <w:color w:val="000000"/>
          <w:lang w:eastAsia="en-AU"/>
        </w:rPr>
        <w:t xml:space="preserve"> submits that Clause 126 should be omitted from the Bill.</w:t>
      </w:r>
    </w:p>
    <w:p w:rsidR="0077654B" w:rsidRDefault="0077654B">
      <w:pPr>
        <w:rPr>
          <w:b/>
        </w:rPr>
      </w:pPr>
    </w:p>
    <w:p w:rsidR="0077654B" w:rsidRDefault="0077654B">
      <w:pPr>
        <w:rPr>
          <w:b/>
        </w:rPr>
      </w:pPr>
    </w:p>
    <w:p w:rsidR="00A356F4" w:rsidRDefault="00A356F4">
      <w:pPr>
        <w:rPr>
          <w:b/>
        </w:rPr>
      </w:pPr>
      <w:r w:rsidRPr="00A356F4">
        <w:rPr>
          <w:b/>
        </w:rPr>
        <w:t>Conclusion</w:t>
      </w:r>
    </w:p>
    <w:p w:rsidR="0081098B" w:rsidRDefault="0081098B">
      <w:pPr>
        <w:rPr>
          <w:b/>
        </w:rPr>
      </w:pPr>
    </w:p>
    <w:p w:rsidR="0081098B" w:rsidRPr="0081098B" w:rsidRDefault="0081098B">
      <w:r>
        <w:t xml:space="preserve">PWDA thanks the Committee for the opportunity to make a submission to this inquiry. PWDA strongly supports the passage of the </w:t>
      </w:r>
      <w:r w:rsidRPr="0081098B">
        <w:rPr>
          <w:i/>
        </w:rPr>
        <w:t>Queensland Human Rights Act 2018</w:t>
      </w:r>
      <w:r>
        <w:t>, at the earliest opportunity.</w:t>
      </w:r>
    </w:p>
    <w:sectPr w:rsidR="0081098B" w:rsidRPr="0081098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A3" w:rsidRDefault="00C93DA3" w:rsidP="00596B76">
      <w:r>
        <w:separator/>
      </w:r>
    </w:p>
  </w:endnote>
  <w:endnote w:type="continuationSeparator" w:id="0">
    <w:p w:rsidR="00C93DA3" w:rsidRDefault="00C93DA3" w:rsidP="0059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59103"/>
      <w:docPartObj>
        <w:docPartGallery w:val="Page Numbers (Bottom of Page)"/>
        <w:docPartUnique/>
      </w:docPartObj>
    </w:sdtPr>
    <w:sdtEndPr>
      <w:rPr>
        <w:color w:val="7F7F7F" w:themeColor="background1" w:themeShade="7F"/>
        <w:spacing w:val="60"/>
      </w:rPr>
    </w:sdtEndPr>
    <w:sdtContent>
      <w:p w:rsidR="00F21482" w:rsidRDefault="00F214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1BFE" w:rsidRPr="00811BFE">
          <w:rPr>
            <w:b/>
            <w:bCs/>
            <w:noProof/>
          </w:rPr>
          <w:t>6</w:t>
        </w:r>
        <w:r>
          <w:rPr>
            <w:b/>
            <w:bCs/>
            <w:noProof/>
          </w:rPr>
          <w:fldChar w:fldCharType="end"/>
        </w:r>
        <w:r>
          <w:rPr>
            <w:b/>
            <w:bCs/>
          </w:rPr>
          <w:t xml:space="preserve"> | </w:t>
        </w:r>
        <w:r>
          <w:rPr>
            <w:color w:val="7F7F7F" w:themeColor="background1" w:themeShade="7F"/>
            <w:spacing w:val="60"/>
          </w:rPr>
          <w:t>Page</w:t>
        </w:r>
      </w:p>
    </w:sdtContent>
  </w:sdt>
  <w:p w:rsidR="00F21482" w:rsidRDefault="00F2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A3" w:rsidRDefault="00C93DA3" w:rsidP="00596B76">
      <w:r>
        <w:separator/>
      </w:r>
    </w:p>
  </w:footnote>
  <w:footnote w:type="continuationSeparator" w:id="0">
    <w:p w:rsidR="00C93DA3" w:rsidRDefault="00C93DA3" w:rsidP="00596B76">
      <w:r>
        <w:continuationSeparator/>
      </w:r>
    </w:p>
  </w:footnote>
  <w:footnote w:id="1">
    <w:p w:rsidR="00596B76" w:rsidRDefault="00596B76">
      <w:pPr>
        <w:pStyle w:val="FootnoteText"/>
      </w:pPr>
      <w:r>
        <w:rPr>
          <w:rStyle w:val="FootnoteReference"/>
        </w:rPr>
        <w:footnoteRef/>
      </w:r>
      <w:r>
        <w:t xml:space="preserve"> Young, M.B (2015), Commitment to Culture – Review of the Charter of Human Rights and Responsibilities Act 2006, recommendations 23 &amp; 27.</w:t>
      </w:r>
    </w:p>
  </w:footnote>
  <w:footnote w:id="2">
    <w:p w:rsidR="004652C5" w:rsidRPr="00A13192" w:rsidRDefault="004652C5">
      <w:pPr>
        <w:pStyle w:val="FootnoteText"/>
      </w:pPr>
      <w:r w:rsidRPr="00A13192">
        <w:rPr>
          <w:rStyle w:val="FootnoteReference"/>
        </w:rPr>
        <w:footnoteRef/>
      </w:r>
      <w:r w:rsidRPr="00A13192">
        <w:t xml:space="preserve"> UNCRPD, accessed at </w:t>
      </w:r>
      <w:hyperlink r:id="rId1" w:history="1">
        <w:r w:rsidRPr="00A13192">
          <w:rPr>
            <w:rStyle w:val="Hyperlink"/>
          </w:rPr>
          <w:t>https://www.un.org/development/desa/disabilities/convention-on-the-rights-of-persons-with-disabilities/article-13-access-to-justice.html</w:t>
        </w:r>
      </w:hyperlink>
    </w:p>
    <w:p w:rsidR="004652C5" w:rsidRPr="00A13192" w:rsidRDefault="004652C5">
      <w:pPr>
        <w:pStyle w:val="FootnoteText"/>
      </w:pPr>
    </w:p>
  </w:footnote>
  <w:footnote w:id="3">
    <w:p w:rsidR="00D96A27" w:rsidRPr="00A13192" w:rsidRDefault="00D96A27" w:rsidP="00D96A27">
      <w:pPr>
        <w:rPr>
          <w:rFonts w:ascii="Calibri" w:hAnsi="Calibri"/>
          <w:sz w:val="20"/>
          <w:szCs w:val="20"/>
        </w:rPr>
      </w:pPr>
      <w:r w:rsidRPr="00A13192">
        <w:rPr>
          <w:rStyle w:val="FootnoteReference"/>
          <w:sz w:val="20"/>
          <w:szCs w:val="20"/>
        </w:rPr>
        <w:footnoteRef/>
      </w:r>
      <w:r w:rsidRPr="00A13192">
        <w:rPr>
          <w:sz w:val="20"/>
          <w:szCs w:val="20"/>
        </w:rPr>
        <w:t xml:space="preserve"> </w:t>
      </w:r>
      <w:r w:rsidR="0085369F" w:rsidRPr="00A13192">
        <w:rPr>
          <w:sz w:val="20"/>
          <w:szCs w:val="20"/>
        </w:rPr>
        <w:t xml:space="preserve">Benchmark Guidelines for Judges in Victoria, accessed at </w:t>
      </w:r>
      <w:hyperlink r:id="rId2" w:history="1">
        <w:r w:rsidRPr="00A13192">
          <w:rPr>
            <w:rStyle w:val="Hyperlink"/>
            <w:sz w:val="20"/>
            <w:szCs w:val="20"/>
          </w:rPr>
          <w:t>http://www.judicialcollege.vic.edu.au/disability-access-bench-book</w:t>
        </w:r>
      </w:hyperlink>
    </w:p>
    <w:p w:rsidR="00D96A27" w:rsidRPr="00A13192" w:rsidRDefault="00D96A27">
      <w:pPr>
        <w:pStyle w:val="FootnoteText"/>
      </w:pPr>
    </w:p>
  </w:footnote>
  <w:footnote w:id="4">
    <w:p w:rsidR="0085369F" w:rsidRPr="00A13192" w:rsidRDefault="0085369F">
      <w:pPr>
        <w:pStyle w:val="FootnoteText"/>
      </w:pPr>
      <w:r w:rsidRPr="00A13192">
        <w:rPr>
          <w:rStyle w:val="FootnoteReference"/>
        </w:rPr>
        <w:footnoteRef/>
      </w:r>
      <w:r w:rsidRPr="00A13192">
        <w:t xml:space="preserve"> South Australia Disability Justice Plan, accessed at, </w:t>
      </w:r>
      <w:hyperlink r:id="rId3" w:history="1">
        <w:r w:rsidRPr="00A13192">
          <w:rPr>
            <w:rStyle w:val="Hyperlink"/>
          </w:rPr>
          <w:t>https://www.agd.sa.gov.au/projects-and-consultations/disability-justice-plan</w:t>
        </w:r>
      </w:hyperlink>
    </w:p>
    <w:p w:rsidR="0085369F" w:rsidRPr="00A13192" w:rsidRDefault="0085369F">
      <w:pPr>
        <w:pStyle w:val="FootnoteText"/>
      </w:pPr>
    </w:p>
  </w:footnote>
  <w:footnote w:id="5">
    <w:p w:rsidR="00405953" w:rsidRDefault="00405953">
      <w:pPr>
        <w:pStyle w:val="FootnoteText"/>
      </w:pPr>
      <w:r>
        <w:rPr>
          <w:rStyle w:val="FootnoteReference"/>
        </w:rPr>
        <w:footnoteRef/>
      </w:r>
      <w:r>
        <w:t xml:space="preserve"> Submission to the NSW Justice Department, Disability Justice Strategy, accessed at: </w:t>
      </w:r>
      <w:hyperlink r:id="rId4" w:history="1">
        <w:r w:rsidRPr="00AE1C05">
          <w:rPr>
            <w:rStyle w:val="Hyperlink"/>
          </w:rPr>
          <w:t>https://pwd.org.au/our-work/submissions/submission-archive-2017/</w:t>
        </w:r>
      </w:hyperlink>
    </w:p>
    <w:p w:rsidR="00405953" w:rsidRDefault="00405953">
      <w:pPr>
        <w:pStyle w:val="FootnoteText"/>
      </w:pPr>
    </w:p>
  </w:footnote>
  <w:footnote w:id="6">
    <w:p w:rsidR="00694875" w:rsidRDefault="00694875" w:rsidP="00694875">
      <w:pPr>
        <w:pStyle w:val="FootnoteText"/>
      </w:pPr>
      <w:r>
        <w:rPr>
          <w:rStyle w:val="FootnoteReference"/>
        </w:rPr>
        <w:footnoteRef/>
      </w:r>
      <w:r>
        <w:t xml:space="preserve"> </w:t>
      </w:r>
      <w:r w:rsidRPr="000720D5">
        <w:t xml:space="preserve">Queensland Department of Corrective Services. 2002. </w:t>
      </w:r>
      <w:r w:rsidRPr="000720D5">
        <w:rPr>
          <w:i/>
        </w:rPr>
        <w:t>Intellectual Disability Survey</w:t>
      </w:r>
      <w:r>
        <w:t xml:space="preserve">. This is consistent with more recent Australia-wide research, which established that 9 – 10% of prisoners approaching release had an intellectual disability in the context of the representation of people with intellectual disability within the general Australian population of 1 – 2%: </w:t>
      </w:r>
      <w:r w:rsidRPr="000720D5">
        <w:t>Australian Institute of Criminology</w:t>
      </w:r>
      <w:r>
        <w:t>.</w:t>
      </w:r>
      <w:r w:rsidRPr="000720D5">
        <w:t xml:space="preserve"> </w:t>
      </w:r>
      <w:r>
        <w:t>(</w:t>
      </w:r>
      <w:r w:rsidRPr="000720D5">
        <w:t>2016</w:t>
      </w:r>
      <w:r>
        <w:t>). ‘Transition from prison for</w:t>
      </w:r>
    </w:p>
    <w:p w:rsidR="00694875" w:rsidRPr="000720D5" w:rsidRDefault="00694875" w:rsidP="00694875">
      <w:pPr>
        <w:pStyle w:val="FootnoteText"/>
      </w:pPr>
      <w:r>
        <w:t>people with intellectual disability: A qualitative study of service professionals’, 2.</w:t>
      </w:r>
    </w:p>
  </w:footnote>
  <w:footnote w:id="7">
    <w:p w:rsidR="00694875" w:rsidRPr="008E2537" w:rsidRDefault="00694875" w:rsidP="00694875">
      <w:pPr>
        <w:pStyle w:val="FootnoteText"/>
        <w:rPr>
          <w:rFonts w:cs="Arial"/>
          <w:sz w:val="18"/>
          <w:szCs w:val="18"/>
        </w:rPr>
      </w:pPr>
      <w:r w:rsidRPr="008E2537">
        <w:rPr>
          <w:rStyle w:val="FootnoteReference"/>
          <w:rFonts w:cs="Arial"/>
          <w:sz w:val="18"/>
          <w:szCs w:val="18"/>
        </w:rPr>
        <w:footnoteRef/>
      </w:r>
      <w:r w:rsidRPr="008E2537">
        <w:rPr>
          <w:rFonts w:cs="Arial"/>
          <w:sz w:val="18"/>
          <w:szCs w:val="18"/>
        </w:rPr>
        <w:t xml:space="preserve"> Human Rights Watch. (2017). </w:t>
      </w:r>
      <w:r w:rsidRPr="008E2537">
        <w:rPr>
          <w:rFonts w:cs="Arial"/>
          <w:i/>
          <w:sz w:val="18"/>
          <w:szCs w:val="18"/>
        </w:rPr>
        <w:t>“I Needed Help, Instead I Was Punished”: Abuse and Neglect of Prisoners with Disabilities in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77BF"/>
    <w:multiLevelType w:val="hybridMultilevel"/>
    <w:tmpl w:val="74E01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A5205F"/>
    <w:multiLevelType w:val="hybridMultilevel"/>
    <w:tmpl w:val="A53EC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E93ED5"/>
    <w:multiLevelType w:val="hybridMultilevel"/>
    <w:tmpl w:val="CF462D2A"/>
    <w:lvl w:ilvl="0" w:tplc="283CE332">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CE67722"/>
    <w:multiLevelType w:val="hybridMultilevel"/>
    <w:tmpl w:val="4FB67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434EF6"/>
    <w:multiLevelType w:val="hybridMultilevel"/>
    <w:tmpl w:val="D9589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6A1DAD"/>
    <w:multiLevelType w:val="hybridMultilevel"/>
    <w:tmpl w:val="5DFC0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85"/>
    <w:rsid w:val="00020782"/>
    <w:rsid w:val="00023174"/>
    <w:rsid w:val="000B7BB4"/>
    <w:rsid w:val="000C179E"/>
    <w:rsid w:val="000E3EF2"/>
    <w:rsid w:val="0011770D"/>
    <w:rsid w:val="00160053"/>
    <w:rsid w:val="00172EA0"/>
    <w:rsid w:val="00243994"/>
    <w:rsid w:val="00250EB8"/>
    <w:rsid w:val="002A76D7"/>
    <w:rsid w:val="002B60A5"/>
    <w:rsid w:val="002D3CE0"/>
    <w:rsid w:val="00302916"/>
    <w:rsid w:val="00374151"/>
    <w:rsid w:val="00405953"/>
    <w:rsid w:val="004079E5"/>
    <w:rsid w:val="00443FD3"/>
    <w:rsid w:val="00445406"/>
    <w:rsid w:val="004652C5"/>
    <w:rsid w:val="00592F58"/>
    <w:rsid w:val="00596B76"/>
    <w:rsid w:val="005E14A4"/>
    <w:rsid w:val="005F01ED"/>
    <w:rsid w:val="00646042"/>
    <w:rsid w:val="00677A4F"/>
    <w:rsid w:val="00694875"/>
    <w:rsid w:val="006A7002"/>
    <w:rsid w:val="0072718B"/>
    <w:rsid w:val="0077654B"/>
    <w:rsid w:val="007A6A0C"/>
    <w:rsid w:val="007B7557"/>
    <w:rsid w:val="007C6E08"/>
    <w:rsid w:val="0081098B"/>
    <w:rsid w:val="00811BFE"/>
    <w:rsid w:val="00832710"/>
    <w:rsid w:val="00852054"/>
    <w:rsid w:val="0085369F"/>
    <w:rsid w:val="008B220A"/>
    <w:rsid w:val="008D7334"/>
    <w:rsid w:val="009760AC"/>
    <w:rsid w:val="009A4805"/>
    <w:rsid w:val="00A13192"/>
    <w:rsid w:val="00A356F4"/>
    <w:rsid w:val="00AB14BF"/>
    <w:rsid w:val="00AE0613"/>
    <w:rsid w:val="00B03CDF"/>
    <w:rsid w:val="00B150A1"/>
    <w:rsid w:val="00B210B3"/>
    <w:rsid w:val="00B211A5"/>
    <w:rsid w:val="00BB5DDC"/>
    <w:rsid w:val="00C30C43"/>
    <w:rsid w:val="00C6787B"/>
    <w:rsid w:val="00C87264"/>
    <w:rsid w:val="00C93DA3"/>
    <w:rsid w:val="00D90976"/>
    <w:rsid w:val="00D96A27"/>
    <w:rsid w:val="00D972C5"/>
    <w:rsid w:val="00DB66DE"/>
    <w:rsid w:val="00DF4DC4"/>
    <w:rsid w:val="00DF5E85"/>
    <w:rsid w:val="00E05276"/>
    <w:rsid w:val="00E07948"/>
    <w:rsid w:val="00E24C5E"/>
    <w:rsid w:val="00E50A43"/>
    <w:rsid w:val="00ED110A"/>
    <w:rsid w:val="00ED67FC"/>
    <w:rsid w:val="00F21482"/>
    <w:rsid w:val="00F57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8898-8957-4E18-BEBB-D04AEEAB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9E"/>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05"/>
    <w:pPr>
      <w:ind w:left="720"/>
      <w:contextualSpacing/>
    </w:pPr>
  </w:style>
  <w:style w:type="paragraph" w:styleId="FootnoteText">
    <w:name w:val="footnote text"/>
    <w:basedOn w:val="Normal"/>
    <w:link w:val="FootnoteTextChar"/>
    <w:uiPriority w:val="99"/>
    <w:unhideWhenUsed/>
    <w:rsid w:val="00596B76"/>
    <w:rPr>
      <w:sz w:val="20"/>
      <w:szCs w:val="20"/>
    </w:rPr>
  </w:style>
  <w:style w:type="character" w:customStyle="1" w:styleId="FootnoteTextChar">
    <w:name w:val="Footnote Text Char"/>
    <w:basedOn w:val="DefaultParagraphFont"/>
    <w:link w:val="FootnoteText"/>
    <w:uiPriority w:val="99"/>
    <w:semiHidden/>
    <w:rsid w:val="00596B76"/>
    <w:rPr>
      <w:rFonts w:ascii="Arial" w:eastAsia="Times New Roman" w:hAnsi="Arial" w:cs="Times New Roman"/>
      <w:sz w:val="20"/>
      <w:szCs w:val="20"/>
    </w:rPr>
  </w:style>
  <w:style w:type="character" w:styleId="FootnoteReference">
    <w:name w:val="footnote reference"/>
    <w:basedOn w:val="DefaultParagraphFont"/>
    <w:uiPriority w:val="99"/>
    <w:unhideWhenUsed/>
    <w:qFormat/>
    <w:rsid w:val="00596B76"/>
    <w:rPr>
      <w:vertAlign w:val="superscript"/>
    </w:rPr>
  </w:style>
  <w:style w:type="paragraph" w:styleId="NormalWeb">
    <w:name w:val="Normal (Web)"/>
    <w:basedOn w:val="Normal"/>
    <w:uiPriority w:val="99"/>
    <w:semiHidden/>
    <w:unhideWhenUsed/>
    <w:rsid w:val="00DF4DC4"/>
    <w:pPr>
      <w:spacing w:before="100" w:beforeAutospacing="1" w:after="100" w:afterAutospacing="1"/>
    </w:pPr>
    <w:rPr>
      <w:rFonts w:ascii="Times New Roman" w:hAnsi="Times New Roman"/>
      <w:szCs w:val="24"/>
      <w:lang w:eastAsia="en-AU"/>
    </w:rPr>
  </w:style>
  <w:style w:type="character" w:styleId="Hyperlink">
    <w:name w:val="Hyperlink"/>
    <w:basedOn w:val="DefaultParagraphFont"/>
    <w:uiPriority w:val="99"/>
    <w:unhideWhenUsed/>
    <w:rsid w:val="00DF4DC4"/>
    <w:rPr>
      <w:color w:val="0563C1" w:themeColor="hyperlink"/>
      <w:u w:val="single"/>
    </w:rPr>
  </w:style>
  <w:style w:type="paragraph" w:styleId="Header">
    <w:name w:val="header"/>
    <w:basedOn w:val="Normal"/>
    <w:link w:val="HeaderChar"/>
    <w:uiPriority w:val="99"/>
    <w:unhideWhenUsed/>
    <w:rsid w:val="00F21482"/>
    <w:pPr>
      <w:tabs>
        <w:tab w:val="center" w:pos="4513"/>
        <w:tab w:val="right" w:pos="9026"/>
      </w:tabs>
    </w:pPr>
  </w:style>
  <w:style w:type="character" w:customStyle="1" w:styleId="HeaderChar">
    <w:name w:val="Header Char"/>
    <w:basedOn w:val="DefaultParagraphFont"/>
    <w:link w:val="Header"/>
    <w:uiPriority w:val="99"/>
    <w:rsid w:val="00F21482"/>
    <w:rPr>
      <w:rFonts w:ascii="Arial" w:eastAsia="Times New Roman" w:hAnsi="Arial" w:cs="Times New Roman"/>
      <w:sz w:val="24"/>
    </w:rPr>
  </w:style>
  <w:style w:type="paragraph" w:styleId="Footer">
    <w:name w:val="footer"/>
    <w:basedOn w:val="Normal"/>
    <w:link w:val="FooterChar"/>
    <w:uiPriority w:val="99"/>
    <w:unhideWhenUsed/>
    <w:rsid w:val="00F21482"/>
    <w:pPr>
      <w:tabs>
        <w:tab w:val="center" w:pos="4513"/>
        <w:tab w:val="right" w:pos="9026"/>
      </w:tabs>
    </w:pPr>
  </w:style>
  <w:style w:type="character" w:customStyle="1" w:styleId="FooterChar">
    <w:name w:val="Footer Char"/>
    <w:basedOn w:val="DefaultParagraphFont"/>
    <w:link w:val="Footer"/>
    <w:uiPriority w:val="99"/>
    <w:rsid w:val="00F21482"/>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8113">
      <w:bodyDiv w:val="1"/>
      <w:marLeft w:val="0"/>
      <w:marRight w:val="0"/>
      <w:marTop w:val="0"/>
      <w:marBottom w:val="0"/>
      <w:divBdr>
        <w:top w:val="none" w:sz="0" w:space="0" w:color="auto"/>
        <w:left w:val="none" w:sz="0" w:space="0" w:color="auto"/>
        <w:bottom w:val="none" w:sz="0" w:space="0" w:color="auto"/>
        <w:right w:val="none" w:sz="0" w:space="0" w:color="auto"/>
      </w:divBdr>
    </w:div>
    <w:div w:id="18494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oa.org.au/" TargetMode="External"/><Relationship Id="rId5" Type="http://schemas.openxmlformats.org/officeDocument/2006/relationships/webSettings" Target="webSettings.xml"/><Relationship Id="rId10" Type="http://schemas.openxmlformats.org/officeDocument/2006/relationships/hyperlink" Target="http://www.pwd.org.au/" TargetMode="External"/><Relationship Id="rId4" Type="http://schemas.openxmlformats.org/officeDocument/2006/relationships/settings" Target="settings.xml"/><Relationship Id="rId9" Type="http://schemas.openxmlformats.org/officeDocument/2006/relationships/hyperlink" Target="mailto:FrancesF@pwd.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gd.sa.gov.au/projects-and-consultations/disability-justice-plan" TargetMode="External"/><Relationship Id="rId2" Type="http://schemas.openxmlformats.org/officeDocument/2006/relationships/hyperlink" Target="http://www.judicialcollege.vic.edu.au/disability-access-bench-book" TargetMode="External"/><Relationship Id="rId1" Type="http://schemas.openxmlformats.org/officeDocument/2006/relationships/hyperlink" Target="https://www.un.org/development/desa/disabilities/convention-on-the-rights-of-persons-with-disabilities/article-13-access-to-justice.html" TargetMode="External"/><Relationship Id="rId4" Type="http://schemas.openxmlformats.org/officeDocument/2006/relationships/hyperlink" Target="https://pwd.org.au/our-work/submissions/submission-archiv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B113-8092-467D-8F69-EED4A454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Q. Farrant</dc:creator>
  <cp:keywords/>
  <dc:description/>
  <cp:lastModifiedBy>El Gibbs</cp:lastModifiedBy>
  <cp:revision>2</cp:revision>
  <dcterms:created xsi:type="dcterms:W3CDTF">2018-12-03T21:58:00Z</dcterms:created>
  <dcterms:modified xsi:type="dcterms:W3CDTF">2018-12-03T21:58:00Z</dcterms:modified>
</cp:coreProperties>
</file>