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4DA8" w14:textId="77777777" w:rsidR="00665E6E" w:rsidRPr="006635C0" w:rsidRDefault="008610D8" w:rsidP="009122C2">
      <w:pPr>
        <w:pStyle w:val="AddressBlock"/>
        <w:spacing w:before="120"/>
        <w:rPr>
          <w:b w:val="0"/>
        </w:rPr>
      </w:pPr>
      <w:r w:rsidRPr="006635C0">
        <w:rPr>
          <w:b w:val="0"/>
        </w:rPr>
        <w:t>13 September 2019</w:t>
      </w:r>
    </w:p>
    <w:p w14:paraId="639201BE" w14:textId="77777777" w:rsidR="006A5B1D" w:rsidRPr="006A5B1D" w:rsidRDefault="006A5B1D" w:rsidP="00554BAD">
      <w:pPr>
        <w:pStyle w:val="AddressBlock"/>
        <w:rPr>
          <w:b w:val="0"/>
        </w:rPr>
      </w:pPr>
    </w:p>
    <w:p w14:paraId="7359BC73" w14:textId="77777777" w:rsidR="00665E6E" w:rsidRDefault="008610D8" w:rsidP="006A5B1D">
      <w:pPr>
        <w:pStyle w:val="AddressBlock"/>
        <w:ind w:firstLine="720"/>
        <w:rPr>
          <w:b w:val="0"/>
        </w:rPr>
      </w:pPr>
      <w:r>
        <w:rPr>
          <w:b w:val="0"/>
        </w:rPr>
        <w:t>Ronald Sackville, AO</w:t>
      </w:r>
    </w:p>
    <w:p w14:paraId="549F6D3B" w14:textId="77777777" w:rsidR="008610D8" w:rsidRDefault="008610D8" w:rsidP="006A5B1D">
      <w:pPr>
        <w:pStyle w:val="AddressBlock"/>
        <w:ind w:firstLine="720"/>
        <w:rPr>
          <w:b w:val="0"/>
        </w:rPr>
      </w:pPr>
      <w:r>
        <w:rPr>
          <w:b w:val="0"/>
        </w:rPr>
        <w:t>Chair</w:t>
      </w:r>
    </w:p>
    <w:p w14:paraId="032E482E" w14:textId="77777777" w:rsidR="008610D8" w:rsidRPr="006A5B1D" w:rsidRDefault="008610D8" w:rsidP="008610D8">
      <w:pPr>
        <w:pStyle w:val="AddressBlock"/>
        <w:ind w:left="720"/>
        <w:rPr>
          <w:b w:val="0"/>
        </w:rPr>
      </w:pPr>
      <w:r>
        <w:rPr>
          <w:b w:val="0"/>
        </w:rPr>
        <w:t xml:space="preserve">Royal Commission into Violence, Abuse, Neglect and Exploitation of People with Disability </w:t>
      </w:r>
    </w:p>
    <w:p w14:paraId="2193B4BA" w14:textId="77777777" w:rsidR="00665E6E" w:rsidRPr="00665E6E" w:rsidRDefault="00665E6E" w:rsidP="00665E6E"/>
    <w:p w14:paraId="3B3E2FA6" w14:textId="7ABFB16E" w:rsidR="00CB5600" w:rsidRDefault="008610D8" w:rsidP="00665E6E">
      <w:r>
        <w:t>People with Disability Australia (PWDA) welcomes the opportunity to respond to the Draft Accessibility Strategy</w:t>
      </w:r>
      <w:r w:rsidR="00AC6D3C">
        <w:t xml:space="preserve"> (the Strategy)</w:t>
      </w:r>
      <w:r>
        <w:t xml:space="preserve"> for the Royal Commission into </w:t>
      </w:r>
      <w:r w:rsidRPr="008610D8">
        <w:t>Violence, Abuse, Neglect and Exploitation of People with Disability</w:t>
      </w:r>
      <w:r>
        <w:t xml:space="preserve"> (the Royal Commission). </w:t>
      </w:r>
      <w:r w:rsidR="00CB5600">
        <w:t xml:space="preserve">We note that the Strategy was released on 19 August, giving people with disability and our representative organisations less than a month to respond. </w:t>
      </w:r>
    </w:p>
    <w:p w14:paraId="3A88F6E6" w14:textId="5BB6BFE1" w:rsidR="00610C2A" w:rsidRDefault="008610D8" w:rsidP="00665E6E">
      <w:r>
        <w:t xml:space="preserve">We believe first and foremost that </w:t>
      </w:r>
      <w:r w:rsidR="00E6254A">
        <w:t>the S</w:t>
      </w:r>
      <w:r>
        <w:t xml:space="preserve">trategy should reflect the experiences, expectations and needs of people with disability. </w:t>
      </w:r>
      <w:r w:rsidR="00FC1E83">
        <w:t xml:space="preserve">Accessibility is core to </w:t>
      </w:r>
      <w:r w:rsidR="00E6254A" w:rsidRPr="00E6254A">
        <w:t>the</w:t>
      </w:r>
      <w:r w:rsidR="00610C2A" w:rsidRPr="00E6254A">
        <w:t xml:space="preserve"> Royal Commission.</w:t>
      </w:r>
      <w:r w:rsidR="00610C2A">
        <w:t xml:space="preserve"> Without </w:t>
      </w:r>
      <w:r w:rsidR="00E6254A">
        <w:t>full accessibility</w:t>
      </w:r>
      <w:r w:rsidR="00610C2A">
        <w:t>, many of us will not be able to contribute our knowledge, experiences and expertise.</w:t>
      </w:r>
      <w:r w:rsidR="00FC1E83">
        <w:t xml:space="preserve"> </w:t>
      </w:r>
    </w:p>
    <w:p w14:paraId="3374B04B" w14:textId="24CA0A55" w:rsidR="00665E6E" w:rsidRDefault="00610C2A" w:rsidP="00610C2A">
      <w:r>
        <w:t xml:space="preserve">The Strategy </w:t>
      </w:r>
      <w:r w:rsidR="000F4E06">
        <w:t xml:space="preserve">and the Royal Commission </w:t>
      </w:r>
      <w:r>
        <w:t xml:space="preserve">must be an example of </w:t>
      </w:r>
      <w:r w:rsidR="00E6254A">
        <w:t xml:space="preserve">full accessibility, </w:t>
      </w:r>
      <w:r w:rsidR="00DE5E2D">
        <w:t>while</w:t>
      </w:r>
      <w:r w:rsidR="00E6254A">
        <w:t xml:space="preserve"> also recognising that accessibility is an evolving practice and concept, and requires an adaptable approach</w:t>
      </w:r>
      <w:r>
        <w:t xml:space="preserve">. </w:t>
      </w:r>
      <w:r w:rsidR="00E6254A">
        <w:t>This Royal Commission</w:t>
      </w:r>
      <w:r>
        <w:t xml:space="preserve"> </w:t>
      </w:r>
      <w:r w:rsidR="00E6254A">
        <w:t xml:space="preserve">belongs to people with disability first and foremost, and thus </w:t>
      </w:r>
      <w:r>
        <w:t xml:space="preserve">should frame accessibility </w:t>
      </w:r>
      <w:r w:rsidR="00E6254A">
        <w:t>as</w:t>
      </w:r>
      <w:r w:rsidR="00DE5E2D">
        <w:t xml:space="preserve"> core business and</w:t>
      </w:r>
      <w:r>
        <w:t xml:space="preserve"> </w:t>
      </w:r>
      <w:r w:rsidR="00E6254A">
        <w:t>essential</w:t>
      </w:r>
      <w:r>
        <w:t xml:space="preserve"> to the success of the Royal Commission. </w:t>
      </w:r>
      <w:r w:rsidR="00E6254A">
        <w:t xml:space="preserve">To the </w:t>
      </w:r>
      <w:r w:rsidR="00CB5600">
        <w:t xml:space="preserve">greatest </w:t>
      </w:r>
      <w:r w:rsidR="00E6254A">
        <w:t xml:space="preserve">extent possible in an ableist context, we should be able to rely on the accessibility of our Royal Commission, and on a flexible approach from the Royal Commission staff. </w:t>
      </w:r>
      <w:r w:rsidR="008610D8">
        <w:t xml:space="preserve">Therefore we </w:t>
      </w:r>
      <w:r w:rsidR="00E6254A">
        <w:t xml:space="preserve">call for </w:t>
      </w:r>
      <w:r w:rsidR="008610D8">
        <w:t xml:space="preserve">the </w:t>
      </w:r>
      <w:r w:rsidR="00E6254A">
        <w:t>Strategy to</w:t>
      </w:r>
      <w:r w:rsidR="008610D8">
        <w:t xml:space="preserve"> be written in plain English and </w:t>
      </w:r>
      <w:r w:rsidR="00E6254A">
        <w:t>for</w:t>
      </w:r>
      <w:r w:rsidR="008610D8">
        <w:t xml:space="preserve"> it be made available in a variety of formats and languages</w:t>
      </w:r>
      <w:r w:rsidR="00F10978">
        <w:t>, and that the same takes place for all Royal Commission documents</w:t>
      </w:r>
      <w:r w:rsidR="008610D8">
        <w:t xml:space="preserve">. </w:t>
      </w:r>
    </w:p>
    <w:p w14:paraId="761A6326" w14:textId="6D5A9141" w:rsidR="00235D6D" w:rsidRDefault="00610C2A" w:rsidP="00665E6E">
      <w:r>
        <w:t xml:space="preserve">Further, supports mentioned in the Strategy, including legal, therapeutic and advocacy supports, should be made available before the Royal Commission progresses further. Peer and representative organisations of all groups mentioned </w:t>
      </w:r>
      <w:r w:rsidR="005B1B7C">
        <w:t>in the Strategy</w:t>
      </w:r>
      <w:r w:rsidR="00DE5E2D">
        <w:t>, as well as women with disability,</w:t>
      </w:r>
      <w:r w:rsidR="00235D6D">
        <w:t xml:space="preserve"> should be funded for outreach, inreach </w:t>
      </w:r>
      <w:r>
        <w:t xml:space="preserve">and consultation as a priority. </w:t>
      </w:r>
    </w:p>
    <w:p w14:paraId="599B2EF7" w14:textId="77777777" w:rsidR="000F4E06" w:rsidRDefault="000F4E06" w:rsidP="00665E6E"/>
    <w:p w14:paraId="46834C8B" w14:textId="77777777" w:rsidR="00235D6D" w:rsidRDefault="00235D6D" w:rsidP="00665E6E"/>
    <w:p w14:paraId="744E5301" w14:textId="1B9364FF" w:rsidR="009122C2" w:rsidRDefault="00A36DEC" w:rsidP="009122C2">
      <w:r w:rsidRPr="00DF11A7">
        <w:lastRenderedPageBreak/>
        <w:t>It is essential that the Royal Commission articulate a trauma informed approach that is premised on</w:t>
      </w:r>
      <w:r w:rsidR="00DF11A7" w:rsidRPr="00DF11A7">
        <w:t xml:space="preserve"> the social model of disability and</w:t>
      </w:r>
      <w:r w:rsidRPr="00DF11A7">
        <w:t xml:space="preserve"> doing no further harm to survivors</w:t>
      </w:r>
      <w:r w:rsidR="00DF11A7" w:rsidRPr="00DF11A7">
        <w:t>, and that this is articulated in the Strategy.</w:t>
      </w:r>
      <w:r w:rsidR="00DF11A7">
        <w:t xml:space="preserve"> </w:t>
      </w:r>
      <w:r>
        <w:t xml:space="preserve"> </w:t>
      </w:r>
    </w:p>
    <w:p w14:paraId="7D7D6EC4" w14:textId="77777777" w:rsidR="00DE5E2D" w:rsidRDefault="00DE5E2D" w:rsidP="00554BAD">
      <w:pPr>
        <w:pStyle w:val="Heading2"/>
      </w:pPr>
      <w:r>
        <w:t>Women with disability</w:t>
      </w:r>
    </w:p>
    <w:p w14:paraId="76DF0D70" w14:textId="6755FDBD" w:rsidR="00DE5E2D" w:rsidRPr="00DE5E2D" w:rsidRDefault="005B1B7C" w:rsidP="00DE5E2D">
      <w:r>
        <w:t>PWDA is concerned that women with disability</w:t>
      </w:r>
      <w:r w:rsidRPr="005B1B7C">
        <w:t xml:space="preserve"> </w:t>
      </w:r>
      <w:r>
        <w:t xml:space="preserve">are not </w:t>
      </w:r>
      <w:r>
        <w:t xml:space="preserve">mentioned or </w:t>
      </w:r>
      <w:r>
        <w:t>covered in</w:t>
      </w:r>
      <w:r>
        <w:t xml:space="preserve"> the Strategy. Women with disability are disproportionately subject to domestic and family violence, sexual violence, and other forms of abuse, neglect and exploitation. Specific consultation with women with disability and our representative organisations is essential, and </w:t>
      </w:r>
      <w:r w:rsidR="003825F4">
        <w:t xml:space="preserve">Disabled People’s Organisations </w:t>
      </w:r>
      <w:r w:rsidR="003825F4">
        <w:t>(</w:t>
      </w:r>
      <w:r w:rsidR="00DF11A7">
        <w:t>DPOs</w:t>
      </w:r>
      <w:r w:rsidR="003825F4">
        <w:t>)</w:t>
      </w:r>
      <w:r>
        <w:t xml:space="preserve"> must be funded to undertake outreach</w:t>
      </w:r>
      <w:r w:rsidR="00235D6D">
        <w:t xml:space="preserve"> and inreach</w:t>
      </w:r>
      <w:r>
        <w:t xml:space="preserve"> with our peers.  </w:t>
      </w:r>
    </w:p>
    <w:p w14:paraId="7BD33B94" w14:textId="01E17F1F" w:rsidR="00554BAD" w:rsidRPr="003A7D8A" w:rsidRDefault="0002576F" w:rsidP="00554BAD">
      <w:pPr>
        <w:pStyle w:val="Heading2"/>
      </w:pPr>
      <w:r>
        <w:t xml:space="preserve">First Nations People with </w:t>
      </w:r>
      <w:r w:rsidR="005B1B7C">
        <w:t>Disability</w:t>
      </w:r>
      <w:r>
        <w:t xml:space="preserve"> </w:t>
      </w:r>
    </w:p>
    <w:p w14:paraId="71A1A475" w14:textId="6617B105" w:rsidR="000F645D" w:rsidRDefault="00E6254A" w:rsidP="000F645D">
      <w:r>
        <w:t>The Royal Commission should recognise</w:t>
      </w:r>
      <w:r w:rsidR="000F645D" w:rsidRPr="000F645D">
        <w:t xml:space="preserve"> the</w:t>
      </w:r>
      <w:r w:rsidR="000F645D">
        <w:t xml:space="preserve"> disabling</w:t>
      </w:r>
      <w:r w:rsidR="000F645D" w:rsidRPr="000F645D">
        <w:t xml:space="preserve"> </w:t>
      </w:r>
      <w:r w:rsidR="000F645D">
        <w:t>impacts that colonisation, attempt</w:t>
      </w:r>
      <w:r w:rsidR="00FC1E83">
        <w:t xml:space="preserve">ed </w:t>
      </w:r>
      <w:r w:rsidR="000F645D">
        <w:t xml:space="preserve">genocide and assimilation have had on many First Nations people, </w:t>
      </w:r>
      <w:r w:rsidR="00235D6D">
        <w:t xml:space="preserve">and </w:t>
      </w:r>
      <w:r w:rsidR="000F645D">
        <w:t>a</w:t>
      </w:r>
      <w:r>
        <w:t>cknowledge</w:t>
      </w:r>
      <w:r w:rsidR="000F645D">
        <w:t xml:space="preserve"> colonisation as a form of violence. </w:t>
      </w:r>
      <w:r w:rsidR="00FC1E83">
        <w:t xml:space="preserve">The phrase ‘as much as possible’ should be removed from this section. </w:t>
      </w:r>
      <w:r w:rsidR="000F645D">
        <w:t xml:space="preserve">The Royal Commission should name the following steps in the Accessibility Strategy: </w:t>
      </w:r>
    </w:p>
    <w:p w14:paraId="612F1AE8" w14:textId="77777777" w:rsidR="000F645D" w:rsidRDefault="000F645D" w:rsidP="000F645D">
      <w:pPr>
        <w:pStyle w:val="ListParagraph"/>
        <w:numPr>
          <w:ilvl w:val="0"/>
          <w:numId w:val="6"/>
        </w:numPr>
      </w:pPr>
      <w:r>
        <w:t>Traveling to</w:t>
      </w:r>
      <w:r w:rsidR="00FC1E83">
        <w:t xml:space="preserve"> rural and</w:t>
      </w:r>
      <w:r>
        <w:t xml:space="preserve"> remote Indigenous communities for hearings and private sessions</w:t>
      </w:r>
    </w:p>
    <w:p w14:paraId="6728209A" w14:textId="304B0210" w:rsidR="00FC1E83" w:rsidRDefault="00FC1E83" w:rsidP="000F645D">
      <w:pPr>
        <w:pStyle w:val="ListParagraph"/>
        <w:numPr>
          <w:ilvl w:val="0"/>
          <w:numId w:val="6"/>
        </w:numPr>
      </w:pPr>
      <w:r>
        <w:t xml:space="preserve">Funding Indigenous </w:t>
      </w:r>
      <w:r w:rsidR="003825F4">
        <w:t>DPOs</w:t>
      </w:r>
      <w:r>
        <w:t xml:space="preserve"> to support First Nations people with disability</w:t>
      </w:r>
    </w:p>
    <w:p w14:paraId="0977AA7C" w14:textId="77777777" w:rsidR="000F645D" w:rsidRDefault="000F645D" w:rsidP="000F645D">
      <w:pPr>
        <w:pStyle w:val="ListParagraph"/>
        <w:numPr>
          <w:ilvl w:val="0"/>
          <w:numId w:val="6"/>
        </w:numPr>
      </w:pPr>
      <w:r>
        <w:t xml:space="preserve">Adapting structures and communications to be culturally safe for Indigenous </w:t>
      </w:r>
      <w:r w:rsidR="00FC1E83">
        <w:t>people with disability</w:t>
      </w:r>
    </w:p>
    <w:p w14:paraId="4ED41829" w14:textId="77777777" w:rsidR="000F645D" w:rsidRPr="000F645D" w:rsidRDefault="000F645D" w:rsidP="00FC1E83">
      <w:pPr>
        <w:pStyle w:val="ListParagraph"/>
        <w:numPr>
          <w:ilvl w:val="0"/>
          <w:numId w:val="6"/>
        </w:numPr>
      </w:pPr>
      <w:r>
        <w:t>Providing necessary supports and/ or funding for participation and recognising that these may look different to what is typically u</w:t>
      </w:r>
      <w:r w:rsidR="00FC1E83">
        <w:t xml:space="preserve">nderstood as disability supports. </w:t>
      </w:r>
    </w:p>
    <w:p w14:paraId="39AFB0D1" w14:textId="77777777" w:rsidR="00554BAD" w:rsidRPr="003A7D8A" w:rsidRDefault="0002576F" w:rsidP="00554BAD">
      <w:pPr>
        <w:pStyle w:val="Heading2"/>
      </w:pPr>
      <w:r>
        <w:t>Multicultural services for people with disability</w:t>
      </w:r>
    </w:p>
    <w:p w14:paraId="241F0630" w14:textId="77777777" w:rsidR="00AC6D3C" w:rsidRDefault="00AC6D3C" w:rsidP="00AC6D3C">
      <w:r>
        <w:rPr>
          <w:lang w:val="en-GB"/>
        </w:rPr>
        <w:t xml:space="preserve">The Strategy should have a separate section on accessibility for Deaf </w:t>
      </w:r>
      <w:r w:rsidR="00AF207D">
        <w:rPr>
          <w:lang w:val="en-GB"/>
        </w:rPr>
        <w:t>communities that</w:t>
      </w:r>
      <w:r>
        <w:rPr>
          <w:lang w:val="en-GB"/>
        </w:rPr>
        <w:t xml:space="preserve"> includes Auslan availability for private sessions, captions for webcasts and all videos, and commitment to work with Deaf-led organisations to provide information about the Royal Commission. </w:t>
      </w:r>
    </w:p>
    <w:p w14:paraId="553D251F" w14:textId="77777777" w:rsidR="00963C52" w:rsidRDefault="00AC6D3C" w:rsidP="00226709">
      <w:pPr>
        <w:rPr>
          <w:lang w:val="en-GB"/>
        </w:rPr>
      </w:pPr>
      <w:r>
        <w:rPr>
          <w:lang w:val="en-GB"/>
        </w:rPr>
        <w:t xml:space="preserve">The Strategy should </w:t>
      </w:r>
      <w:r w:rsidR="00E6254A">
        <w:rPr>
          <w:lang w:val="en-GB"/>
        </w:rPr>
        <w:t xml:space="preserve">also </w:t>
      </w:r>
      <w:r>
        <w:rPr>
          <w:lang w:val="en-GB"/>
        </w:rPr>
        <w:t>include</w:t>
      </w:r>
      <w:r w:rsidR="00963C52">
        <w:rPr>
          <w:lang w:val="en-GB"/>
        </w:rPr>
        <w:t>:</w:t>
      </w:r>
      <w:r>
        <w:rPr>
          <w:lang w:val="en-GB"/>
        </w:rPr>
        <w:t xml:space="preserve"> </w:t>
      </w:r>
    </w:p>
    <w:p w14:paraId="25C5ED41" w14:textId="35EF054D" w:rsidR="00226709" w:rsidRDefault="00235D6D" w:rsidP="00963C52">
      <w:pPr>
        <w:pStyle w:val="ListParagraph"/>
        <w:numPr>
          <w:ilvl w:val="0"/>
          <w:numId w:val="6"/>
        </w:numPr>
        <w:rPr>
          <w:lang w:val="en-GB"/>
        </w:rPr>
      </w:pPr>
      <w:r>
        <w:rPr>
          <w:lang w:val="en-GB"/>
        </w:rPr>
        <w:t xml:space="preserve">A </w:t>
      </w:r>
      <w:r w:rsidR="00AC6D3C" w:rsidRPr="00963C52">
        <w:rPr>
          <w:lang w:val="en-GB"/>
        </w:rPr>
        <w:t xml:space="preserve">commitment to providing information in community languages all through the Royal Commission process, rather than just for translation services. </w:t>
      </w:r>
    </w:p>
    <w:p w14:paraId="352BAC08" w14:textId="78B27C03" w:rsidR="00FC1E83" w:rsidRPr="00963C52" w:rsidRDefault="00963C52" w:rsidP="00554BAD">
      <w:pPr>
        <w:pStyle w:val="ListParagraph"/>
        <w:numPr>
          <w:ilvl w:val="0"/>
          <w:numId w:val="6"/>
        </w:numPr>
        <w:rPr>
          <w:lang w:val="en-GB"/>
        </w:rPr>
      </w:pPr>
      <w:r>
        <w:rPr>
          <w:lang w:val="en-GB"/>
        </w:rPr>
        <w:t xml:space="preserve">A commitment to outreach </w:t>
      </w:r>
      <w:r w:rsidR="00235D6D">
        <w:rPr>
          <w:lang w:val="en-GB"/>
        </w:rPr>
        <w:t xml:space="preserve">and inreach </w:t>
      </w:r>
      <w:r>
        <w:rPr>
          <w:lang w:val="en-GB"/>
        </w:rPr>
        <w:t xml:space="preserve">to and through culturally and linguistically diverse (CALD) communities through their representative organisations and DPOs, to talk about the Royal Commission and seek evidence from CALD people with disability. </w:t>
      </w:r>
    </w:p>
    <w:p w14:paraId="67738B71" w14:textId="77777777" w:rsidR="00554BAD" w:rsidRPr="003A7D8A" w:rsidRDefault="0002576F" w:rsidP="00554BAD">
      <w:pPr>
        <w:pStyle w:val="Heading2"/>
      </w:pPr>
      <w:r>
        <w:t>LGBTQI</w:t>
      </w:r>
      <w:r w:rsidR="00AF207D">
        <w:t>A</w:t>
      </w:r>
      <w:r>
        <w:t xml:space="preserve">+ inclusive </w:t>
      </w:r>
    </w:p>
    <w:p w14:paraId="56B95467" w14:textId="77777777" w:rsidR="00963C52" w:rsidRDefault="00AF207D" w:rsidP="00963C52">
      <w:pPr>
        <w:rPr>
          <w:lang w:val="en-GB"/>
        </w:rPr>
      </w:pPr>
      <w:r>
        <w:rPr>
          <w:lang w:val="en-GB"/>
        </w:rPr>
        <w:t>The Strategy should i</w:t>
      </w:r>
      <w:r w:rsidR="00963C52">
        <w:rPr>
          <w:lang w:val="en-GB"/>
        </w:rPr>
        <w:t xml:space="preserve">nclude specific outreach to </w:t>
      </w:r>
      <w:r>
        <w:rPr>
          <w:lang w:val="en-GB"/>
        </w:rPr>
        <w:t xml:space="preserve">lesbian, gay, bisexual, transgender, queer, intersex and asexual </w:t>
      </w:r>
      <w:r w:rsidR="00963C52">
        <w:rPr>
          <w:lang w:val="en-GB"/>
        </w:rPr>
        <w:t>+</w:t>
      </w:r>
      <w:r>
        <w:rPr>
          <w:lang w:val="en-GB"/>
        </w:rPr>
        <w:t xml:space="preserve"> (LGBTQIA+) communities and organisations</w:t>
      </w:r>
      <w:r w:rsidR="00963C52">
        <w:rPr>
          <w:lang w:val="en-GB"/>
        </w:rPr>
        <w:t xml:space="preserve"> to discuss how </w:t>
      </w:r>
      <w:r w:rsidR="00963C52">
        <w:rPr>
          <w:lang w:val="en-GB"/>
        </w:rPr>
        <w:lastRenderedPageBreak/>
        <w:t xml:space="preserve">the </w:t>
      </w:r>
      <w:r>
        <w:rPr>
          <w:lang w:val="en-GB"/>
        </w:rPr>
        <w:t>Royal Commission</w:t>
      </w:r>
      <w:r w:rsidR="00963C52">
        <w:rPr>
          <w:lang w:val="en-GB"/>
        </w:rPr>
        <w:t xml:space="preserve"> will make sure it welcomes people with disability from these communities.</w:t>
      </w:r>
    </w:p>
    <w:p w14:paraId="1EE7D1E8" w14:textId="77777777" w:rsidR="00AF207D" w:rsidRDefault="00AF207D" w:rsidP="00963C52">
      <w:pPr>
        <w:rPr>
          <w:lang w:val="en-GB"/>
        </w:rPr>
      </w:pPr>
      <w:r>
        <w:rPr>
          <w:lang w:val="en-GB"/>
        </w:rPr>
        <w:t>The Strategy should include a specific commitment to removing barriers that prevent LGBTQIA+ people from engaging with organisations and systems. Examples of positive interventions for LGBTQIA+ inclusivity</w:t>
      </w:r>
      <w:r w:rsidR="005E4829">
        <w:rPr>
          <w:lang w:val="en-GB"/>
        </w:rPr>
        <w:t xml:space="preserve"> that should be included in the Strategy</w:t>
      </w:r>
      <w:r>
        <w:rPr>
          <w:lang w:val="en-GB"/>
        </w:rPr>
        <w:t xml:space="preserve"> are: </w:t>
      </w:r>
    </w:p>
    <w:p w14:paraId="3E6C66A1" w14:textId="77777777" w:rsidR="00AF207D" w:rsidRPr="00AF207D" w:rsidRDefault="00AF207D" w:rsidP="00AF207D">
      <w:pPr>
        <w:pStyle w:val="ListParagraph"/>
        <w:numPr>
          <w:ilvl w:val="0"/>
          <w:numId w:val="6"/>
        </w:numPr>
      </w:pPr>
      <w:r>
        <w:rPr>
          <w:lang w:val="en-GB"/>
        </w:rPr>
        <w:t xml:space="preserve">removing use of gendered titles </w:t>
      </w:r>
      <w:r w:rsidR="00063A5D">
        <w:rPr>
          <w:lang w:val="en-GB"/>
        </w:rPr>
        <w:t xml:space="preserve">except where they are requested </w:t>
      </w:r>
    </w:p>
    <w:p w14:paraId="5FAA14EA" w14:textId="77777777" w:rsidR="00AF207D" w:rsidRPr="00063A5D" w:rsidRDefault="00AF207D" w:rsidP="00AF207D">
      <w:pPr>
        <w:pStyle w:val="ListParagraph"/>
        <w:numPr>
          <w:ilvl w:val="0"/>
          <w:numId w:val="6"/>
        </w:numPr>
      </w:pPr>
      <w:r>
        <w:rPr>
          <w:lang w:val="en-GB"/>
        </w:rPr>
        <w:t xml:space="preserve">removing compulsory revelation of gender, </w:t>
      </w:r>
      <w:r w:rsidRPr="00AF207D">
        <w:rPr>
          <w:lang w:val="en-GB"/>
        </w:rPr>
        <w:t xml:space="preserve">marital status, </w:t>
      </w:r>
      <w:r>
        <w:rPr>
          <w:lang w:val="en-GB"/>
        </w:rPr>
        <w:t>or gender assignment at birth</w:t>
      </w:r>
    </w:p>
    <w:p w14:paraId="1AF13A77" w14:textId="77777777" w:rsidR="00063A5D" w:rsidRPr="00AF207D" w:rsidRDefault="00063A5D" w:rsidP="00063A5D">
      <w:pPr>
        <w:pStyle w:val="ListParagraph"/>
        <w:numPr>
          <w:ilvl w:val="0"/>
          <w:numId w:val="6"/>
        </w:numPr>
      </w:pPr>
      <w:r>
        <w:rPr>
          <w:lang w:val="en-GB"/>
        </w:rPr>
        <w:t>providing for people to express preferred pronouns if they wish, and affirming people’s preferred pronouns and titles if they express them</w:t>
      </w:r>
    </w:p>
    <w:p w14:paraId="0251A74F" w14:textId="66104C59" w:rsidR="00963C52" w:rsidRDefault="00AF207D" w:rsidP="0002576F">
      <w:pPr>
        <w:pStyle w:val="ListParagraph"/>
        <w:numPr>
          <w:ilvl w:val="0"/>
          <w:numId w:val="6"/>
        </w:numPr>
      </w:pPr>
      <w:r w:rsidRPr="00AF207D">
        <w:rPr>
          <w:lang w:val="en-GB"/>
        </w:rPr>
        <w:t>provision of gender neutral accessible bathrooms for</w:t>
      </w:r>
      <w:r w:rsidR="00063A5D">
        <w:rPr>
          <w:lang w:val="en-GB"/>
        </w:rPr>
        <w:t xml:space="preserve"> hearings and private sessions.</w:t>
      </w:r>
    </w:p>
    <w:p w14:paraId="118C3D45" w14:textId="77777777" w:rsidR="0002576F" w:rsidRDefault="0002576F" w:rsidP="0002576F">
      <w:pPr>
        <w:pStyle w:val="Heading2"/>
      </w:pPr>
      <w:r>
        <w:t xml:space="preserve">Trauma informed process </w:t>
      </w:r>
    </w:p>
    <w:p w14:paraId="4C1A21B2" w14:textId="7247D205" w:rsidR="00CB5600" w:rsidRPr="00235D6D" w:rsidRDefault="00235D6D" w:rsidP="00AF207D">
      <w:pPr>
        <w:rPr>
          <w:rFonts w:eastAsia="Times New Roman"/>
          <w:bCs/>
          <w:lang w:val="en-GB"/>
        </w:rPr>
      </w:pPr>
      <w:r w:rsidRPr="00235D6D">
        <w:rPr>
          <w:rFonts w:eastAsia="Times New Roman"/>
          <w:bCs/>
          <w:lang w:val="en-GB"/>
        </w:rPr>
        <w:t xml:space="preserve">The social and human rights model of disability must be adopted in the Royal Commission’s approach to trauma. </w:t>
      </w:r>
      <w:r w:rsidR="00CB5600" w:rsidRPr="00235D6D">
        <w:rPr>
          <w:rFonts w:eastAsia="Times New Roman"/>
          <w:bCs/>
          <w:lang w:val="en-GB"/>
        </w:rPr>
        <w:t xml:space="preserve">The social model of disability </w:t>
      </w:r>
      <w:r w:rsidRPr="00235D6D">
        <w:rPr>
          <w:rFonts w:eastAsia="Times New Roman"/>
          <w:bCs/>
          <w:lang w:val="en-GB"/>
        </w:rPr>
        <w:t xml:space="preserve">sees disability, including symptoms of trauma, as a response to environment, locating the ‘problem’ in the environment rather than being inherent to a person. </w:t>
      </w:r>
      <w:r w:rsidR="00C464FC">
        <w:rPr>
          <w:rFonts w:eastAsia="Times New Roman"/>
          <w:bCs/>
          <w:lang w:val="en-GB"/>
        </w:rPr>
        <w:t xml:space="preserve">For people with disability, we are at even greater risk of having our expressions and responses to trauma policed, ignored, or seen as coming from our impairments, rather than as a response to our environment. Similarly, ableist or medicalised responses to trauma may </w:t>
      </w:r>
      <w:r w:rsidR="003825F4">
        <w:rPr>
          <w:rFonts w:eastAsia="Times New Roman"/>
          <w:bCs/>
          <w:lang w:val="en-GB"/>
        </w:rPr>
        <w:t>pathologise</w:t>
      </w:r>
      <w:r w:rsidR="00C464FC">
        <w:rPr>
          <w:rFonts w:eastAsia="Times New Roman"/>
          <w:bCs/>
          <w:lang w:val="en-GB"/>
        </w:rPr>
        <w:t xml:space="preserve"> us as inherently damaged and requiring restraint, behaviour modification, or other medical responses that ignore our environment</w:t>
      </w:r>
      <w:r w:rsidR="006635C0">
        <w:rPr>
          <w:rFonts w:eastAsia="Times New Roman"/>
          <w:bCs/>
          <w:lang w:val="en-GB"/>
        </w:rPr>
        <w:t xml:space="preserve"> and may inflict further violence and trauma</w:t>
      </w:r>
      <w:r w:rsidR="00C464FC">
        <w:rPr>
          <w:rFonts w:eastAsia="Times New Roman"/>
          <w:bCs/>
          <w:lang w:val="en-GB"/>
        </w:rPr>
        <w:t>.</w:t>
      </w:r>
    </w:p>
    <w:p w14:paraId="1F23405E" w14:textId="4444A565" w:rsidR="003825F4" w:rsidRDefault="00C464FC" w:rsidP="00AF207D">
      <w:pPr>
        <w:rPr>
          <w:rFonts w:eastAsia="Times New Roman"/>
          <w:bCs/>
          <w:lang w:val="en-GB"/>
        </w:rPr>
      </w:pPr>
      <w:r w:rsidRPr="00235D6D">
        <w:rPr>
          <w:rFonts w:eastAsia="Times New Roman"/>
          <w:bCs/>
          <w:lang w:val="en-GB"/>
        </w:rPr>
        <w:t xml:space="preserve">Whilst stating that the Royal Commission will adopt “the principles of trauma informed engagement”, there is no articulation in the Strategy of what this means. </w:t>
      </w:r>
      <w:r w:rsidR="005E4829" w:rsidRPr="00235D6D">
        <w:rPr>
          <w:rFonts w:eastAsia="Times New Roman"/>
          <w:bCs/>
          <w:lang w:val="en-GB"/>
        </w:rPr>
        <w:t xml:space="preserve">At a minimum it is necessary for the Royal Commission to articulate a commitment to doing no further harm to </w:t>
      </w:r>
      <w:r w:rsidR="00B6668A">
        <w:rPr>
          <w:rFonts w:eastAsia="Times New Roman"/>
          <w:bCs/>
          <w:lang w:val="en-GB"/>
        </w:rPr>
        <w:t>those of us</w:t>
      </w:r>
      <w:r w:rsidR="005E4829" w:rsidRPr="00235D6D">
        <w:rPr>
          <w:rFonts w:eastAsia="Times New Roman"/>
          <w:bCs/>
          <w:lang w:val="en-GB"/>
        </w:rPr>
        <w:t xml:space="preserve"> who have been subject to violence, neglect, abuse and exploitation, and experience trauma as a result. </w:t>
      </w:r>
      <w:r w:rsidR="003825F4">
        <w:rPr>
          <w:rFonts w:eastAsia="Times New Roman"/>
          <w:bCs/>
          <w:lang w:val="en-GB"/>
        </w:rPr>
        <w:t xml:space="preserve">Once this is articulated, principles and a plan for implementation must be developed. </w:t>
      </w:r>
      <w:r w:rsidR="003825F4">
        <w:rPr>
          <w:rFonts w:eastAsia="Times New Roman"/>
          <w:bCs/>
          <w:lang w:val="en-GB"/>
        </w:rPr>
        <w:t>While literature on trauma and trauma</w:t>
      </w:r>
      <w:r w:rsidR="003825F4">
        <w:rPr>
          <w:rFonts w:eastAsia="Times New Roman"/>
          <w:bCs/>
          <w:lang w:val="en-GB"/>
        </w:rPr>
        <w:t>-informed practices</w:t>
      </w:r>
      <w:r w:rsidR="003825F4">
        <w:rPr>
          <w:rFonts w:eastAsia="Times New Roman"/>
          <w:bCs/>
          <w:lang w:val="en-GB"/>
        </w:rPr>
        <w:t xml:space="preserve"> abounds, PWDA includes a number of references</w:t>
      </w:r>
      <w:r w:rsidR="003825F4">
        <w:rPr>
          <w:rFonts w:eastAsia="Times New Roman"/>
          <w:bCs/>
          <w:lang w:val="en-GB"/>
        </w:rPr>
        <w:t xml:space="preserve"> we consider useful</w:t>
      </w:r>
      <w:r w:rsidR="003825F4">
        <w:rPr>
          <w:rFonts w:eastAsia="Times New Roman"/>
          <w:bCs/>
          <w:lang w:val="en-GB"/>
        </w:rPr>
        <w:t xml:space="preserve"> below</w:t>
      </w:r>
      <w:r w:rsidR="000C702C">
        <w:rPr>
          <w:rFonts w:eastAsia="Times New Roman"/>
          <w:bCs/>
          <w:lang w:val="en-GB"/>
        </w:rPr>
        <w:t>, and would be happy to provide further resources and information upon request</w:t>
      </w:r>
      <w:r w:rsidR="003825F4">
        <w:rPr>
          <w:rFonts w:eastAsia="Times New Roman"/>
          <w:bCs/>
          <w:lang w:val="en-GB"/>
        </w:rPr>
        <w:t>.</w:t>
      </w:r>
      <w:r w:rsidR="003825F4">
        <w:rPr>
          <w:rStyle w:val="FootnoteReference"/>
          <w:rFonts w:eastAsia="Times New Roman"/>
          <w:bCs/>
          <w:lang w:val="en-GB"/>
        </w:rPr>
        <w:footnoteReference w:id="1"/>
      </w:r>
    </w:p>
    <w:p w14:paraId="4C17430E" w14:textId="26690C96" w:rsidR="00063A5D" w:rsidRDefault="005E4829" w:rsidP="00AF207D">
      <w:pPr>
        <w:rPr>
          <w:rFonts w:eastAsia="Times New Roman"/>
          <w:bCs/>
          <w:lang w:val="en-GB"/>
        </w:rPr>
      </w:pPr>
      <w:r w:rsidRPr="00235D6D">
        <w:rPr>
          <w:rFonts w:eastAsia="Times New Roman"/>
          <w:bCs/>
          <w:lang w:val="en-GB"/>
        </w:rPr>
        <w:t xml:space="preserve">Key to this commitment </w:t>
      </w:r>
      <w:r w:rsidR="0084587B" w:rsidRPr="00235D6D">
        <w:rPr>
          <w:rFonts w:eastAsia="Times New Roman"/>
          <w:bCs/>
          <w:lang w:val="en-GB"/>
        </w:rPr>
        <w:t xml:space="preserve">to doing no harm </w:t>
      </w:r>
      <w:r w:rsidRPr="00235D6D">
        <w:rPr>
          <w:rFonts w:eastAsia="Times New Roman"/>
          <w:bCs/>
          <w:lang w:val="en-GB"/>
        </w:rPr>
        <w:t>is provision of support</w:t>
      </w:r>
      <w:r w:rsidR="0084587B" w:rsidRPr="00235D6D">
        <w:rPr>
          <w:rFonts w:eastAsia="Times New Roman"/>
          <w:bCs/>
          <w:lang w:val="en-GB"/>
        </w:rPr>
        <w:t xml:space="preserve"> for victim-survivors of violence at all stages of the Royal Commission process, even if they do not decide to proceed in giving evidence or having a private session.</w:t>
      </w:r>
      <w:r w:rsidRPr="00235D6D">
        <w:rPr>
          <w:rFonts w:eastAsia="Times New Roman"/>
          <w:bCs/>
          <w:lang w:val="en-GB"/>
        </w:rPr>
        <w:t xml:space="preserve"> </w:t>
      </w:r>
      <w:r w:rsidR="0084587B" w:rsidRPr="00235D6D">
        <w:rPr>
          <w:rFonts w:eastAsia="Times New Roman"/>
          <w:bCs/>
          <w:lang w:val="en-GB"/>
        </w:rPr>
        <w:t xml:space="preserve">The supports that </w:t>
      </w:r>
      <w:r w:rsidRPr="00235D6D">
        <w:rPr>
          <w:rFonts w:eastAsia="Times New Roman"/>
          <w:bCs/>
          <w:lang w:val="en-GB"/>
        </w:rPr>
        <w:t xml:space="preserve">victim-survivors can expect </w:t>
      </w:r>
      <w:r w:rsidR="0084587B" w:rsidRPr="00235D6D">
        <w:rPr>
          <w:rFonts w:eastAsia="Times New Roman"/>
          <w:bCs/>
          <w:lang w:val="en-GB"/>
        </w:rPr>
        <w:t>related to the Royal Commission must be clearly articulated</w:t>
      </w:r>
      <w:r w:rsidRPr="00235D6D">
        <w:rPr>
          <w:rFonts w:eastAsia="Times New Roman"/>
          <w:bCs/>
          <w:lang w:val="en-GB"/>
        </w:rPr>
        <w:t xml:space="preserve">. </w:t>
      </w:r>
      <w:r w:rsidR="00B6668A">
        <w:rPr>
          <w:rFonts w:eastAsia="Times New Roman"/>
          <w:bCs/>
          <w:lang w:val="en-GB"/>
        </w:rPr>
        <w:t>Further hearings</w:t>
      </w:r>
      <w:r w:rsidRPr="00235D6D">
        <w:rPr>
          <w:rFonts w:eastAsia="Times New Roman"/>
          <w:bCs/>
          <w:lang w:val="en-GB"/>
        </w:rPr>
        <w:t xml:space="preserve"> </w:t>
      </w:r>
      <w:r w:rsidR="0084587B" w:rsidRPr="00235D6D">
        <w:rPr>
          <w:rFonts w:eastAsia="Times New Roman"/>
          <w:bCs/>
          <w:lang w:val="en-GB"/>
        </w:rPr>
        <w:t xml:space="preserve">and private sessions </w:t>
      </w:r>
      <w:r w:rsidR="00B6668A">
        <w:rPr>
          <w:rFonts w:eastAsia="Times New Roman"/>
          <w:bCs/>
          <w:lang w:val="en-GB"/>
        </w:rPr>
        <w:t>should</w:t>
      </w:r>
      <w:r w:rsidRPr="00235D6D">
        <w:rPr>
          <w:rFonts w:eastAsia="Times New Roman"/>
          <w:bCs/>
          <w:lang w:val="en-GB"/>
        </w:rPr>
        <w:t xml:space="preserve"> not be opened without therapeutic, legal and advocacy supports in place, as well as all disability supports being available. </w:t>
      </w:r>
    </w:p>
    <w:p w14:paraId="33744967" w14:textId="48C5C55C" w:rsidR="00AF207D" w:rsidRPr="003825F4" w:rsidRDefault="00B6668A" w:rsidP="00AF207D">
      <w:pPr>
        <w:rPr>
          <w:rFonts w:eastAsia="Times New Roman"/>
          <w:bCs/>
          <w:lang w:val="en-GB"/>
        </w:rPr>
      </w:pPr>
      <w:r>
        <w:rPr>
          <w:rFonts w:eastAsia="Times New Roman"/>
          <w:bCs/>
          <w:lang w:val="en-GB"/>
        </w:rPr>
        <w:t xml:space="preserve">Terminology is important in this section, as in others. </w:t>
      </w:r>
      <w:r w:rsidR="0084587B" w:rsidRPr="00235D6D">
        <w:rPr>
          <w:rFonts w:eastAsia="Times New Roman"/>
          <w:bCs/>
          <w:lang w:val="en-GB"/>
        </w:rPr>
        <w:t>The term “isolated cohorts” should be replaced by “</w:t>
      </w:r>
      <w:r w:rsidR="00AF207D" w:rsidRPr="00235D6D">
        <w:rPr>
          <w:rFonts w:eastAsia="Times New Roman"/>
          <w:bCs/>
          <w:lang w:val="en-GB"/>
        </w:rPr>
        <w:t xml:space="preserve">people with disability with </w:t>
      </w:r>
      <w:r w:rsidR="0084587B" w:rsidRPr="00235D6D">
        <w:rPr>
          <w:rFonts w:eastAsia="Times New Roman"/>
          <w:bCs/>
          <w:lang w:val="en-GB"/>
        </w:rPr>
        <w:t>multiple</w:t>
      </w:r>
      <w:r w:rsidR="00AF207D" w:rsidRPr="00235D6D">
        <w:rPr>
          <w:rFonts w:eastAsia="Times New Roman"/>
          <w:bCs/>
          <w:lang w:val="en-GB"/>
        </w:rPr>
        <w:t xml:space="preserve"> barriers to engagement with the </w:t>
      </w:r>
      <w:r w:rsidR="0084587B" w:rsidRPr="00235D6D">
        <w:rPr>
          <w:rFonts w:eastAsia="Times New Roman"/>
          <w:bCs/>
          <w:lang w:val="en-GB"/>
        </w:rPr>
        <w:t>Royal Commission”.</w:t>
      </w:r>
      <w:r w:rsidR="0084587B">
        <w:rPr>
          <w:rFonts w:eastAsia="Times New Roman"/>
          <w:bCs/>
          <w:lang w:val="en-GB"/>
        </w:rPr>
        <w:t xml:space="preserve"> </w:t>
      </w:r>
      <w:r>
        <w:rPr>
          <w:rFonts w:eastAsia="Times New Roman"/>
          <w:bCs/>
          <w:lang w:val="en-GB"/>
        </w:rPr>
        <w:t>Whilst we use the language of ‘survivor’</w:t>
      </w:r>
      <w:r w:rsidR="003825F4">
        <w:rPr>
          <w:rFonts w:eastAsia="Times New Roman"/>
          <w:bCs/>
          <w:lang w:val="en-GB"/>
        </w:rPr>
        <w:t>, in keeping with the principle of self-determination,</w:t>
      </w:r>
      <w:r>
        <w:rPr>
          <w:rFonts w:eastAsia="Times New Roman"/>
          <w:bCs/>
          <w:lang w:val="en-GB"/>
        </w:rPr>
        <w:t xml:space="preserve"> people should be able to use the language they prefer regarding their own experiences. </w:t>
      </w:r>
    </w:p>
    <w:p w14:paraId="0F30BBAE" w14:textId="77777777" w:rsidR="0002576F" w:rsidRDefault="0002576F" w:rsidP="0002576F">
      <w:pPr>
        <w:pStyle w:val="Heading2"/>
      </w:pPr>
      <w:r>
        <w:lastRenderedPageBreak/>
        <w:t>Psychosocial disability</w:t>
      </w:r>
    </w:p>
    <w:p w14:paraId="5B9CABB8" w14:textId="6B22E1ED" w:rsidR="0099433A" w:rsidRPr="0099433A" w:rsidRDefault="00E277E9" w:rsidP="0099433A">
      <w:r>
        <w:t xml:space="preserve">People with psychosocial disability should not only be informed, but consulted about the Royal Commission at every step, via their peer and representative organisations. People with psychosocial disability are often also part of hard to reach communities. </w:t>
      </w:r>
      <w:r w:rsidR="00E6254A">
        <w:t>The Royal Commission should commit to a</w:t>
      </w:r>
      <w:r>
        <w:t xml:space="preserve">ssertive outreach, funded through peer and representative organisations, </w:t>
      </w:r>
      <w:r w:rsidR="00235D6D">
        <w:t>which will be</w:t>
      </w:r>
      <w:r>
        <w:t xml:space="preserve"> e</w:t>
      </w:r>
      <w:r w:rsidR="00235D6D">
        <w:t>ssential to reach these communities</w:t>
      </w:r>
      <w:r>
        <w:t xml:space="preserve">. </w:t>
      </w:r>
    </w:p>
    <w:p w14:paraId="2474A3D0" w14:textId="77777777" w:rsidR="0002576F" w:rsidRDefault="0002576F" w:rsidP="0002576F">
      <w:pPr>
        <w:pStyle w:val="Heading2"/>
      </w:pPr>
      <w:r>
        <w:t>Workplace accessibility and inclusion</w:t>
      </w:r>
    </w:p>
    <w:p w14:paraId="29BD209B" w14:textId="77777777" w:rsidR="0099433A" w:rsidRDefault="0099433A" w:rsidP="0099433A">
      <w:r>
        <w:t xml:space="preserve">People with Disability Australia discourages the use of the term “people with lived experience of disability” as used in this section for a number of reasons: </w:t>
      </w:r>
    </w:p>
    <w:p w14:paraId="57989D12" w14:textId="77777777" w:rsidR="0099433A" w:rsidRPr="0099433A" w:rsidRDefault="0099433A" w:rsidP="0099433A">
      <w:pPr>
        <w:pStyle w:val="ListParagraph"/>
        <w:numPr>
          <w:ilvl w:val="0"/>
          <w:numId w:val="9"/>
        </w:numPr>
      </w:pPr>
      <w:r w:rsidRPr="0099433A">
        <w:t xml:space="preserve">It is a general term and conflates the experience of </w:t>
      </w:r>
      <w:r>
        <w:t>people without disability</w:t>
      </w:r>
      <w:r w:rsidRPr="0099433A">
        <w:t xml:space="preserve"> with that of people with disability</w:t>
      </w:r>
    </w:p>
    <w:p w14:paraId="14CE8F50" w14:textId="77777777" w:rsidR="0099433A" w:rsidRPr="0099433A" w:rsidRDefault="0099433A" w:rsidP="0099433A">
      <w:pPr>
        <w:pStyle w:val="ListParagraph"/>
        <w:numPr>
          <w:ilvl w:val="0"/>
          <w:numId w:val="9"/>
        </w:numPr>
      </w:pPr>
      <w:r w:rsidRPr="0099433A">
        <w:t>It is often used to refer to family members or partners of people with disability, in which case it is better to be specific that this is what is meant</w:t>
      </w:r>
    </w:p>
    <w:p w14:paraId="535CA662" w14:textId="496F1FD0" w:rsidR="0099433A" w:rsidRDefault="0099433A" w:rsidP="0099433A">
      <w:pPr>
        <w:pStyle w:val="ListParagraph"/>
        <w:numPr>
          <w:ilvl w:val="0"/>
          <w:numId w:val="9"/>
        </w:numPr>
      </w:pPr>
      <w:r w:rsidRPr="0099433A">
        <w:t>In a policy context it has the potential to override the primacy of the experiences of people with disability in favour of a much broader group of people who have ‘lived experience’ (</w:t>
      </w:r>
      <w:r>
        <w:t>such as</w:t>
      </w:r>
      <w:r w:rsidRPr="0099433A">
        <w:t xml:space="preserve"> workers, </w:t>
      </w:r>
      <w:r>
        <w:t xml:space="preserve">carers, </w:t>
      </w:r>
      <w:r w:rsidRPr="0099433A">
        <w:t xml:space="preserve">family members, friends </w:t>
      </w:r>
      <w:r w:rsidR="00235D6D" w:rsidRPr="0099433A">
        <w:t>etc.</w:t>
      </w:r>
      <w:r w:rsidRPr="0099433A">
        <w:t xml:space="preserve">). In creating this broad category the power dynamics between people with disability and people in other roles are easily erased. The social practice of erasing the experiences of people with disability in favour of having others speak for </w:t>
      </w:r>
      <w:r>
        <w:t>us</w:t>
      </w:r>
      <w:r w:rsidRPr="0099433A">
        <w:t xml:space="preserve"> is thus </w:t>
      </w:r>
      <w:r>
        <w:t>perpetuated</w:t>
      </w:r>
      <w:r w:rsidRPr="0099433A">
        <w:t xml:space="preserve">. </w:t>
      </w:r>
    </w:p>
    <w:p w14:paraId="324B7EA7" w14:textId="108E7649" w:rsidR="002737A0" w:rsidRPr="0099433A" w:rsidRDefault="002737A0" w:rsidP="0099433A">
      <w:pPr>
        <w:pStyle w:val="ListParagraph"/>
        <w:numPr>
          <w:ilvl w:val="0"/>
          <w:numId w:val="9"/>
        </w:numPr>
      </w:pPr>
      <w:r>
        <w:t xml:space="preserve">Our interests and rights may conflict with others included in the category of ‘lived experience’, such as parents, carers or service providers. An example is in the use of restrictive practices. Again, the terminology of ‘lived experience’ has the potential to render this conflict of interest invisible.  </w:t>
      </w:r>
    </w:p>
    <w:p w14:paraId="2467F1E4" w14:textId="5D5A8FD6" w:rsidR="0099433A" w:rsidRPr="0099433A" w:rsidRDefault="002737A0" w:rsidP="0099433A">
      <w:pPr>
        <w:pStyle w:val="ListParagraph"/>
        <w:numPr>
          <w:ilvl w:val="0"/>
          <w:numId w:val="9"/>
        </w:numPr>
      </w:pPr>
      <w:r>
        <w:t>Similarly,</w:t>
      </w:r>
      <w:r w:rsidR="0099433A" w:rsidRPr="0099433A">
        <w:t xml:space="preserve"> the experiences of people in these categories will be different in important ways. Parents of a person with disability are not the direct targets of ableism, but rather will experience the impact of </w:t>
      </w:r>
      <w:r w:rsidR="0099433A">
        <w:t>ableism</w:t>
      </w:r>
      <w:r w:rsidR="0099433A" w:rsidRPr="0099433A">
        <w:t xml:space="preserve"> on their child, for example if a child is excluded from the </w:t>
      </w:r>
      <w:r w:rsidR="0099433A">
        <w:t xml:space="preserve">mainstream </w:t>
      </w:r>
      <w:r w:rsidR="0099433A" w:rsidRPr="0099433A">
        <w:t>school system and this impacts the p</w:t>
      </w:r>
      <w:r w:rsidR="0099433A">
        <w:t>arents’ capacity to work, causing</w:t>
      </w:r>
      <w:r w:rsidR="0099433A" w:rsidRPr="0099433A">
        <w:t xml:space="preserve"> </w:t>
      </w:r>
      <w:r w:rsidR="0099433A">
        <w:t>them to come into conflict with education workers and</w:t>
      </w:r>
      <w:r w:rsidR="0099433A" w:rsidRPr="0099433A">
        <w:t xml:space="preserve"> systems, and </w:t>
      </w:r>
      <w:r w:rsidR="0099433A">
        <w:t>affecting</w:t>
      </w:r>
      <w:r w:rsidR="0099433A" w:rsidRPr="0099433A">
        <w:t xml:space="preserve"> them emotionally. The child’s right to an education is </w:t>
      </w:r>
      <w:r w:rsidR="0099433A">
        <w:t xml:space="preserve">denied or </w:t>
      </w:r>
      <w:r w:rsidR="0099433A" w:rsidRPr="0099433A">
        <w:t xml:space="preserve">violated, and this violation also impacts </w:t>
      </w:r>
      <w:r w:rsidR="0099433A">
        <w:t>their family</w:t>
      </w:r>
      <w:r w:rsidR="0099433A" w:rsidRPr="0099433A">
        <w:t xml:space="preserve">. Distinguishing the experiences in terms of direct and indirect impact helps us to properly prioritise and address the impacts of violations. </w:t>
      </w:r>
    </w:p>
    <w:p w14:paraId="42B78E12" w14:textId="77777777" w:rsidR="0099433A" w:rsidRPr="0099433A" w:rsidRDefault="0099433A" w:rsidP="0099433A"/>
    <w:p w14:paraId="16D22501" w14:textId="77777777" w:rsidR="0002576F" w:rsidRDefault="0002576F" w:rsidP="0002576F">
      <w:pPr>
        <w:pStyle w:val="Heading2"/>
      </w:pPr>
      <w:r>
        <w:t xml:space="preserve">Staff education </w:t>
      </w:r>
    </w:p>
    <w:p w14:paraId="16E25063" w14:textId="77777777" w:rsidR="0084587B" w:rsidRPr="00AF5C6F" w:rsidRDefault="0024114D" w:rsidP="0084587B">
      <w:pPr>
        <w:rPr>
          <w:rFonts w:eastAsia="Times New Roman"/>
          <w:bCs/>
          <w:lang w:val="en-GB"/>
        </w:rPr>
      </w:pPr>
      <w:r>
        <w:t xml:space="preserve">PWDA supports the provision of disability awareness training for all staff. </w:t>
      </w:r>
      <w:r>
        <w:rPr>
          <w:rFonts w:eastAsia="Times New Roman"/>
          <w:bCs/>
          <w:lang w:val="en-GB"/>
        </w:rPr>
        <w:t xml:space="preserve">The Strategy should state that this training will be developed and provided by DPOs, and focus on disability rights, as well as awareness, and the Convention on the Rights of Persons with Disabilities. Training should be refreshed every year. </w:t>
      </w:r>
    </w:p>
    <w:p w14:paraId="0332A236" w14:textId="77777777" w:rsidR="0002576F" w:rsidRDefault="0002576F" w:rsidP="0002576F">
      <w:pPr>
        <w:pStyle w:val="Heading2"/>
      </w:pPr>
      <w:r>
        <w:lastRenderedPageBreak/>
        <w:t>Ensuring accessible communication</w:t>
      </w:r>
    </w:p>
    <w:p w14:paraId="4885A697" w14:textId="77777777" w:rsidR="00334904" w:rsidRDefault="00334904" w:rsidP="0024114D">
      <w:pPr>
        <w:rPr>
          <w:rFonts w:eastAsia="Times New Roman"/>
          <w:bCs/>
          <w:lang w:val="en-GB"/>
        </w:rPr>
      </w:pPr>
      <w:r>
        <w:rPr>
          <w:rFonts w:eastAsia="Times New Roman"/>
          <w:bCs/>
          <w:lang w:val="en-GB"/>
        </w:rPr>
        <w:t>It is essential that people with disability can contribute to the Royal Commission in any mode of communication that works for them. The principle</w:t>
      </w:r>
      <w:r w:rsidR="008426D7">
        <w:rPr>
          <w:rFonts w:eastAsia="Times New Roman"/>
          <w:bCs/>
          <w:lang w:val="en-GB"/>
        </w:rPr>
        <w:t xml:space="preserve"> adopted by the Strategy and the Royal Commission</w:t>
      </w:r>
      <w:r>
        <w:rPr>
          <w:rFonts w:eastAsia="Times New Roman"/>
          <w:bCs/>
          <w:lang w:val="en-GB"/>
        </w:rPr>
        <w:t xml:space="preserve"> must be that there is no one correct </w:t>
      </w:r>
      <w:r w:rsidR="008426D7">
        <w:rPr>
          <w:rFonts w:eastAsia="Times New Roman"/>
          <w:bCs/>
          <w:lang w:val="en-GB"/>
        </w:rPr>
        <w:t>accessible solution. M</w:t>
      </w:r>
      <w:r>
        <w:rPr>
          <w:rFonts w:eastAsia="Times New Roman"/>
          <w:bCs/>
          <w:lang w:val="en-GB"/>
        </w:rPr>
        <w:t xml:space="preserve">any </w:t>
      </w:r>
      <w:r w:rsidR="00B144FA">
        <w:rPr>
          <w:rFonts w:eastAsia="Times New Roman"/>
          <w:bCs/>
          <w:lang w:val="en-GB"/>
        </w:rPr>
        <w:t xml:space="preserve">available </w:t>
      </w:r>
      <w:r>
        <w:rPr>
          <w:rFonts w:eastAsia="Times New Roman"/>
          <w:bCs/>
          <w:lang w:val="en-GB"/>
        </w:rPr>
        <w:t xml:space="preserve">formats, an adaptable and flexible approach, and an engaged, creative and willing staff and leadership will be essential to making sure everyone can access the Royal Commission. </w:t>
      </w:r>
    </w:p>
    <w:p w14:paraId="4A54D8CE" w14:textId="77777777" w:rsidR="0024114D" w:rsidRDefault="00334904" w:rsidP="0024114D">
      <w:pPr>
        <w:rPr>
          <w:rFonts w:eastAsia="Times New Roman"/>
          <w:bCs/>
          <w:lang w:val="en-GB"/>
        </w:rPr>
      </w:pPr>
      <w:r>
        <w:rPr>
          <w:rFonts w:eastAsia="Times New Roman"/>
          <w:bCs/>
          <w:lang w:val="en-GB"/>
        </w:rPr>
        <w:t>Thus the Strategy should include the sentence: “</w:t>
      </w:r>
      <w:r w:rsidR="0024114D">
        <w:rPr>
          <w:rFonts w:eastAsia="Times New Roman"/>
          <w:bCs/>
          <w:lang w:val="en-GB"/>
        </w:rPr>
        <w:t>In addition, the RC will accept submissions from people with disability in any format, including creative and expressive forms. No submission will be turned away becaus</w:t>
      </w:r>
      <w:r>
        <w:rPr>
          <w:rFonts w:eastAsia="Times New Roman"/>
          <w:bCs/>
          <w:lang w:val="en-GB"/>
        </w:rPr>
        <w:t xml:space="preserve">e it is in an incorrect format.” Making this commitment is essential to building trust with people with disability and setting a standard for staff of the Royal Commission. </w:t>
      </w:r>
    </w:p>
    <w:p w14:paraId="340E4189" w14:textId="77777777" w:rsidR="00334904" w:rsidRDefault="00334904" w:rsidP="0024114D">
      <w:pPr>
        <w:rPr>
          <w:rFonts w:eastAsia="Times New Roman"/>
          <w:bCs/>
          <w:lang w:val="en-GB"/>
        </w:rPr>
      </w:pPr>
      <w:r>
        <w:rPr>
          <w:rFonts w:eastAsia="Times New Roman"/>
          <w:bCs/>
          <w:lang w:val="en-GB"/>
        </w:rPr>
        <w:t xml:space="preserve">Other accessible communication principles to include in the Strategy are as follows: </w:t>
      </w:r>
    </w:p>
    <w:p w14:paraId="21F4F16C" w14:textId="77777777" w:rsidR="0024114D" w:rsidRPr="00334904" w:rsidRDefault="00334904" w:rsidP="00334904">
      <w:pPr>
        <w:pStyle w:val="ListParagraph"/>
        <w:numPr>
          <w:ilvl w:val="0"/>
          <w:numId w:val="9"/>
        </w:numPr>
        <w:rPr>
          <w:rFonts w:eastAsia="Times New Roman"/>
          <w:bCs/>
          <w:lang w:val="en-GB"/>
        </w:rPr>
      </w:pPr>
      <w:r>
        <w:rPr>
          <w:rFonts w:eastAsia="Times New Roman"/>
          <w:bCs/>
          <w:lang w:val="en-GB"/>
        </w:rPr>
        <w:t>Providing</w:t>
      </w:r>
      <w:r w:rsidR="0024114D" w:rsidRPr="00334904">
        <w:rPr>
          <w:rFonts w:eastAsia="Times New Roman"/>
          <w:bCs/>
          <w:lang w:val="en-GB"/>
        </w:rPr>
        <w:t xml:space="preserve"> webcast captions fo</w:t>
      </w:r>
      <w:r>
        <w:rPr>
          <w:rFonts w:eastAsia="Times New Roman"/>
          <w:bCs/>
          <w:lang w:val="en-GB"/>
        </w:rPr>
        <w:t>r all public broadcast sessions</w:t>
      </w:r>
    </w:p>
    <w:p w14:paraId="4CDE8F1B" w14:textId="77777777" w:rsidR="0024114D" w:rsidRPr="00334904" w:rsidRDefault="0024114D" w:rsidP="00334904">
      <w:pPr>
        <w:pStyle w:val="ListParagraph"/>
        <w:numPr>
          <w:ilvl w:val="0"/>
          <w:numId w:val="9"/>
        </w:numPr>
        <w:spacing w:after="0" w:line="240" w:lineRule="auto"/>
        <w:rPr>
          <w:rFonts w:eastAsia="Times New Roman"/>
          <w:lang w:val="en-GB"/>
        </w:rPr>
      </w:pPr>
      <w:r w:rsidRPr="00334904">
        <w:rPr>
          <w:rFonts w:eastAsia="Times New Roman"/>
          <w:lang w:val="en-GB"/>
        </w:rPr>
        <w:t>Documents:   </w:t>
      </w:r>
    </w:p>
    <w:p w14:paraId="1124D49B" w14:textId="77777777" w:rsidR="0024114D" w:rsidRDefault="00334904" w:rsidP="0024114D">
      <w:pPr>
        <w:numPr>
          <w:ilvl w:val="1"/>
          <w:numId w:val="10"/>
        </w:numPr>
        <w:spacing w:after="0" w:line="240" w:lineRule="auto"/>
        <w:rPr>
          <w:rFonts w:eastAsia="Times New Roman"/>
          <w:lang w:val="en-GB"/>
        </w:rPr>
      </w:pPr>
      <w:r>
        <w:rPr>
          <w:rFonts w:eastAsia="Times New Roman"/>
          <w:lang w:val="en-GB"/>
        </w:rPr>
        <w:t>We are pleased</w:t>
      </w:r>
      <w:r w:rsidR="0024114D">
        <w:rPr>
          <w:rFonts w:eastAsia="Times New Roman"/>
          <w:lang w:val="en-GB"/>
        </w:rPr>
        <w:t xml:space="preserve"> to see </w:t>
      </w:r>
      <w:r>
        <w:rPr>
          <w:rFonts w:eastAsia="Times New Roman"/>
          <w:lang w:val="en-GB"/>
        </w:rPr>
        <w:t>the Royal Commission</w:t>
      </w:r>
      <w:r w:rsidR="0024114D">
        <w:rPr>
          <w:rFonts w:eastAsia="Times New Roman"/>
          <w:lang w:val="en-GB"/>
        </w:rPr>
        <w:t xml:space="preserve"> doing PDF, </w:t>
      </w:r>
      <w:r>
        <w:rPr>
          <w:rFonts w:eastAsia="Times New Roman"/>
          <w:lang w:val="en-GB"/>
        </w:rPr>
        <w:t>Word documents</w:t>
      </w:r>
      <w:r w:rsidR="0024114D">
        <w:rPr>
          <w:rFonts w:eastAsia="Times New Roman"/>
          <w:lang w:val="en-GB"/>
        </w:rPr>
        <w:t xml:space="preserve"> and building in accessibility requirements in guidelines</w:t>
      </w:r>
    </w:p>
    <w:p w14:paraId="4CFCF0F6" w14:textId="77777777" w:rsidR="0024114D" w:rsidRDefault="0024114D" w:rsidP="0024114D">
      <w:pPr>
        <w:numPr>
          <w:ilvl w:val="1"/>
          <w:numId w:val="10"/>
        </w:numPr>
        <w:spacing w:after="0" w:line="240" w:lineRule="auto"/>
        <w:rPr>
          <w:rFonts w:eastAsia="Times New Roman"/>
          <w:lang w:val="en-GB"/>
        </w:rPr>
      </w:pPr>
      <w:r>
        <w:rPr>
          <w:rFonts w:eastAsia="Times New Roman"/>
          <w:lang w:val="en-GB"/>
        </w:rPr>
        <w:t>PDF</w:t>
      </w:r>
      <w:r w:rsidR="00334904">
        <w:rPr>
          <w:rFonts w:eastAsia="Times New Roman"/>
          <w:lang w:val="en-GB"/>
        </w:rPr>
        <w:t>s must have a</w:t>
      </w:r>
      <w:r>
        <w:rPr>
          <w:rFonts w:eastAsia="Times New Roman"/>
          <w:lang w:val="en-GB"/>
        </w:rPr>
        <w:t xml:space="preserve"> standard requirement </w:t>
      </w:r>
      <w:r w:rsidR="00334904">
        <w:rPr>
          <w:rFonts w:eastAsia="Times New Roman"/>
          <w:lang w:val="en-GB"/>
        </w:rPr>
        <w:t>for</w:t>
      </w:r>
      <w:r>
        <w:rPr>
          <w:rFonts w:eastAsia="Times New Roman"/>
          <w:lang w:val="en-GB"/>
        </w:rPr>
        <w:t xml:space="preserve"> in-built accessible PDF features and all PDF Documents </w:t>
      </w:r>
      <w:r w:rsidR="00334904">
        <w:rPr>
          <w:rFonts w:eastAsia="Times New Roman"/>
          <w:lang w:val="en-GB"/>
        </w:rPr>
        <w:t xml:space="preserve">should </w:t>
      </w:r>
      <w:r>
        <w:rPr>
          <w:rFonts w:eastAsia="Times New Roman"/>
          <w:lang w:val="en-GB"/>
        </w:rPr>
        <w:t xml:space="preserve">pass Adobe’s accessibility check as </w:t>
      </w:r>
      <w:r w:rsidR="00334904">
        <w:rPr>
          <w:rFonts w:eastAsia="Times New Roman"/>
          <w:lang w:val="en-GB"/>
        </w:rPr>
        <w:t xml:space="preserve">a </w:t>
      </w:r>
      <w:r>
        <w:rPr>
          <w:rFonts w:eastAsia="Times New Roman"/>
          <w:lang w:val="en-GB"/>
        </w:rPr>
        <w:t>minimum</w:t>
      </w:r>
    </w:p>
    <w:p w14:paraId="54A5B880" w14:textId="77777777" w:rsidR="00DF11A7" w:rsidRDefault="00334904" w:rsidP="00DF11A7">
      <w:pPr>
        <w:numPr>
          <w:ilvl w:val="1"/>
          <w:numId w:val="10"/>
        </w:numPr>
        <w:spacing w:after="0" w:line="240" w:lineRule="auto"/>
        <w:rPr>
          <w:rFonts w:eastAsia="Times New Roman"/>
          <w:lang w:val="en-GB"/>
        </w:rPr>
      </w:pPr>
      <w:r>
        <w:rPr>
          <w:rFonts w:eastAsia="Times New Roman"/>
          <w:lang w:val="en-GB"/>
        </w:rPr>
        <w:t>Provision of a</w:t>
      </w:r>
      <w:r w:rsidR="0024114D">
        <w:rPr>
          <w:rFonts w:eastAsia="Times New Roman"/>
          <w:lang w:val="en-GB"/>
        </w:rPr>
        <w:t>ccessible PDF, Word and HTML sta</w:t>
      </w:r>
      <w:r>
        <w:rPr>
          <w:rFonts w:eastAsia="Times New Roman"/>
          <w:lang w:val="en-GB"/>
        </w:rPr>
        <w:t>ndard is ideal, even for forms</w:t>
      </w:r>
    </w:p>
    <w:p w14:paraId="1BE03BE5" w14:textId="74A3D8B2" w:rsidR="0024114D" w:rsidRPr="00DF11A7" w:rsidRDefault="00334904" w:rsidP="00DF11A7">
      <w:pPr>
        <w:numPr>
          <w:ilvl w:val="1"/>
          <w:numId w:val="10"/>
        </w:numPr>
        <w:spacing w:after="0" w:line="240" w:lineRule="auto"/>
        <w:rPr>
          <w:rFonts w:eastAsia="Times New Roman"/>
          <w:lang w:val="en-GB"/>
        </w:rPr>
      </w:pPr>
      <w:r w:rsidRPr="00DF11A7">
        <w:rPr>
          <w:rFonts w:eastAsia="Times New Roman"/>
          <w:lang w:val="en-GB"/>
        </w:rPr>
        <w:t>While a</w:t>
      </w:r>
      <w:r w:rsidR="0024114D" w:rsidRPr="00DF11A7">
        <w:rPr>
          <w:rFonts w:eastAsia="Times New Roman"/>
          <w:lang w:val="en-GB"/>
        </w:rPr>
        <w:t xml:space="preserve"> scan of the </w:t>
      </w:r>
      <w:r w:rsidRPr="00DF11A7">
        <w:rPr>
          <w:rFonts w:eastAsia="Times New Roman"/>
          <w:lang w:val="en-GB"/>
        </w:rPr>
        <w:t>Royal Commission’s</w:t>
      </w:r>
      <w:r w:rsidR="0024114D" w:rsidRPr="00DF11A7">
        <w:rPr>
          <w:rFonts w:eastAsia="Times New Roman"/>
          <w:lang w:val="en-GB"/>
        </w:rPr>
        <w:t xml:space="preserve"> current documents has been </w:t>
      </w:r>
      <w:r w:rsidRPr="00DF11A7">
        <w:rPr>
          <w:rFonts w:eastAsia="Times New Roman"/>
          <w:lang w:val="en-GB"/>
        </w:rPr>
        <w:t>positive, s</w:t>
      </w:r>
      <w:r w:rsidR="0024114D" w:rsidRPr="00DF11A7">
        <w:rPr>
          <w:rFonts w:eastAsia="Times New Roman"/>
          <w:lang w:val="en-GB"/>
        </w:rPr>
        <w:t xml:space="preserve">ome have come up with some minor problems around tagged content link descriptions such as </w:t>
      </w:r>
      <w:hyperlink r:id="rId8" w:history="1">
        <w:r w:rsidR="0024114D" w:rsidRPr="00DF11A7">
          <w:rPr>
            <w:rStyle w:val="Hyperlink"/>
            <w:rFonts w:eastAsia="Times New Roman"/>
            <w:lang w:val="en-GB"/>
          </w:rPr>
          <w:t>Fact sheets</w:t>
        </w:r>
      </w:hyperlink>
      <w:r w:rsidRPr="00DF11A7">
        <w:rPr>
          <w:rFonts w:eastAsia="Times New Roman"/>
          <w:lang w:val="en-GB"/>
        </w:rPr>
        <w:t>. The</w:t>
      </w:r>
      <w:r w:rsidR="0024114D" w:rsidRPr="00DF11A7">
        <w:rPr>
          <w:rFonts w:eastAsia="Times New Roman"/>
          <w:lang w:val="en-GB"/>
        </w:rPr>
        <w:t xml:space="preserve"> </w:t>
      </w:r>
      <w:hyperlink r:id="rId9" w:history="1">
        <w:r w:rsidR="0024114D" w:rsidRPr="00DF11A7">
          <w:rPr>
            <w:rStyle w:val="Hyperlink"/>
            <w:rFonts w:eastAsia="Times New Roman"/>
            <w:lang w:val="en-GB"/>
          </w:rPr>
          <w:t>Letters Patent</w:t>
        </w:r>
      </w:hyperlink>
      <w:r w:rsidR="0024114D" w:rsidRPr="00DF11A7">
        <w:rPr>
          <w:rFonts w:eastAsia="Times New Roman"/>
          <w:lang w:val="en-GB"/>
        </w:rPr>
        <w:t xml:space="preserve"> is a scan and</w:t>
      </w:r>
      <w:r w:rsidRPr="00DF11A7">
        <w:rPr>
          <w:rFonts w:eastAsia="Times New Roman"/>
          <w:lang w:val="en-GB"/>
        </w:rPr>
        <w:t xml:space="preserve"> thus</w:t>
      </w:r>
      <w:r w:rsidR="0024114D" w:rsidRPr="00DF11A7">
        <w:rPr>
          <w:rFonts w:eastAsia="Times New Roman"/>
          <w:lang w:val="en-GB"/>
        </w:rPr>
        <w:t xml:space="preserve"> inaccessible</w:t>
      </w:r>
      <w:r w:rsidRPr="00DF11A7">
        <w:rPr>
          <w:rFonts w:eastAsia="Times New Roman"/>
          <w:lang w:val="en-GB"/>
        </w:rPr>
        <w:t xml:space="preserve">. </w:t>
      </w:r>
      <w:r w:rsidR="0024114D" w:rsidRPr="00DF11A7">
        <w:rPr>
          <w:rFonts w:eastAsia="Times New Roman"/>
          <w:lang w:val="en-GB"/>
        </w:rPr>
        <w:t xml:space="preserve"> </w:t>
      </w:r>
    </w:p>
    <w:p w14:paraId="04668A4D" w14:textId="77777777" w:rsidR="0024114D" w:rsidRPr="00334904" w:rsidRDefault="0024114D" w:rsidP="00334904">
      <w:pPr>
        <w:pStyle w:val="ListParagraph"/>
        <w:numPr>
          <w:ilvl w:val="0"/>
          <w:numId w:val="9"/>
        </w:numPr>
        <w:spacing w:after="0" w:line="240" w:lineRule="auto"/>
        <w:rPr>
          <w:rFonts w:eastAsia="Times New Roman"/>
          <w:lang w:val="en-GB"/>
        </w:rPr>
      </w:pPr>
      <w:r w:rsidRPr="00334904">
        <w:rPr>
          <w:rFonts w:eastAsia="Times New Roman"/>
          <w:lang w:val="en-GB"/>
        </w:rPr>
        <w:t>Web</w:t>
      </w:r>
      <w:r w:rsidR="00334904">
        <w:rPr>
          <w:rFonts w:eastAsia="Times New Roman"/>
          <w:lang w:val="en-GB"/>
        </w:rPr>
        <w:t>:</w:t>
      </w:r>
    </w:p>
    <w:p w14:paraId="6CD451BC" w14:textId="77777777" w:rsidR="0024114D" w:rsidRDefault="00334904" w:rsidP="0024114D">
      <w:pPr>
        <w:numPr>
          <w:ilvl w:val="1"/>
          <w:numId w:val="10"/>
        </w:numPr>
        <w:spacing w:after="0" w:line="240" w:lineRule="auto"/>
        <w:rPr>
          <w:rFonts w:eastAsia="Times New Roman"/>
          <w:lang w:val="en-GB"/>
        </w:rPr>
      </w:pPr>
      <w:r>
        <w:rPr>
          <w:rFonts w:eastAsia="Times New Roman"/>
          <w:lang w:val="en-GB"/>
        </w:rPr>
        <w:t>The Royal Commission should</w:t>
      </w:r>
      <w:r w:rsidR="0024114D">
        <w:rPr>
          <w:rFonts w:eastAsia="Times New Roman"/>
          <w:lang w:val="en-GB"/>
        </w:rPr>
        <w:t xml:space="preserve"> meet </w:t>
      </w:r>
      <w:r>
        <w:rPr>
          <w:rFonts w:eastAsia="Times New Roman"/>
          <w:lang w:val="en-GB"/>
        </w:rPr>
        <w:t>the</w:t>
      </w:r>
      <w:r w:rsidR="00B25871">
        <w:rPr>
          <w:rFonts w:eastAsia="Times New Roman"/>
          <w:lang w:val="en-GB"/>
        </w:rPr>
        <w:t xml:space="preserve"> WCAG 2.1 AAA requirements.</w:t>
      </w:r>
      <w:r w:rsidR="0024114D">
        <w:rPr>
          <w:rFonts w:eastAsia="Times New Roman"/>
          <w:lang w:val="en-GB"/>
        </w:rPr>
        <w:t xml:space="preserve"> </w:t>
      </w:r>
      <w:r w:rsidR="00B25871">
        <w:rPr>
          <w:rFonts w:eastAsia="Times New Roman"/>
          <w:lang w:val="en-GB"/>
        </w:rPr>
        <w:t>While</w:t>
      </w:r>
      <w:r w:rsidR="0024114D">
        <w:rPr>
          <w:rFonts w:eastAsia="Times New Roman"/>
          <w:lang w:val="en-GB"/>
        </w:rPr>
        <w:t xml:space="preserve"> it is above the Digital Transformation Agency’s requirement under the </w:t>
      </w:r>
      <w:hyperlink r:id="rId10" w:history="1">
        <w:r w:rsidR="0024114D">
          <w:rPr>
            <w:rStyle w:val="Hyperlink"/>
            <w:rFonts w:eastAsia="Times New Roman"/>
            <w:lang w:val="en-GB"/>
          </w:rPr>
          <w:t>Digital Service Standard</w:t>
        </w:r>
      </w:hyperlink>
      <w:r w:rsidR="00B25871">
        <w:rPr>
          <w:rFonts w:eastAsia="Times New Roman"/>
          <w:lang w:val="en-GB"/>
        </w:rPr>
        <w:t>, it is essential that the Royal Commission aim for best practice</w:t>
      </w:r>
      <w:r w:rsidR="0024114D">
        <w:rPr>
          <w:rFonts w:eastAsia="Times New Roman"/>
          <w:lang w:val="en-GB"/>
        </w:rPr>
        <w:t>.</w:t>
      </w:r>
    </w:p>
    <w:p w14:paraId="2850881E" w14:textId="77777777" w:rsidR="0024114D" w:rsidRDefault="00B25871" w:rsidP="0024114D">
      <w:pPr>
        <w:numPr>
          <w:ilvl w:val="1"/>
          <w:numId w:val="10"/>
        </w:numPr>
        <w:spacing w:after="0" w:line="240" w:lineRule="auto"/>
        <w:rPr>
          <w:rFonts w:eastAsia="Times New Roman"/>
          <w:lang w:val="en-GB"/>
        </w:rPr>
      </w:pPr>
      <w:r>
        <w:rPr>
          <w:rFonts w:eastAsia="Times New Roman"/>
          <w:lang w:val="en-GB"/>
        </w:rPr>
        <w:t>The website’s</w:t>
      </w:r>
      <w:r w:rsidR="0024114D">
        <w:rPr>
          <w:rFonts w:eastAsia="Times New Roman"/>
          <w:lang w:val="en-GB"/>
        </w:rPr>
        <w:t xml:space="preserve"> accessibility statement </w:t>
      </w:r>
      <w:r>
        <w:rPr>
          <w:rFonts w:eastAsia="Times New Roman"/>
          <w:lang w:val="en-GB"/>
        </w:rPr>
        <w:t xml:space="preserve">should </w:t>
      </w:r>
      <w:r w:rsidR="0024114D">
        <w:rPr>
          <w:rFonts w:eastAsia="Times New Roman"/>
          <w:lang w:val="en-GB"/>
        </w:rPr>
        <w:t>detail exactly what “universal guidelines” it is adhering to and to what level</w:t>
      </w:r>
    </w:p>
    <w:p w14:paraId="3482B340" w14:textId="77777777" w:rsidR="0024114D" w:rsidRPr="006A3361" w:rsidRDefault="006A3361" w:rsidP="006A3361">
      <w:pPr>
        <w:numPr>
          <w:ilvl w:val="1"/>
          <w:numId w:val="10"/>
        </w:numPr>
        <w:spacing w:after="0" w:line="240" w:lineRule="auto"/>
        <w:rPr>
          <w:rFonts w:eastAsia="Times New Roman"/>
          <w:lang w:val="en-GB"/>
        </w:rPr>
      </w:pPr>
      <w:r>
        <w:rPr>
          <w:rFonts w:eastAsia="Times New Roman"/>
          <w:lang w:val="en-GB"/>
        </w:rPr>
        <w:t>Web design should also take psychosocial disability and trauma into account, and avoid creating unnecessary pressure or ‘dark patterns’ (see for e</w:t>
      </w:r>
      <w:r w:rsidRPr="006A3361">
        <w:rPr>
          <w:rFonts w:eastAsia="Times New Roman"/>
          <w:lang w:val="en-GB"/>
        </w:rPr>
        <w:t xml:space="preserve">xample: </w:t>
      </w:r>
      <w:hyperlink r:id="rId11" w:history="1">
        <w:r w:rsidR="0024114D" w:rsidRPr="006A3361">
          <w:rPr>
            <w:rStyle w:val="Hyperlink"/>
            <w:rFonts w:eastAsia="Times New Roman"/>
            <w:lang w:val="en-GB"/>
          </w:rPr>
          <w:t>Considering psychosocial disab</w:t>
        </w:r>
        <w:r w:rsidR="0024114D" w:rsidRPr="006A3361">
          <w:rPr>
            <w:rStyle w:val="Hyperlink"/>
            <w:rFonts w:eastAsia="Times New Roman"/>
            <w:lang w:val="en-GB"/>
          </w:rPr>
          <w:t>ility in web design</w:t>
        </w:r>
      </w:hyperlink>
      <w:r w:rsidRPr="006A3361">
        <w:rPr>
          <w:rFonts w:eastAsia="Times New Roman"/>
          <w:lang w:val="en-GB"/>
        </w:rPr>
        <w:t xml:space="preserve">). </w:t>
      </w:r>
    </w:p>
    <w:p w14:paraId="15237B9D" w14:textId="77777777" w:rsidR="0024114D" w:rsidRPr="0024114D" w:rsidRDefault="0024114D" w:rsidP="0024114D"/>
    <w:p w14:paraId="0D49F5F4" w14:textId="77777777" w:rsidR="0002576F" w:rsidRDefault="0002576F" w:rsidP="0002576F">
      <w:pPr>
        <w:pStyle w:val="Heading2"/>
      </w:pPr>
      <w:r>
        <w:lastRenderedPageBreak/>
        <w:t>Accessible engagement for people with disability</w:t>
      </w:r>
    </w:p>
    <w:p w14:paraId="696D42CB" w14:textId="77777777" w:rsidR="00B25871" w:rsidRDefault="00B25871" w:rsidP="00B25871">
      <w:pPr>
        <w:pStyle w:val="Heading3"/>
      </w:pPr>
      <w:r>
        <w:t>Enabling people to engage with us in the way they choose</w:t>
      </w:r>
    </w:p>
    <w:p w14:paraId="1FA84595" w14:textId="77777777" w:rsidR="008426D7" w:rsidRDefault="008426D7" w:rsidP="008426D7">
      <w:r>
        <w:t xml:space="preserve">PWDA reiterates that there must be no wrong way to make a submission to the Royal Commission, and that a flexible and willing approach is essential to true, consistent access and inclusion. </w:t>
      </w:r>
    </w:p>
    <w:p w14:paraId="158224D2" w14:textId="77777777" w:rsidR="008426D7" w:rsidRDefault="008426D7" w:rsidP="008426D7">
      <w:r>
        <w:t xml:space="preserve">We commend the </w:t>
      </w:r>
      <w:r w:rsidR="00264C81">
        <w:t>statement that</w:t>
      </w:r>
      <w:r>
        <w:t xml:space="preserve"> a flexible approach</w:t>
      </w:r>
      <w:r w:rsidR="00264C81">
        <w:t xml:space="preserve"> will be taken</w:t>
      </w:r>
      <w:r>
        <w:t xml:space="preserve"> to time and length of sessions, and recommend that the Strategy acknowledge that people will be provided with additional time where needed. </w:t>
      </w:r>
    </w:p>
    <w:p w14:paraId="3CCB4EE7" w14:textId="77777777" w:rsidR="008426D7" w:rsidRPr="008426D7" w:rsidRDefault="008426D7" w:rsidP="008426D7">
      <w:r>
        <w:t xml:space="preserve">It must be assumed that people have will and preference (choice and control) and supports should be provided to ensure this. We recommend that the term “where they are able to do so” be removed from this section to avoid questions of capacity clouding the obligation to provide supports. </w:t>
      </w:r>
    </w:p>
    <w:p w14:paraId="5E9EB9C0" w14:textId="77777777" w:rsidR="00B25871" w:rsidRDefault="00B25871" w:rsidP="00B25871">
      <w:pPr>
        <w:pStyle w:val="Heading3"/>
      </w:pPr>
      <w:r>
        <w:t>Supported decision making</w:t>
      </w:r>
    </w:p>
    <w:p w14:paraId="0A48DFAF" w14:textId="77777777" w:rsidR="008426D7" w:rsidRDefault="00264C81" w:rsidP="008426D7">
      <w:r>
        <w:t xml:space="preserve">It is important that the Strategy and the Royal Commission recognise and promote </w:t>
      </w:r>
      <w:r w:rsidR="00AF5C6F">
        <w:t>self-advocacy</w:t>
      </w:r>
      <w:r>
        <w:t xml:space="preserve"> and self-determination as the first step in supporting our decision making. While independent advocacy is essential and must be available, a default position of encouraging people to think through and express their will and preference, is the first step. </w:t>
      </w:r>
    </w:p>
    <w:p w14:paraId="28B9E364" w14:textId="77777777" w:rsidR="00264C81" w:rsidRPr="008426D7" w:rsidRDefault="00264C81" w:rsidP="008426D7">
      <w:r>
        <w:t xml:space="preserve">This should be clearly communicated in the Royal Commission’s various information formats. Tools to support people to </w:t>
      </w:r>
      <w:r w:rsidR="00AF5C6F">
        <w:t>self-advocate</w:t>
      </w:r>
      <w:r>
        <w:t xml:space="preserve"> should be commissioned and made available by the Royal Commission and also through representative and peer-led bodies. PWDA proposes a self-advocacy toolkit specific to the Royal Commission be developed in a range of languages and formats. </w:t>
      </w:r>
    </w:p>
    <w:p w14:paraId="7E552A3F" w14:textId="77777777" w:rsidR="00B25871" w:rsidRDefault="00B25871" w:rsidP="00B25871">
      <w:pPr>
        <w:pStyle w:val="Heading3"/>
      </w:pPr>
      <w:r>
        <w:t>Overcoming barriers to participation</w:t>
      </w:r>
    </w:p>
    <w:p w14:paraId="2442B890" w14:textId="77777777" w:rsidR="00C616A6" w:rsidRDefault="002C6F18" w:rsidP="008426D7">
      <w:r>
        <w:t>As the Strategy document recognises, g</w:t>
      </w:r>
      <w:r w:rsidR="008426D7">
        <w:t xml:space="preserve">atekeeping </w:t>
      </w:r>
      <w:r w:rsidR="00264C81">
        <w:t>by families and services is a signi</w:t>
      </w:r>
      <w:r>
        <w:t xml:space="preserve">ficant barrier to participation for many people. Overcoming these barriers requires </w:t>
      </w:r>
      <w:r w:rsidR="00C238EA">
        <w:t xml:space="preserve">persistence and recognition that the rights of people with disability to </w:t>
      </w:r>
      <w:r w:rsidR="00C616A6">
        <w:t xml:space="preserve">express their will and preference, and </w:t>
      </w:r>
      <w:r w:rsidR="00C238EA">
        <w:t>communicate separately from their service providers and carers</w:t>
      </w:r>
      <w:r w:rsidR="00C616A6">
        <w:t xml:space="preserve"> if they wish to,</w:t>
      </w:r>
      <w:r w:rsidR="00C238EA">
        <w:t xml:space="preserve"> must be upheld. </w:t>
      </w:r>
    </w:p>
    <w:p w14:paraId="2EAF2197" w14:textId="77777777" w:rsidR="008426D7" w:rsidRPr="008426D7" w:rsidRDefault="00C238EA" w:rsidP="008426D7">
      <w:r>
        <w:t xml:space="preserve">In recent peer work with women with intellectual disability, for example, PWDA has </w:t>
      </w:r>
      <w:r w:rsidR="00C616A6">
        <w:t xml:space="preserve">encountered significant opposition from carers and families to discussing healthy relationships, consent and sexual assault. This included service providers registering themselves for training, rather than their client with disability, and insisting that they were the only person who could communicate with the person with disability. </w:t>
      </w:r>
    </w:p>
    <w:p w14:paraId="0FA856F4" w14:textId="77777777" w:rsidR="00B25871" w:rsidRDefault="00B25871" w:rsidP="00B25871">
      <w:pPr>
        <w:pStyle w:val="Heading3"/>
      </w:pPr>
      <w:r>
        <w:t>Provision of additional supports</w:t>
      </w:r>
    </w:p>
    <w:p w14:paraId="481C91DA" w14:textId="77777777" w:rsidR="0021545B" w:rsidRDefault="0021545B" w:rsidP="00C616A6">
      <w:r>
        <w:t xml:space="preserve">The term ‘additional supports’ is confusing in that it suggests these are additional to what may be expected. Transport, for example, is mentioned both here and under ‘enabling people to engage with us’. </w:t>
      </w:r>
    </w:p>
    <w:p w14:paraId="0B142F6A" w14:textId="77777777" w:rsidR="00C616A6" w:rsidRDefault="0021545B" w:rsidP="00C616A6">
      <w:r>
        <w:lastRenderedPageBreak/>
        <w:t xml:space="preserve">We recommend removing the conditional language from this section such as ‘seek to provide’ and ‘may include’, or at a minimum, noting that the Royal Commission will make every effort to provide </w:t>
      </w:r>
      <w:r w:rsidR="004A1090">
        <w:t>these</w:t>
      </w:r>
      <w:r>
        <w:t xml:space="preserve"> needed supports. </w:t>
      </w:r>
    </w:p>
    <w:p w14:paraId="206BB978" w14:textId="77777777" w:rsidR="00B25871" w:rsidRPr="00B25871" w:rsidRDefault="004A1090" w:rsidP="00B25871">
      <w:r>
        <w:t xml:space="preserve">We suggest creating a standalone section in the Strategy on supports that outlines what people are entitled to and can expect in terms of support to access the Royal Commission, including legal, advocacy and therapeutic support. </w:t>
      </w:r>
    </w:p>
    <w:p w14:paraId="5FB700C4" w14:textId="77777777" w:rsidR="0002576F" w:rsidRDefault="0002576F" w:rsidP="0002576F">
      <w:pPr>
        <w:pStyle w:val="Heading2"/>
      </w:pPr>
      <w:r>
        <w:t xml:space="preserve">Facilities and information technology </w:t>
      </w:r>
    </w:p>
    <w:p w14:paraId="0AA546AF" w14:textId="77777777" w:rsidR="00E277E9" w:rsidRPr="00E277E9" w:rsidRDefault="00631C68" w:rsidP="00E277E9">
      <w:r>
        <w:t xml:space="preserve">The Royal Commission must commit that all venues it uses, rather than just its own offices, will be physically accessible and provide for other access needs. </w:t>
      </w:r>
    </w:p>
    <w:p w14:paraId="01955522" w14:textId="77777777" w:rsidR="0002576F" w:rsidRDefault="0002576F" w:rsidP="0002576F">
      <w:pPr>
        <w:pStyle w:val="Heading2"/>
      </w:pPr>
      <w:r>
        <w:t>Monitoring and evaluation</w:t>
      </w:r>
    </w:p>
    <w:p w14:paraId="58EFBD9C" w14:textId="77777777" w:rsidR="00631C68" w:rsidRDefault="00631C68" w:rsidP="00631C68">
      <w:pPr>
        <w:rPr>
          <w:rFonts w:eastAsia="Times New Roman"/>
          <w:bCs/>
          <w:lang w:val="en-GB"/>
        </w:rPr>
      </w:pPr>
      <w:r>
        <w:rPr>
          <w:rFonts w:eastAsia="Times New Roman"/>
          <w:bCs/>
          <w:lang w:val="en-GB"/>
        </w:rPr>
        <w:t>We are pleased to see that the Royal Commission is highlighting monitoring and evaluation in the initial phases. We would like to see more detail about this in the Strategy, including that the S</w:t>
      </w:r>
      <w:r>
        <w:rPr>
          <w:rFonts w:eastAsia="Times New Roman"/>
          <w:bCs/>
          <w:lang w:val="en-GB"/>
        </w:rPr>
        <w:t xml:space="preserve">trategy </w:t>
      </w:r>
      <w:r>
        <w:rPr>
          <w:rFonts w:eastAsia="Times New Roman"/>
          <w:bCs/>
          <w:lang w:val="en-GB"/>
        </w:rPr>
        <w:t xml:space="preserve">itself will be reviewed </w:t>
      </w:r>
      <w:r>
        <w:rPr>
          <w:rFonts w:eastAsia="Times New Roman"/>
          <w:bCs/>
          <w:lang w:val="en-GB"/>
        </w:rPr>
        <w:t>within 6 and 12 months to take into account the experiences</w:t>
      </w:r>
      <w:r>
        <w:rPr>
          <w:rFonts w:eastAsia="Times New Roman"/>
          <w:bCs/>
          <w:lang w:val="en-GB"/>
        </w:rPr>
        <w:t xml:space="preserve"> and feedback</w:t>
      </w:r>
      <w:r>
        <w:rPr>
          <w:rFonts w:eastAsia="Times New Roman"/>
          <w:bCs/>
          <w:lang w:val="en-GB"/>
        </w:rPr>
        <w:t xml:space="preserve"> of people with disability.</w:t>
      </w:r>
    </w:p>
    <w:p w14:paraId="3064764D" w14:textId="60A293A1" w:rsidR="00CB2E90" w:rsidRDefault="00CB2E90" w:rsidP="00554BAD">
      <w:pPr>
        <w:pStyle w:val="AddressBlock"/>
        <w:rPr>
          <w:b w:val="0"/>
        </w:rPr>
      </w:pPr>
    </w:p>
    <w:p w14:paraId="5806788E" w14:textId="2F536266" w:rsidR="00DF11A7" w:rsidRDefault="00DF11A7" w:rsidP="00554BAD">
      <w:pPr>
        <w:pStyle w:val="AddressBlock"/>
        <w:rPr>
          <w:b w:val="0"/>
        </w:rPr>
      </w:pPr>
      <w:r>
        <w:rPr>
          <w:b w:val="0"/>
        </w:rPr>
        <w:t xml:space="preserve">PWDA </w:t>
      </w:r>
      <w:r w:rsidR="002D2AE5">
        <w:rPr>
          <w:b w:val="0"/>
        </w:rPr>
        <w:t>would welcome the opportunity</w:t>
      </w:r>
      <w:r>
        <w:rPr>
          <w:b w:val="0"/>
        </w:rPr>
        <w:t xml:space="preserve"> to discuss or provide further information on any of the</w:t>
      </w:r>
      <w:r w:rsidR="002D2AE5">
        <w:rPr>
          <w:b w:val="0"/>
        </w:rPr>
        <w:t xml:space="preserve"> matters </w:t>
      </w:r>
      <w:r w:rsidR="00A63EE9">
        <w:rPr>
          <w:b w:val="0"/>
        </w:rPr>
        <w:t>outlined</w:t>
      </w:r>
      <w:r>
        <w:rPr>
          <w:b w:val="0"/>
        </w:rPr>
        <w:t xml:space="preserve"> above. We </w:t>
      </w:r>
      <w:r w:rsidR="002D2AE5">
        <w:rPr>
          <w:b w:val="0"/>
        </w:rPr>
        <w:t xml:space="preserve">look forward to working with </w:t>
      </w:r>
      <w:bookmarkStart w:id="0" w:name="_GoBack"/>
      <w:bookmarkEnd w:id="0"/>
      <w:r w:rsidR="002D2AE5">
        <w:rPr>
          <w:b w:val="0"/>
        </w:rPr>
        <w:t>the Royal Commission staff and Commissioners to ensure the full accessibility of our Royal Commission for all people with disability</w:t>
      </w:r>
      <w:r>
        <w:rPr>
          <w:b w:val="0"/>
        </w:rPr>
        <w:t xml:space="preserve">. </w:t>
      </w:r>
    </w:p>
    <w:p w14:paraId="31B08482" w14:textId="77777777" w:rsidR="00DF11A7" w:rsidRDefault="00DF11A7" w:rsidP="00554BAD">
      <w:pPr>
        <w:pStyle w:val="AddressBlock"/>
        <w:rPr>
          <w:b w:val="0"/>
        </w:rPr>
      </w:pPr>
    </w:p>
    <w:p w14:paraId="14131BDE" w14:textId="5197DBE1" w:rsidR="00DF11A7" w:rsidRDefault="00DF11A7" w:rsidP="00554BAD">
      <w:pPr>
        <w:pStyle w:val="AddressBlock"/>
        <w:rPr>
          <w:b w:val="0"/>
        </w:rPr>
      </w:pPr>
      <w:r>
        <w:rPr>
          <w:b w:val="0"/>
        </w:rPr>
        <w:t xml:space="preserve">Best regards, </w:t>
      </w:r>
    </w:p>
    <w:p w14:paraId="54D06618" w14:textId="77777777" w:rsidR="00DF11A7" w:rsidRDefault="00DF11A7" w:rsidP="00554BAD">
      <w:pPr>
        <w:pStyle w:val="AddressBlock"/>
        <w:rPr>
          <w:b w:val="0"/>
        </w:rPr>
      </w:pPr>
    </w:p>
    <w:p w14:paraId="59E98FEB" w14:textId="77777777" w:rsidR="00DF11A7" w:rsidRDefault="00DF11A7" w:rsidP="00554BAD">
      <w:pPr>
        <w:pStyle w:val="AddressBlock"/>
        <w:rPr>
          <w:b w:val="0"/>
        </w:rPr>
      </w:pPr>
    </w:p>
    <w:p w14:paraId="7043051B" w14:textId="77B0AAE4" w:rsidR="00DF11A7" w:rsidRDefault="005179C6" w:rsidP="00554BAD">
      <w:pPr>
        <w:pStyle w:val="AddressBlock"/>
        <w:rPr>
          <w:b w:val="0"/>
        </w:rPr>
      </w:pPr>
      <w:r>
        <w:rPr>
          <w:b w:val="0"/>
          <w:noProof/>
          <w:lang w:eastAsia="en-AU"/>
        </w:rPr>
        <w:drawing>
          <wp:inline distT="0" distB="0" distL="0" distR="0" wp14:anchorId="4F98F7D2" wp14:editId="08B1AEF8">
            <wp:extent cx="1516380" cy="42511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5502" cy="441690"/>
                    </a:xfrm>
                    <a:prstGeom prst="rect">
                      <a:avLst/>
                    </a:prstGeom>
                  </pic:spPr>
                </pic:pic>
              </a:graphicData>
            </a:graphic>
          </wp:inline>
        </w:drawing>
      </w:r>
    </w:p>
    <w:p w14:paraId="5627DBBC" w14:textId="77777777" w:rsidR="00DF11A7" w:rsidRDefault="00DF11A7" w:rsidP="00554BAD">
      <w:pPr>
        <w:pStyle w:val="AddressBlock"/>
        <w:rPr>
          <w:b w:val="0"/>
        </w:rPr>
      </w:pPr>
    </w:p>
    <w:p w14:paraId="3C20CE51" w14:textId="77777777" w:rsidR="00DF11A7" w:rsidRDefault="00DF11A7" w:rsidP="00554BAD">
      <w:pPr>
        <w:pStyle w:val="AddressBlock"/>
        <w:rPr>
          <w:b w:val="0"/>
        </w:rPr>
      </w:pPr>
    </w:p>
    <w:p w14:paraId="39BFFA75" w14:textId="77777777" w:rsidR="00DF11A7" w:rsidRDefault="00DF11A7" w:rsidP="00DF11A7">
      <w:r>
        <w:rPr>
          <w:rFonts w:ascii="Arial" w:hAnsi="Arial" w:cs="Arial"/>
          <w:b/>
          <w:bCs/>
          <w:color w:val="005496"/>
          <w:sz w:val="28"/>
          <w:szCs w:val="28"/>
          <w:lang w:eastAsia="en-AU"/>
        </w:rPr>
        <w:t>Dr Meg Clement-Couzner</w:t>
      </w:r>
    </w:p>
    <w:p w14:paraId="14F839BE" w14:textId="77777777" w:rsidR="00DF11A7" w:rsidRDefault="00DF11A7" w:rsidP="00DF11A7">
      <w:pPr>
        <w:rPr>
          <w:rFonts w:ascii="Arial" w:hAnsi="Arial" w:cs="Arial"/>
          <w:b/>
          <w:bCs/>
          <w:color w:val="000000"/>
          <w:lang w:eastAsia="en-AU"/>
        </w:rPr>
      </w:pPr>
      <w:r>
        <w:rPr>
          <w:rFonts w:ascii="Arial" w:hAnsi="Arial" w:cs="Arial"/>
          <w:b/>
          <w:bCs/>
          <w:color w:val="000000"/>
          <w:lang w:eastAsia="en-AU"/>
        </w:rPr>
        <w:t xml:space="preserve">Senior Policy Officer: violence prevention &amp; access to justice </w:t>
      </w:r>
    </w:p>
    <w:p w14:paraId="4D138682" w14:textId="234FECC4" w:rsidR="002D2AE5" w:rsidRPr="002D2AE5" w:rsidRDefault="002D2AE5" w:rsidP="00DF11A7">
      <w:pPr>
        <w:rPr>
          <w:rFonts w:ascii="Arial" w:hAnsi="Arial" w:cs="Arial"/>
          <w:bCs/>
          <w:color w:val="000000"/>
          <w:lang w:eastAsia="en-AU"/>
        </w:rPr>
      </w:pPr>
      <w:hyperlink r:id="rId13" w:history="1">
        <w:r w:rsidRPr="002D2AE5">
          <w:rPr>
            <w:rStyle w:val="Hyperlink"/>
            <w:rFonts w:ascii="Arial" w:hAnsi="Arial" w:cs="Arial"/>
            <w:bCs/>
            <w:lang w:eastAsia="en-AU"/>
          </w:rPr>
          <w:t>megc@pwd.org.au</w:t>
        </w:r>
      </w:hyperlink>
    </w:p>
    <w:p w14:paraId="011C0CCF" w14:textId="4C3AD965" w:rsidR="002D2AE5" w:rsidRPr="002D2AE5" w:rsidRDefault="002D2AE5" w:rsidP="00DF11A7">
      <w:r w:rsidRPr="002D2AE5">
        <w:rPr>
          <w:rFonts w:ascii="Arial" w:hAnsi="Arial" w:cs="Arial"/>
          <w:bCs/>
          <w:color w:val="000000"/>
          <w:lang w:eastAsia="en-AU"/>
        </w:rPr>
        <w:t>0431 961 689</w:t>
      </w:r>
    </w:p>
    <w:p w14:paraId="49DB3A81" w14:textId="77777777" w:rsidR="00DF11A7" w:rsidRDefault="00DF11A7" w:rsidP="00554BAD">
      <w:pPr>
        <w:pStyle w:val="AddressBlock"/>
      </w:pPr>
    </w:p>
    <w:sectPr w:rsidR="00DF11A7" w:rsidSect="009122C2">
      <w:headerReference w:type="default" r:id="rId14"/>
      <w:footerReference w:type="default" r:id="rId15"/>
      <w:headerReference w:type="first" r:id="rId16"/>
      <w:footerReference w:type="first" r:id="rId17"/>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DFBA" w14:textId="77777777" w:rsidR="008610D8" w:rsidRDefault="008610D8" w:rsidP="00F1283C">
      <w:pPr>
        <w:spacing w:after="0" w:line="240" w:lineRule="auto"/>
      </w:pPr>
      <w:r>
        <w:separator/>
      </w:r>
    </w:p>
  </w:endnote>
  <w:endnote w:type="continuationSeparator" w:id="0">
    <w:p w14:paraId="5F246E0C" w14:textId="77777777" w:rsidR="008610D8" w:rsidRDefault="008610D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56020"/>
      <w:docPartObj>
        <w:docPartGallery w:val="Page Numbers (Bottom of Page)"/>
        <w:docPartUnique/>
      </w:docPartObj>
    </w:sdtPr>
    <w:sdtEndPr>
      <w:rPr>
        <w:noProof/>
      </w:rPr>
    </w:sdtEndPr>
    <w:sdtContent>
      <w:p w14:paraId="15F4DFD2" w14:textId="718BEF35" w:rsidR="00A936AD" w:rsidRDefault="00A936AD">
        <w:pPr>
          <w:pStyle w:val="Footer"/>
          <w:jc w:val="right"/>
        </w:pPr>
        <w:r>
          <w:fldChar w:fldCharType="begin"/>
        </w:r>
        <w:r>
          <w:instrText xml:space="preserve"> PAGE   \* MERGEFORMAT </w:instrText>
        </w:r>
        <w:r>
          <w:fldChar w:fldCharType="separate"/>
        </w:r>
        <w:r w:rsidR="00A63EE9">
          <w:rPr>
            <w:noProof/>
          </w:rPr>
          <w:t>6</w:t>
        </w:r>
        <w:r>
          <w:rPr>
            <w:noProof/>
          </w:rPr>
          <w:fldChar w:fldCharType="end"/>
        </w:r>
      </w:p>
    </w:sdtContent>
  </w:sdt>
  <w:p w14:paraId="12A82605" w14:textId="77777777" w:rsidR="00A936AD" w:rsidRDefault="00A9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5B5C" w14:textId="74328FB4" w:rsidR="009122C2" w:rsidRDefault="009122C2" w:rsidP="009122C2">
    <w:pPr>
      <w:pStyle w:val="Footer"/>
    </w:pPr>
    <w:r>
      <w:rPr>
        <w:noProof/>
        <w:lang w:eastAsia="en-AU"/>
      </w:rPr>
      <w:drawing>
        <wp:anchor distT="0" distB="0" distL="114300" distR="114300" simplePos="0" relativeHeight="251665408" behindDoc="0" locked="1" layoutInCell="1" allowOverlap="1" wp14:anchorId="7F741CA2" wp14:editId="247B5F0D">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9F78" w14:textId="77777777" w:rsidR="008610D8" w:rsidRDefault="008610D8" w:rsidP="00F1283C">
      <w:pPr>
        <w:spacing w:after="0" w:line="240" w:lineRule="auto"/>
      </w:pPr>
      <w:r>
        <w:separator/>
      </w:r>
    </w:p>
  </w:footnote>
  <w:footnote w:type="continuationSeparator" w:id="0">
    <w:p w14:paraId="6C0D2EC9" w14:textId="77777777" w:rsidR="008610D8" w:rsidRDefault="008610D8" w:rsidP="00F1283C">
      <w:pPr>
        <w:spacing w:after="0" w:line="240" w:lineRule="auto"/>
      </w:pPr>
      <w:r>
        <w:continuationSeparator/>
      </w:r>
    </w:p>
  </w:footnote>
  <w:footnote w:id="1">
    <w:p w14:paraId="4FEF2C36" w14:textId="0C0DED67" w:rsidR="000C702C" w:rsidRPr="000C702C" w:rsidRDefault="003825F4" w:rsidP="000C702C">
      <w:pPr>
        <w:rPr>
          <w:sz w:val="20"/>
          <w:szCs w:val="20"/>
        </w:rPr>
      </w:pPr>
      <w:r>
        <w:rPr>
          <w:rStyle w:val="FootnoteReference"/>
        </w:rPr>
        <w:footnoteRef/>
      </w:r>
      <w:r>
        <w:t xml:space="preserve"> </w:t>
      </w:r>
      <w:r w:rsidR="000C702C" w:rsidRPr="000C702C">
        <w:rPr>
          <w:sz w:val="20"/>
          <w:szCs w:val="20"/>
        </w:rPr>
        <w:t xml:space="preserve">Quadara, A. and Hunter, C. 2016, </w:t>
      </w:r>
      <w:r w:rsidR="000C702C" w:rsidRPr="00800ED8">
        <w:rPr>
          <w:i/>
          <w:sz w:val="20"/>
          <w:szCs w:val="20"/>
        </w:rPr>
        <w:t>Principles of Trauma-informed approaches to child sexual abuse: A discussion paper</w:t>
      </w:r>
      <w:r w:rsidR="000C702C" w:rsidRPr="000C702C">
        <w:rPr>
          <w:sz w:val="20"/>
          <w:szCs w:val="20"/>
        </w:rPr>
        <w:t>, Royal Commission into Institutional Responses to Child Sexual Abuse, Sydney.</w:t>
      </w:r>
    </w:p>
    <w:p w14:paraId="3A5272EE" w14:textId="16614219" w:rsidR="003825F4" w:rsidRPr="000C702C" w:rsidRDefault="000C702C" w:rsidP="000C702C">
      <w:pPr>
        <w:rPr>
          <w:sz w:val="18"/>
          <w:szCs w:val="18"/>
          <w:lang w:eastAsia="en-AU"/>
        </w:rPr>
      </w:pPr>
      <w:r w:rsidRPr="000C702C">
        <w:rPr>
          <w:sz w:val="20"/>
          <w:szCs w:val="20"/>
        </w:rPr>
        <w:t xml:space="preserve">Quadara, A. 2015, </w:t>
      </w:r>
      <w:r w:rsidRPr="00800ED8">
        <w:rPr>
          <w:i/>
          <w:sz w:val="20"/>
          <w:szCs w:val="20"/>
        </w:rPr>
        <w:t>Implementing trauma-informed systems of care in health settings: The WITH study. State of knowledge paper</w:t>
      </w:r>
      <w:r w:rsidRPr="000C702C">
        <w:rPr>
          <w:sz w:val="20"/>
          <w:szCs w:val="20"/>
        </w:rPr>
        <w:t>, ANROWS: Sydney.</w:t>
      </w:r>
      <w:r w:rsidRPr="000C702C">
        <w:rPr>
          <w:sz w:val="20"/>
          <w:szCs w:val="20"/>
          <w:lang w:eastAsia="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741A" w14:textId="77777777" w:rsidR="00665E6E" w:rsidRDefault="00665E6E">
    <w:pPr>
      <w:pStyle w:val="Header"/>
    </w:pPr>
    <w:r>
      <w:rPr>
        <w:noProof/>
        <w:lang w:eastAsia="en-AU"/>
      </w:rPr>
      <w:drawing>
        <wp:anchor distT="0" distB="0" distL="114300" distR="114300" simplePos="0" relativeHeight="251660288" behindDoc="0" locked="1" layoutInCell="1" allowOverlap="1" wp14:anchorId="61B34AE7" wp14:editId="364D6DE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C8105" w14:textId="77777777" w:rsidR="009122C2" w:rsidRDefault="00D8023A" w:rsidP="009122C2">
    <w:pPr>
      <w:pStyle w:val="TableGap"/>
    </w:pPr>
    <w:r>
      <w:rPr>
        <w:noProof/>
        <w:lang w:eastAsia="en-AU"/>
      </w:rPr>
      <mc:AlternateContent>
        <mc:Choice Requires="wps">
          <w:drawing>
            <wp:anchor distT="0" distB="0" distL="114300" distR="114300" simplePos="0" relativeHeight="251668480" behindDoc="0" locked="0" layoutInCell="1" allowOverlap="1" wp14:anchorId="5DE5D2EF" wp14:editId="54D9F257">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2BFA344A" w14:textId="77777777" w:rsidR="00D8023A" w:rsidRPr="00AB1992" w:rsidRDefault="00D8023A" w:rsidP="00D8023A">
                          <w:pPr>
                            <w:spacing w:after="0" w:line="140" w:lineRule="atLeast"/>
                            <w:rPr>
                              <w:sz w:val="20"/>
                              <w:szCs w:val="20"/>
                            </w:rPr>
                          </w:pPr>
                          <w:r w:rsidRPr="00AB1992">
                            <w:rPr>
                              <w:sz w:val="20"/>
                              <w:szCs w:val="20"/>
                            </w:rPr>
                            <w:t>Level 8</w:t>
                          </w:r>
                        </w:p>
                        <w:p w14:paraId="38B4C80F"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0A6BC4BD"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5D2EF" id="_x0000_t202" coordsize="21600,21600" o:spt="202" path="m,l,21600r21600,l21600,xe">
              <v:stroke joinstyle="miter"/>
              <v:path gradientshapeok="t" o:connecttype="rect"/>
            </v:shapetype>
            <v:shape id="Text Box 3" o:spid="_x0000_s1026"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" fillcolor="white [3201]" stroked="f" strokeweight=".5pt">
              <v:textbox inset="0,0,0,0">
                <w:txbxContent>
                  <w:p w14:paraId="2BFA344A" w14:textId="77777777" w:rsidR="00D8023A" w:rsidRPr="00AB1992" w:rsidRDefault="00D8023A" w:rsidP="00D8023A">
                    <w:pPr>
                      <w:spacing w:after="0" w:line="140" w:lineRule="atLeast"/>
                      <w:rPr>
                        <w:sz w:val="20"/>
                        <w:szCs w:val="20"/>
                      </w:rPr>
                    </w:pPr>
                    <w:r w:rsidRPr="00AB1992">
                      <w:rPr>
                        <w:sz w:val="20"/>
                        <w:szCs w:val="20"/>
                      </w:rPr>
                      <w:t>Level 8</w:t>
                    </w:r>
                  </w:p>
                  <w:p w14:paraId="38B4C80F"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0A6BC4BD"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4832D370" wp14:editId="60E655BD">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075"/>
    <w:multiLevelType w:val="hybridMultilevel"/>
    <w:tmpl w:val="67E67F6C"/>
    <w:lvl w:ilvl="0" w:tplc="3D486476">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B873497"/>
    <w:multiLevelType w:val="multilevel"/>
    <w:tmpl w:val="3F002D38"/>
    <w:name w:val="PWDA_Bullets2"/>
    <w:numStyleLink w:val="PWDABullets"/>
  </w:abstractNum>
  <w:abstractNum w:abstractNumId="3" w15:restartNumberingAfterBreak="0">
    <w:nsid w:val="1F9E36EB"/>
    <w:multiLevelType w:val="hybridMultilevel"/>
    <w:tmpl w:val="973072B8"/>
    <w:lvl w:ilvl="0" w:tplc="9BF48722">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935088"/>
    <w:multiLevelType w:val="hybridMultilevel"/>
    <w:tmpl w:val="87F2F512"/>
    <w:lvl w:ilvl="0" w:tplc="1D3A8A8C">
      <w:start w:val="1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B556E13"/>
    <w:multiLevelType w:val="hybridMultilevel"/>
    <w:tmpl w:val="48C29F44"/>
    <w:lvl w:ilvl="0" w:tplc="9BF48722">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0727FF"/>
    <w:multiLevelType w:val="hybridMultilevel"/>
    <w:tmpl w:val="9BA0CB0E"/>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D8"/>
    <w:rsid w:val="00022451"/>
    <w:rsid w:val="0002576F"/>
    <w:rsid w:val="0004322B"/>
    <w:rsid w:val="0005642D"/>
    <w:rsid w:val="00063A5D"/>
    <w:rsid w:val="000952BC"/>
    <w:rsid w:val="000C702C"/>
    <w:rsid w:val="000F4E06"/>
    <w:rsid w:val="000F645D"/>
    <w:rsid w:val="001234CE"/>
    <w:rsid w:val="001A67EB"/>
    <w:rsid w:val="001E4D5C"/>
    <w:rsid w:val="0021545B"/>
    <w:rsid w:val="00226709"/>
    <w:rsid w:val="00235D6D"/>
    <w:rsid w:val="0024114D"/>
    <w:rsid w:val="00264C81"/>
    <w:rsid w:val="002737A0"/>
    <w:rsid w:val="002C6F18"/>
    <w:rsid w:val="002D2AE5"/>
    <w:rsid w:val="00334904"/>
    <w:rsid w:val="003825F4"/>
    <w:rsid w:val="003A7D8A"/>
    <w:rsid w:val="003C225A"/>
    <w:rsid w:val="0046384C"/>
    <w:rsid w:val="00473F59"/>
    <w:rsid w:val="004A1090"/>
    <w:rsid w:val="005179C6"/>
    <w:rsid w:val="00554BAD"/>
    <w:rsid w:val="00557A6C"/>
    <w:rsid w:val="005A01D6"/>
    <w:rsid w:val="005B1B7C"/>
    <w:rsid w:val="005C3133"/>
    <w:rsid w:val="005E4829"/>
    <w:rsid w:val="00610C2A"/>
    <w:rsid w:val="00631C68"/>
    <w:rsid w:val="00637733"/>
    <w:rsid w:val="006635C0"/>
    <w:rsid w:val="00665E6E"/>
    <w:rsid w:val="006A3361"/>
    <w:rsid w:val="006A5B1D"/>
    <w:rsid w:val="0070255E"/>
    <w:rsid w:val="00771157"/>
    <w:rsid w:val="00800ED8"/>
    <w:rsid w:val="008129DB"/>
    <w:rsid w:val="008132F0"/>
    <w:rsid w:val="00830D73"/>
    <w:rsid w:val="008426D7"/>
    <w:rsid w:val="0084587B"/>
    <w:rsid w:val="00860DCD"/>
    <w:rsid w:val="008610D8"/>
    <w:rsid w:val="00894322"/>
    <w:rsid w:val="008A2F34"/>
    <w:rsid w:val="008E2BF3"/>
    <w:rsid w:val="009122C2"/>
    <w:rsid w:val="00920BBD"/>
    <w:rsid w:val="00940DE3"/>
    <w:rsid w:val="00963C52"/>
    <w:rsid w:val="0099433A"/>
    <w:rsid w:val="00A36DEC"/>
    <w:rsid w:val="00A6248E"/>
    <w:rsid w:val="00A63EE9"/>
    <w:rsid w:val="00A936AD"/>
    <w:rsid w:val="00AC6D3C"/>
    <w:rsid w:val="00AF207D"/>
    <w:rsid w:val="00AF5C6F"/>
    <w:rsid w:val="00B144FA"/>
    <w:rsid w:val="00B25871"/>
    <w:rsid w:val="00B6668A"/>
    <w:rsid w:val="00C02BFC"/>
    <w:rsid w:val="00C238EA"/>
    <w:rsid w:val="00C4487B"/>
    <w:rsid w:val="00C464FC"/>
    <w:rsid w:val="00C616A6"/>
    <w:rsid w:val="00C63E13"/>
    <w:rsid w:val="00CA48FC"/>
    <w:rsid w:val="00CB2E90"/>
    <w:rsid w:val="00CB5600"/>
    <w:rsid w:val="00D31A22"/>
    <w:rsid w:val="00D8023A"/>
    <w:rsid w:val="00DE5E2D"/>
    <w:rsid w:val="00DF11A7"/>
    <w:rsid w:val="00E277E9"/>
    <w:rsid w:val="00E56331"/>
    <w:rsid w:val="00E61E50"/>
    <w:rsid w:val="00E6254A"/>
    <w:rsid w:val="00EF0526"/>
    <w:rsid w:val="00F10978"/>
    <w:rsid w:val="00F1283C"/>
    <w:rsid w:val="00F53974"/>
    <w:rsid w:val="00FC1E83"/>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9515"/>
  <w15:docId w15:val="{84C3CE2F-A2A2-485C-8518-71D524C2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8610D8"/>
    <w:pPr>
      <w:keepNext/>
      <w:keepLines/>
      <w:spacing w:after="360" w:line="680" w:lineRule="atLeast"/>
      <w:outlineLvl w:val="0"/>
    </w:pPr>
    <w:rPr>
      <w:rFonts w:ascii="VAG Rounded" w:eastAsiaTheme="majorEastAsia" w:hAnsi="VAG Rounded" w:cstheme="majorBidi"/>
      <w:color w:val="005496" w:themeColor="accent1"/>
      <w:spacing w:val="14"/>
      <w:sz w:val="40"/>
      <w:szCs w:val="32"/>
    </w:rPr>
  </w:style>
  <w:style w:type="paragraph" w:styleId="Heading2">
    <w:name w:val="heading 2"/>
    <w:basedOn w:val="Normal"/>
    <w:next w:val="Normal"/>
    <w:link w:val="Heading2Char"/>
    <w:uiPriority w:val="4"/>
    <w:qFormat/>
    <w:rsid w:val="0002576F"/>
    <w:pPr>
      <w:keepNext/>
      <w:keepLines/>
      <w:spacing w:after="60" w:line="360" w:lineRule="atLeast"/>
      <w:outlineLvl w:val="1"/>
    </w:pPr>
    <w:rPr>
      <w:rFonts w:ascii="VAG Rounded" w:eastAsiaTheme="majorEastAsia" w:hAnsi="VAG Rounded"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610D8"/>
    <w:rPr>
      <w:rFonts w:ascii="VAG Rounded" w:eastAsiaTheme="majorEastAsia" w:hAnsi="VAG Rounded" w:cstheme="majorBidi"/>
      <w:color w:val="005496" w:themeColor="accent1"/>
      <w:spacing w:val="14"/>
      <w:sz w:val="4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02576F"/>
    <w:rPr>
      <w:rFonts w:ascii="VAG Rounded" w:eastAsiaTheme="majorEastAsia" w:hAnsi="VAG Rounded"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character" w:styleId="FollowedHyperlink">
    <w:name w:val="FollowedHyperlink"/>
    <w:basedOn w:val="DefaultParagraphFont"/>
    <w:uiPriority w:val="99"/>
    <w:semiHidden/>
    <w:unhideWhenUsed/>
    <w:rsid w:val="00B25871"/>
    <w:rPr>
      <w:color w:val="954F72" w:themeColor="followedHyperlink"/>
      <w:u w:val="single"/>
    </w:rPr>
  </w:style>
  <w:style w:type="paragraph" w:styleId="BalloonText">
    <w:name w:val="Balloon Text"/>
    <w:basedOn w:val="Normal"/>
    <w:link w:val="BalloonTextChar"/>
    <w:uiPriority w:val="99"/>
    <w:semiHidden/>
    <w:unhideWhenUsed/>
    <w:rsid w:val="00E6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4A"/>
    <w:rPr>
      <w:rFonts w:ascii="Segoe UI" w:hAnsi="Segoe UI" w:cs="Segoe UI"/>
      <w:sz w:val="18"/>
      <w:szCs w:val="18"/>
    </w:rPr>
  </w:style>
  <w:style w:type="character" w:styleId="CommentReference">
    <w:name w:val="annotation reference"/>
    <w:basedOn w:val="DefaultParagraphFont"/>
    <w:uiPriority w:val="99"/>
    <w:semiHidden/>
    <w:unhideWhenUsed/>
    <w:rsid w:val="00E6254A"/>
    <w:rPr>
      <w:sz w:val="16"/>
      <w:szCs w:val="16"/>
    </w:rPr>
  </w:style>
  <w:style w:type="paragraph" w:styleId="CommentText">
    <w:name w:val="annotation text"/>
    <w:basedOn w:val="Normal"/>
    <w:link w:val="CommentTextChar"/>
    <w:uiPriority w:val="99"/>
    <w:semiHidden/>
    <w:unhideWhenUsed/>
    <w:rsid w:val="00E6254A"/>
    <w:pPr>
      <w:spacing w:line="240" w:lineRule="auto"/>
    </w:pPr>
    <w:rPr>
      <w:sz w:val="20"/>
      <w:szCs w:val="20"/>
    </w:rPr>
  </w:style>
  <w:style w:type="character" w:customStyle="1" w:styleId="CommentTextChar">
    <w:name w:val="Comment Text Char"/>
    <w:basedOn w:val="DefaultParagraphFont"/>
    <w:link w:val="CommentText"/>
    <w:uiPriority w:val="99"/>
    <w:semiHidden/>
    <w:rsid w:val="00E6254A"/>
    <w:rPr>
      <w:sz w:val="20"/>
      <w:szCs w:val="20"/>
    </w:rPr>
  </w:style>
  <w:style w:type="paragraph" w:styleId="CommentSubject">
    <w:name w:val="annotation subject"/>
    <w:basedOn w:val="CommentText"/>
    <w:next w:val="CommentText"/>
    <w:link w:val="CommentSubjectChar"/>
    <w:uiPriority w:val="99"/>
    <w:semiHidden/>
    <w:unhideWhenUsed/>
    <w:rsid w:val="00E6254A"/>
    <w:rPr>
      <w:b/>
      <w:bCs/>
    </w:rPr>
  </w:style>
  <w:style w:type="character" w:customStyle="1" w:styleId="CommentSubjectChar">
    <w:name w:val="Comment Subject Char"/>
    <w:basedOn w:val="CommentTextChar"/>
    <w:link w:val="CommentSubject"/>
    <w:uiPriority w:val="99"/>
    <w:semiHidden/>
    <w:rsid w:val="00E6254A"/>
    <w:rPr>
      <w:b/>
      <w:bCs/>
      <w:sz w:val="20"/>
      <w:szCs w:val="20"/>
    </w:rPr>
  </w:style>
  <w:style w:type="paragraph" w:styleId="FootnoteText">
    <w:name w:val="footnote text"/>
    <w:basedOn w:val="Normal"/>
    <w:link w:val="FootnoteTextChar"/>
    <w:uiPriority w:val="99"/>
    <w:semiHidden/>
    <w:unhideWhenUsed/>
    <w:rsid w:val="00382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5F4"/>
    <w:rPr>
      <w:sz w:val="20"/>
      <w:szCs w:val="20"/>
    </w:rPr>
  </w:style>
  <w:style w:type="character" w:styleId="FootnoteReference">
    <w:name w:val="footnote reference"/>
    <w:basedOn w:val="DefaultParagraphFont"/>
    <w:uiPriority w:val="99"/>
    <w:semiHidden/>
    <w:unhideWhenUsed/>
    <w:rsid w:val="00382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43">
      <w:bodyDiv w:val="1"/>
      <w:marLeft w:val="0"/>
      <w:marRight w:val="0"/>
      <w:marTop w:val="0"/>
      <w:marBottom w:val="0"/>
      <w:divBdr>
        <w:top w:val="none" w:sz="0" w:space="0" w:color="auto"/>
        <w:left w:val="none" w:sz="0" w:space="0" w:color="auto"/>
        <w:bottom w:val="none" w:sz="0" w:space="0" w:color="auto"/>
        <w:right w:val="none" w:sz="0" w:space="0" w:color="auto"/>
      </w:divBdr>
    </w:div>
    <w:div w:id="921181620">
      <w:bodyDiv w:val="1"/>
      <w:marLeft w:val="0"/>
      <w:marRight w:val="0"/>
      <w:marTop w:val="0"/>
      <w:marBottom w:val="0"/>
      <w:divBdr>
        <w:top w:val="none" w:sz="0" w:space="0" w:color="auto"/>
        <w:left w:val="none" w:sz="0" w:space="0" w:color="auto"/>
        <w:bottom w:val="none" w:sz="0" w:space="0" w:color="auto"/>
        <w:right w:val="none" w:sz="0" w:space="0" w:color="auto"/>
      </w:divBdr>
      <w:divsChild>
        <w:div w:id="797145216">
          <w:marLeft w:val="0"/>
          <w:marRight w:val="0"/>
          <w:marTop w:val="0"/>
          <w:marBottom w:val="0"/>
          <w:divBdr>
            <w:top w:val="none" w:sz="0" w:space="0" w:color="auto"/>
            <w:left w:val="none" w:sz="0" w:space="0" w:color="auto"/>
            <w:bottom w:val="none" w:sz="0" w:space="0" w:color="auto"/>
            <w:right w:val="none" w:sz="0" w:space="0" w:color="auto"/>
          </w:divBdr>
        </w:div>
        <w:div w:id="1660882357">
          <w:marLeft w:val="0"/>
          <w:marRight w:val="0"/>
          <w:marTop w:val="0"/>
          <w:marBottom w:val="0"/>
          <w:divBdr>
            <w:top w:val="none" w:sz="0" w:space="0" w:color="auto"/>
            <w:left w:val="none" w:sz="0" w:space="0" w:color="auto"/>
            <w:bottom w:val="none" w:sz="0" w:space="0" w:color="auto"/>
            <w:right w:val="none" w:sz="0" w:space="0" w:color="auto"/>
          </w:divBdr>
        </w:div>
        <w:div w:id="1517498753">
          <w:marLeft w:val="0"/>
          <w:marRight w:val="0"/>
          <w:marTop w:val="0"/>
          <w:marBottom w:val="0"/>
          <w:divBdr>
            <w:top w:val="none" w:sz="0" w:space="0" w:color="auto"/>
            <w:left w:val="none" w:sz="0" w:space="0" w:color="auto"/>
            <w:bottom w:val="none" w:sz="0" w:space="0" w:color="auto"/>
            <w:right w:val="none" w:sz="0" w:space="0" w:color="auto"/>
          </w:divBdr>
        </w:div>
      </w:divsChild>
    </w:div>
    <w:div w:id="1211771451">
      <w:bodyDiv w:val="1"/>
      <w:marLeft w:val="0"/>
      <w:marRight w:val="0"/>
      <w:marTop w:val="0"/>
      <w:marBottom w:val="0"/>
      <w:divBdr>
        <w:top w:val="none" w:sz="0" w:space="0" w:color="auto"/>
        <w:left w:val="none" w:sz="0" w:space="0" w:color="auto"/>
        <w:bottom w:val="none" w:sz="0" w:space="0" w:color="auto"/>
        <w:right w:val="none" w:sz="0" w:space="0" w:color="auto"/>
      </w:divBdr>
    </w:div>
    <w:div w:id="1490513889">
      <w:bodyDiv w:val="1"/>
      <w:marLeft w:val="0"/>
      <w:marRight w:val="0"/>
      <w:marTop w:val="0"/>
      <w:marBottom w:val="0"/>
      <w:divBdr>
        <w:top w:val="none" w:sz="0" w:space="0" w:color="auto"/>
        <w:left w:val="none" w:sz="0" w:space="0" w:color="auto"/>
        <w:bottom w:val="none" w:sz="0" w:space="0" w:color="auto"/>
        <w:right w:val="none" w:sz="0" w:space="0" w:color="auto"/>
      </w:divBdr>
    </w:div>
    <w:div w:id="1535581150">
      <w:bodyDiv w:val="1"/>
      <w:marLeft w:val="0"/>
      <w:marRight w:val="0"/>
      <w:marTop w:val="0"/>
      <w:marBottom w:val="0"/>
      <w:divBdr>
        <w:top w:val="none" w:sz="0" w:space="0" w:color="auto"/>
        <w:left w:val="none" w:sz="0" w:space="0" w:color="auto"/>
        <w:bottom w:val="none" w:sz="0" w:space="0" w:color="auto"/>
        <w:right w:val="none" w:sz="0" w:space="0" w:color="auto"/>
      </w:divBdr>
      <w:divsChild>
        <w:div w:id="285544583">
          <w:marLeft w:val="0"/>
          <w:marRight w:val="0"/>
          <w:marTop w:val="0"/>
          <w:marBottom w:val="0"/>
          <w:divBdr>
            <w:top w:val="none" w:sz="0" w:space="0" w:color="auto"/>
            <w:left w:val="none" w:sz="0" w:space="0" w:color="auto"/>
            <w:bottom w:val="none" w:sz="0" w:space="0" w:color="auto"/>
            <w:right w:val="none" w:sz="0" w:space="0" w:color="auto"/>
          </w:divBdr>
        </w:div>
        <w:div w:id="225147965">
          <w:marLeft w:val="0"/>
          <w:marRight w:val="0"/>
          <w:marTop w:val="0"/>
          <w:marBottom w:val="0"/>
          <w:divBdr>
            <w:top w:val="none" w:sz="0" w:space="0" w:color="auto"/>
            <w:left w:val="none" w:sz="0" w:space="0" w:color="auto"/>
            <w:bottom w:val="none" w:sz="0" w:space="0" w:color="auto"/>
            <w:right w:val="none" w:sz="0" w:space="0" w:color="auto"/>
          </w:divBdr>
        </w:div>
        <w:div w:id="1304434174">
          <w:marLeft w:val="0"/>
          <w:marRight w:val="0"/>
          <w:marTop w:val="0"/>
          <w:marBottom w:val="0"/>
          <w:divBdr>
            <w:top w:val="none" w:sz="0" w:space="0" w:color="auto"/>
            <w:left w:val="none" w:sz="0" w:space="0" w:color="auto"/>
            <w:bottom w:val="none" w:sz="0" w:space="0" w:color="auto"/>
            <w:right w:val="none" w:sz="0" w:space="0" w:color="auto"/>
          </w:divBdr>
        </w:div>
        <w:div w:id="963997584">
          <w:marLeft w:val="0"/>
          <w:marRight w:val="0"/>
          <w:marTop w:val="0"/>
          <w:marBottom w:val="0"/>
          <w:divBdr>
            <w:top w:val="none" w:sz="0" w:space="0" w:color="auto"/>
            <w:left w:val="none" w:sz="0" w:space="0" w:color="auto"/>
            <w:bottom w:val="none" w:sz="0" w:space="0" w:color="auto"/>
            <w:right w:val="none" w:sz="0" w:space="0" w:color="auto"/>
          </w:divBdr>
        </w:div>
        <w:div w:id="528763396">
          <w:marLeft w:val="0"/>
          <w:marRight w:val="0"/>
          <w:marTop w:val="0"/>
          <w:marBottom w:val="0"/>
          <w:divBdr>
            <w:top w:val="none" w:sz="0" w:space="0" w:color="auto"/>
            <w:left w:val="none" w:sz="0" w:space="0" w:color="auto"/>
            <w:bottom w:val="none" w:sz="0" w:space="0" w:color="auto"/>
            <w:right w:val="none" w:sz="0" w:space="0" w:color="auto"/>
          </w:divBdr>
        </w:div>
        <w:div w:id="547839175">
          <w:marLeft w:val="0"/>
          <w:marRight w:val="0"/>
          <w:marTop w:val="0"/>
          <w:marBottom w:val="0"/>
          <w:divBdr>
            <w:top w:val="none" w:sz="0" w:space="0" w:color="auto"/>
            <w:left w:val="none" w:sz="0" w:space="0" w:color="auto"/>
            <w:bottom w:val="none" w:sz="0" w:space="0" w:color="auto"/>
            <w:right w:val="none" w:sz="0" w:space="0" w:color="auto"/>
          </w:divBdr>
        </w:div>
        <w:div w:id="1746414320">
          <w:marLeft w:val="0"/>
          <w:marRight w:val="0"/>
          <w:marTop w:val="0"/>
          <w:marBottom w:val="0"/>
          <w:divBdr>
            <w:top w:val="none" w:sz="0" w:space="0" w:color="auto"/>
            <w:left w:val="none" w:sz="0" w:space="0" w:color="auto"/>
            <w:bottom w:val="none" w:sz="0" w:space="0" w:color="auto"/>
            <w:right w:val="none" w:sz="0" w:space="0" w:color="auto"/>
          </w:divBdr>
        </w:div>
        <w:div w:id="1418017704">
          <w:marLeft w:val="0"/>
          <w:marRight w:val="0"/>
          <w:marTop w:val="0"/>
          <w:marBottom w:val="0"/>
          <w:divBdr>
            <w:top w:val="none" w:sz="0" w:space="0" w:color="auto"/>
            <w:left w:val="none" w:sz="0" w:space="0" w:color="auto"/>
            <w:bottom w:val="none" w:sz="0" w:space="0" w:color="auto"/>
            <w:right w:val="none" w:sz="0" w:space="0" w:color="auto"/>
          </w:divBdr>
        </w:div>
        <w:div w:id="84921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Documents/fact-sheet.pdf" TargetMode="External"/><Relationship Id="rId13" Type="http://schemas.openxmlformats.org/officeDocument/2006/relationships/hyperlink" Target="mailto:megc@pwd.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paciellogroup.com/blog/2018/08/a-web-of-anxiety-accessibility-for-people-with-anxiety-and-panic-disorders-part-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ta.gov.au/help-and-advice/digital-service-standard/digital-service-standard-crite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ability.royalcommission.gov.au/Documents/disability-royal-commission-letters-patent-scanned-copy.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PWDA%20Letterhead%20Long%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5336-3926-44B1-8D64-095A0E64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Long Template</Template>
  <TotalTime>3</TotalTime>
  <Pages>7</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Clement-Couzner</dc:creator>
  <cp:lastModifiedBy>Megan Clement-Couzner</cp:lastModifiedBy>
  <cp:revision>4</cp:revision>
  <cp:lastPrinted>2019-09-13T06:49:00Z</cp:lastPrinted>
  <dcterms:created xsi:type="dcterms:W3CDTF">2019-09-13T07:28:00Z</dcterms:created>
  <dcterms:modified xsi:type="dcterms:W3CDTF">2019-09-13T07:30:00Z</dcterms:modified>
</cp:coreProperties>
</file>