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56EF" w14:textId="77777777" w:rsidR="000E2A47" w:rsidRDefault="000E2A47" w:rsidP="00CF3431">
      <w:pPr>
        <w:pStyle w:val="Title"/>
        <w:spacing w:line="100" w:lineRule="atLeast"/>
        <w:rPr>
          <w:rFonts w:ascii="VAG Rounded" w:hAnsi="VAG Rounded"/>
          <w:b/>
          <w:bCs/>
          <w:sz w:val="56"/>
        </w:rPr>
      </w:pPr>
    </w:p>
    <w:p w14:paraId="4555F540" w14:textId="6EE43CEA" w:rsidR="00FD4C17" w:rsidRDefault="006B5A4D" w:rsidP="000E2A47">
      <w:pPr>
        <w:pStyle w:val="Title"/>
        <w:spacing w:line="100" w:lineRule="atLeast"/>
        <w:jc w:val="center"/>
        <w:rPr>
          <w:rFonts w:ascii="VAG Rounded" w:hAnsi="VAG Rounded"/>
          <w:b/>
          <w:bCs/>
          <w:sz w:val="56"/>
        </w:rPr>
      </w:pPr>
      <w:r>
        <w:rPr>
          <w:rFonts w:ascii="VAG Rounded" w:hAnsi="VAG Rounded"/>
          <w:b/>
          <w:bCs/>
          <w:sz w:val="56"/>
        </w:rPr>
        <w:t xml:space="preserve">Impairment Tables Impair Our Access to </w:t>
      </w:r>
      <w:r w:rsidR="00FC010D">
        <w:rPr>
          <w:rFonts w:ascii="VAG Rounded" w:hAnsi="VAG Rounded"/>
          <w:b/>
          <w:bCs/>
          <w:sz w:val="56"/>
        </w:rPr>
        <w:t>Supports</w:t>
      </w:r>
      <w:r w:rsidR="000E2A47">
        <w:rPr>
          <w:rFonts w:ascii="VAG Rounded" w:hAnsi="VAG Rounded"/>
          <w:b/>
          <w:bCs/>
          <w:sz w:val="56"/>
        </w:rPr>
        <w:t xml:space="preserve"> </w:t>
      </w:r>
      <w:bookmarkStart w:id="0" w:name="_Toc511064385"/>
      <w:r w:rsidR="000952BC" w:rsidRPr="000E2A47">
        <w:rPr>
          <w:noProof/>
          <w:sz w:val="56"/>
          <w:lang w:eastAsia="en-AU"/>
        </w:rPr>
        <mc:AlternateContent>
          <mc:Choice Requires="wps">
            <w:drawing>
              <wp:anchor distT="0" distB="0" distL="114300" distR="114300" simplePos="0" relativeHeight="251658240" behindDoc="0" locked="0" layoutInCell="1" allowOverlap="1" wp14:anchorId="563CD6BC" wp14:editId="7706C1F6">
                <wp:simplePos x="0" y="0"/>
                <wp:positionH relativeFrom="page">
                  <wp:posOffset>543464</wp:posOffset>
                </wp:positionH>
                <wp:positionV relativeFrom="page">
                  <wp:posOffset>9230264</wp:posOffset>
                </wp:positionV>
                <wp:extent cx="1296000" cy="1052423"/>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381BE955" w14:textId="7145135A" w:rsidR="0049226B" w:rsidRDefault="00BB4543" w:rsidP="000952BC">
                            <w:pPr>
                              <w:pStyle w:val="TitleDate"/>
                              <w:rPr>
                                <w:rFonts w:ascii="VAG Rounded" w:hAnsi="VAG Rounded"/>
                                <w:lang w:val="en-US"/>
                              </w:rPr>
                            </w:pPr>
                            <w:r>
                              <w:rPr>
                                <w:rFonts w:ascii="VAG Rounded" w:hAnsi="VAG Rounded"/>
                                <w:lang w:val="en-US"/>
                              </w:rPr>
                              <w:t>AUG</w:t>
                            </w:r>
                          </w:p>
                          <w:p w14:paraId="21D33799" w14:textId="77777777" w:rsidR="0049226B" w:rsidRPr="000A3A30" w:rsidRDefault="0049226B" w:rsidP="000952BC">
                            <w:pPr>
                              <w:pStyle w:val="TitleDate"/>
                              <w:rPr>
                                <w:rFonts w:ascii="VAG Rounded" w:hAnsi="VAG Rounded"/>
                                <w:lang w:val="en-US"/>
                              </w:rPr>
                            </w:pPr>
                            <w:r>
                              <w:rPr>
                                <w:rFonts w:ascii="VAG Rounded" w:hAnsi="VAG Rounded"/>
                                <w:lang w:val="en-US"/>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CD6BC" id="_x0000_t202" coordsize="21600,21600" o:spt="202" path="m,l,21600r21600,l21600,xe">
                <v:stroke joinstyle="miter"/>
                <v:path gradientshapeok="t" o:connecttype="rect"/>
              </v:shapetype>
              <v:shape id="Text Box 3" o:spid="_x0000_s1026" type="#_x0000_t202" style="position:absolute;left:0;text-align:left;margin-left:42.8pt;margin-top:726.8pt;width:102.05pt;height:8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" filled="f" stroked="f" strokeweight=".5pt">
                <v:textbox inset="0,0,0,0">
                  <w:txbxContent>
                    <w:p w14:paraId="381BE955" w14:textId="7145135A" w:rsidR="0049226B" w:rsidRDefault="00BB4543" w:rsidP="000952BC">
                      <w:pPr>
                        <w:pStyle w:val="TitleDate"/>
                        <w:rPr>
                          <w:rFonts w:ascii="VAG Rounded" w:hAnsi="VAG Rounded"/>
                          <w:lang w:val="en-US"/>
                        </w:rPr>
                      </w:pPr>
                      <w:r>
                        <w:rPr>
                          <w:rFonts w:ascii="VAG Rounded" w:hAnsi="VAG Rounded"/>
                          <w:lang w:val="en-US"/>
                        </w:rPr>
                        <w:t>AUG</w:t>
                      </w:r>
                    </w:p>
                    <w:p w14:paraId="21D33799" w14:textId="77777777" w:rsidR="0049226B" w:rsidRPr="000A3A30" w:rsidRDefault="0049226B" w:rsidP="000952BC">
                      <w:pPr>
                        <w:pStyle w:val="TitleDate"/>
                        <w:rPr>
                          <w:rFonts w:ascii="VAG Rounded" w:hAnsi="VAG Rounded"/>
                          <w:lang w:val="en-US"/>
                        </w:rPr>
                      </w:pPr>
                      <w:r>
                        <w:rPr>
                          <w:rFonts w:ascii="VAG Rounded" w:hAnsi="VAG Rounded"/>
                          <w:lang w:val="en-US"/>
                        </w:rPr>
                        <w:t>2021</w:t>
                      </w:r>
                    </w:p>
                  </w:txbxContent>
                </v:textbox>
                <w10:wrap anchorx="page" anchory="page"/>
              </v:shape>
            </w:pict>
          </mc:Fallback>
        </mc:AlternateContent>
      </w:r>
    </w:p>
    <w:p w14:paraId="0DAE7DC8" w14:textId="77777777" w:rsidR="000E2A47" w:rsidRDefault="000E2A47" w:rsidP="000E2A47"/>
    <w:p w14:paraId="2318A2E1" w14:textId="26291BFA" w:rsidR="000E2A47" w:rsidRPr="005968C4" w:rsidRDefault="000E2A47" w:rsidP="005968C4">
      <w:pPr>
        <w:jc w:val="center"/>
        <w:rPr>
          <w:rFonts w:ascii="VAG Rounded" w:hAnsi="VAG Rounded"/>
          <w:iCs/>
          <w:color w:val="FFFFFF" w:themeColor="background1"/>
          <w:sz w:val="25"/>
          <w:szCs w:val="25"/>
        </w:rPr>
        <w:sectPr w:rsidR="000E2A47" w:rsidRPr="005968C4" w:rsidSect="0070255E">
          <w:headerReference w:type="default" r:id="rId8"/>
          <w:footerReference w:type="default" r:id="rId9"/>
          <w:pgSz w:w="11906" w:h="16838" w:code="9"/>
          <w:pgMar w:top="10943" w:right="1134" w:bottom="1928" w:left="3686" w:header="284" w:footer="510" w:gutter="0"/>
          <w:cols w:space="708"/>
          <w:docGrid w:linePitch="360"/>
        </w:sectPr>
      </w:pPr>
      <w:r>
        <w:rPr>
          <w:rFonts w:ascii="VAG Rounded" w:hAnsi="VAG Rounded"/>
          <w:iCs/>
          <w:color w:val="FFFFFF" w:themeColor="background1"/>
          <w:sz w:val="25"/>
          <w:szCs w:val="25"/>
        </w:rPr>
        <w:t xml:space="preserve">People with Disability Australia’s submission to the </w:t>
      </w:r>
      <w:r w:rsidR="006B5A4D">
        <w:rPr>
          <w:rFonts w:ascii="VAG Rounded" w:hAnsi="VAG Rounded"/>
          <w:iCs/>
          <w:color w:val="FFFFFF" w:themeColor="background1"/>
          <w:sz w:val="25"/>
          <w:szCs w:val="25"/>
        </w:rPr>
        <w:t>Department of Social Services’ Review of the Disability Support Pension Impairment Tables</w:t>
      </w:r>
    </w:p>
    <w:p w14:paraId="032D4DC3" w14:textId="38B7E8F2" w:rsidR="00FD4C17" w:rsidRPr="00CF3431" w:rsidRDefault="00FD4C17" w:rsidP="00112FC8">
      <w:pPr>
        <w:spacing w:after="0" w:line="240" w:lineRule="auto"/>
      </w:pPr>
      <w:r w:rsidRPr="008D5F8B">
        <w:rPr>
          <w:rFonts w:ascii="VAG Rounded" w:hAnsi="VAG Rounded"/>
          <w:color w:val="005496" w:themeColor="accent1"/>
          <w:sz w:val="56"/>
          <w:szCs w:val="56"/>
        </w:rPr>
        <w:lastRenderedPageBreak/>
        <w:t xml:space="preserve">About </w:t>
      </w:r>
      <w:bookmarkEnd w:id="0"/>
      <w:r w:rsidR="00112FC8">
        <w:rPr>
          <w:rFonts w:ascii="VAG Rounded" w:hAnsi="VAG Rounded"/>
          <w:color w:val="005496" w:themeColor="accent1"/>
          <w:sz w:val="56"/>
          <w:szCs w:val="56"/>
        </w:rPr>
        <w:t>Us</w:t>
      </w:r>
    </w:p>
    <w:p w14:paraId="71BAFBD6" w14:textId="77777777" w:rsidR="00112FC8" w:rsidRPr="007308F8" w:rsidRDefault="00112FC8" w:rsidP="00112FC8">
      <w:pPr>
        <w:spacing w:after="0" w:line="240" w:lineRule="auto"/>
        <w:rPr>
          <w:rStyle w:val="markedcontent"/>
          <w:rFonts w:ascii="VAG Rounded" w:hAnsi="VAG Rounded" w:cs="Arial"/>
          <w:color w:val="005496" w:themeColor="accent1"/>
          <w:sz w:val="32"/>
          <w:szCs w:val="32"/>
        </w:rPr>
      </w:pPr>
    </w:p>
    <w:p w14:paraId="6D58B1E8" w14:textId="5DFA988B" w:rsidR="00112FC8" w:rsidRPr="00FC010D" w:rsidRDefault="00112FC8" w:rsidP="00112FC8">
      <w:pPr>
        <w:spacing w:after="0" w:line="240" w:lineRule="auto"/>
        <w:rPr>
          <w:rStyle w:val="markedcontent"/>
          <w:rFonts w:ascii="VAG Rounded" w:hAnsi="VAG Rounded" w:cs="Arial"/>
          <w:color w:val="005496" w:themeColor="accent1"/>
          <w:sz w:val="28"/>
          <w:szCs w:val="28"/>
        </w:rPr>
      </w:pPr>
      <w:r w:rsidRPr="00FC010D">
        <w:rPr>
          <w:rStyle w:val="markedcontent"/>
          <w:rFonts w:ascii="VAG Rounded" w:hAnsi="VAG Rounded" w:cs="Arial"/>
          <w:color w:val="005496" w:themeColor="accent1"/>
          <w:sz w:val="28"/>
          <w:szCs w:val="28"/>
        </w:rPr>
        <w:t>About People with Disability Australia</w:t>
      </w:r>
    </w:p>
    <w:p w14:paraId="0BA5CFD9" w14:textId="77777777" w:rsidR="00112FC8" w:rsidRDefault="00450E68" w:rsidP="00112FC8">
      <w:pPr>
        <w:spacing w:after="0" w:line="240" w:lineRule="auto"/>
        <w:rPr>
          <w:rStyle w:val="markedcontent"/>
          <w:rFonts w:ascii="Arial" w:hAnsi="Arial" w:cs="Arial"/>
          <w:sz w:val="24"/>
        </w:rPr>
      </w:pPr>
      <w:r w:rsidRPr="00112FC8">
        <w:rPr>
          <w:rStyle w:val="markedcontent"/>
          <w:rFonts w:ascii="Arial" w:hAnsi="Arial" w:cs="Arial"/>
          <w:sz w:val="24"/>
        </w:rPr>
        <w:t>People with Disability Australia</w:t>
      </w:r>
      <w:r w:rsidR="003310FA" w:rsidRPr="00112FC8">
        <w:rPr>
          <w:rStyle w:val="markedcontent"/>
          <w:rFonts w:ascii="Arial" w:hAnsi="Arial" w:cs="Arial"/>
          <w:sz w:val="24"/>
        </w:rPr>
        <w:t xml:space="preserve"> </w:t>
      </w:r>
      <w:r w:rsidRPr="00112FC8">
        <w:rPr>
          <w:rStyle w:val="markedcontent"/>
          <w:rFonts w:ascii="Arial" w:hAnsi="Arial" w:cs="Arial"/>
          <w:sz w:val="24"/>
        </w:rPr>
        <w:t xml:space="preserve">(PWDA) is a leading disability rights, </w:t>
      </w:r>
      <w:proofErr w:type="gramStart"/>
      <w:r w:rsidRPr="00112FC8">
        <w:rPr>
          <w:rStyle w:val="markedcontent"/>
          <w:rFonts w:ascii="Arial" w:hAnsi="Arial" w:cs="Arial"/>
          <w:sz w:val="24"/>
        </w:rPr>
        <w:t>advocacy</w:t>
      </w:r>
      <w:proofErr w:type="gramEnd"/>
      <w:r w:rsidRPr="00112FC8">
        <w:rPr>
          <w:rStyle w:val="markedcontent"/>
          <w:rFonts w:ascii="Arial" w:hAnsi="Arial" w:cs="Arial"/>
          <w:sz w:val="24"/>
        </w:rPr>
        <w:t xml:space="preserve"> and representative organisation of and for all people with disability. We are the only national, cross-disability organisation—we represent the interests of people with all kinds of disability. </w:t>
      </w:r>
    </w:p>
    <w:p w14:paraId="32AFF22A" w14:textId="77777777" w:rsidR="00112FC8" w:rsidRDefault="00112FC8" w:rsidP="00112FC8">
      <w:pPr>
        <w:spacing w:after="0" w:line="240" w:lineRule="auto"/>
        <w:rPr>
          <w:rStyle w:val="markedcontent"/>
          <w:rFonts w:ascii="Arial" w:hAnsi="Arial" w:cs="Arial"/>
          <w:sz w:val="24"/>
        </w:rPr>
      </w:pPr>
    </w:p>
    <w:p w14:paraId="04BA2D24" w14:textId="30A0F520" w:rsidR="00112FC8" w:rsidRDefault="00112FC8" w:rsidP="00112FC8">
      <w:pPr>
        <w:spacing w:after="0" w:line="240" w:lineRule="auto"/>
        <w:rPr>
          <w:rStyle w:val="markedcontent"/>
          <w:rFonts w:ascii="Arial" w:hAnsi="Arial" w:cs="Arial"/>
          <w:szCs w:val="26"/>
        </w:rPr>
      </w:pPr>
      <w:r w:rsidRPr="00112FC8">
        <w:rPr>
          <w:rStyle w:val="markedcontent"/>
          <w:rFonts w:ascii="Arial" w:hAnsi="Arial" w:cs="Arial"/>
          <w:sz w:val="24"/>
        </w:rPr>
        <w:t xml:space="preserve">PWDA is </w:t>
      </w:r>
      <w:proofErr w:type="gramStart"/>
      <w:r w:rsidRPr="00112FC8">
        <w:rPr>
          <w:rStyle w:val="markedcontent"/>
          <w:rFonts w:ascii="Arial" w:hAnsi="Arial" w:cs="Arial"/>
          <w:sz w:val="24"/>
        </w:rPr>
        <w:t>a</w:t>
      </w:r>
      <w:proofErr w:type="gramEnd"/>
      <w:r w:rsidRPr="00112FC8">
        <w:rPr>
          <w:rStyle w:val="markedcontent"/>
          <w:rFonts w:ascii="Arial" w:hAnsi="Arial" w:cs="Arial"/>
          <w:sz w:val="24"/>
        </w:rPr>
        <w:t xml:space="preserve"> NSW and national peak organisation and founding member of Disabled People’s Organisations Australia (DPO Australia) along with Women With Disabilities Australia, First Peoples Disability Network Australia, and National Ethnic Disability Alliance</w:t>
      </w:r>
      <w:r w:rsidRPr="00F012F8">
        <w:rPr>
          <w:rStyle w:val="markedcontent"/>
          <w:rFonts w:ascii="Arial" w:hAnsi="Arial" w:cs="Arial"/>
          <w:szCs w:val="26"/>
        </w:rPr>
        <w:t xml:space="preserve">. </w:t>
      </w:r>
      <w:r w:rsidRPr="00112FC8">
        <w:rPr>
          <w:rStyle w:val="markedcontent"/>
          <w:rFonts w:ascii="Arial" w:hAnsi="Arial" w:cs="Arial"/>
          <w:sz w:val="24"/>
        </w:rPr>
        <w:t>We are a non-profit, non-government organisation. We help individuals by advocating for their interests, and groups through our systemic advocacy efforts. We also encourage people to engage in self-advocacy.</w:t>
      </w:r>
    </w:p>
    <w:p w14:paraId="31F33735" w14:textId="77777777" w:rsidR="00112FC8" w:rsidRPr="00112FC8" w:rsidRDefault="00112FC8" w:rsidP="00112FC8">
      <w:pPr>
        <w:spacing w:after="0" w:line="240" w:lineRule="auto"/>
        <w:rPr>
          <w:rStyle w:val="markedcontent"/>
          <w:rFonts w:ascii="Arial" w:hAnsi="Arial" w:cs="Arial"/>
          <w:sz w:val="24"/>
        </w:rPr>
      </w:pPr>
    </w:p>
    <w:p w14:paraId="5C735BCB" w14:textId="5A99C1E5" w:rsidR="00F012F8" w:rsidRPr="00112FC8" w:rsidRDefault="00450E68" w:rsidP="00112FC8">
      <w:pPr>
        <w:spacing w:after="0" w:line="240" w:lineRule="auto"/>
        <w:rPr>
          <w:rStyle w:val="markedcontent"/>
          <w:rFonts w:ascii="Arial" w:hAnsi="Arial" w:cs="Arial"/>
          <w:sz w:val="24"/>
        </w:rPr>
      </w:pPr>
      <w:r w:rsidRPr="00112FC8">
        <w:rPr>
          <w:rStyle w:val="markedcontent"/>
          <w:rFonts w:ascii="Arial" w:hAnsi="Arial" w:cs="Arial"/>
          <w:sz w:val="24"/>
        </w:rPr>
        <w:t xml:space="preserve">We have a vision of a socially just, accessible, and inclusive community, in which the human rights, citizenship, contribution, potential and diversity of all people with disability are recognised, </w:t>
      </w:r>
      <w:proofErr w:type="gramStart"/>
      <w:r w:rsidRPr="00112FC8">
        <w:rPr>
          <w:rStyle w:val="markedcontent"/>
          <w:rFonts w:ascii="Arial" w:hAnsi="Arial" w:cs="Arial"/>
          <w:sz w:val="24"/>
        </w:rPr>
        <w:t>respected</w:t>
      </w:r>
      <w:proofErr w:type="gramEnd"/>
      <w:r w:rsidRPr="00112FC8">
        <w:rPr>
          <w:rStyle w:val="markedcontent"/>
          <w:rFonts w:ascii="Arial" w:hAnsi="Arial" w:cs="Arial"/>
          <w:sz w:val="24"/>
        </w:rPr>
        <w:t xml:space="preserve"> and celebrated.</w:t>
      </w:r>
    </w:p>
    <w:p w14:paraId="54666B24" w14:textId="77777777" w:rsidR="00112FC8" w:rsidRPr="007308F8" w:rsidRDefault="00112FC8" w:rsidP="00112FC8">
      <w:pPr>
        <w:spacing w:after="0" w:line="240" w:lineRule="auto"/>
        <w:rPr>
          <w:rStyle w:val="markedcontent"/>
          <w:rFonts w:ascii="Arial" w:hAnsi="Arial" w:cs="Arial"/>
          <w:sz w:val="32"/>
          <w:szCs w:val="32"/>
        </w:rPr>
      </w:pPr>
    </w:p>
    <w:p w14:paraId="49755408" w14:textId="4BCDBD3C" w:rsidR="00112FC8" w:rsidRPr="00FC010D" w:rsidRDefault="00112FC8" w:rsidP="00112FC8">
      <w:pPr>
        <w:spacing w:after="0" w:line="240" w:lineRule="auto"/>
        <w:rPr>
          <w:rStyle w:val="markedcontent"/>
          <w:rFonts w:ascii="VAG Rounded" w:hAnsi="VAG Rounded" w:cs="Arial"/>
          <w:color w:val="005496" w:themeColor="accent1"/>
          <w:sz w:val="28"/>
          <w:szCs w:val="28"/>
        </w:rPr>
      </w:pPr>
      <w:r w:rsidRPr="00FC010D">
        <w:rPr>
          <w:rStyle w:val="markedcontent"/>
          <w:rFonts w:ascii="VAG Rounded" w:hAnsi="VAG Rounded" w:cs="Arial"/>
          <w:color w:val="005496" w:themeColor="accent1"/>
          <w:sz w:val="28"/>
          <w:szCs w:val="28"/>
        </w:rPr>
        <w:t>About the Antipoverty Centre</w:t>
      </w:r>
    </w:p>
    <w:p w14:paraId="1EA86907" w14:textId="78291D3D" w:rsidR="00112FC8" w:rsidRDefault="00112FC8" w:rsidP="00112FC8">
      <w:pPr>
        <w:pStyle w:val="PWDAbodycopy"/>
        <w:spacing w:after="0" w:line="240" w:lineRule="auto"/>
      </w:pPr>
      <w:r w:rsidRPr="00616337">
        <w:t xml:space="preserve">The Antipoverty Centre is a new organisation established to counter problems with academics, think tanks and others in the political class making harmful decisions on behalf of people they purport to represent. </w:t>
      </w:r>
    </w:p>
    <w:p w14:paraId="5C53B335" w14:textId="77777777" w:rsidR="00112FC8" w:rsidRPr="00616337" w:rsidRDefault="00112FC8" w:rsidP="00112FC8">
      <w:pPr>
        <w:pStyle w:val="PWDAbodycopy"/>
        <w:spacing w:after="0" w:line="240" w:lineRule="auto"/>
      </w:pPr>
    </w:p>
    <w:p w14:paraId="3DD1E578" w14:textId="120ED073" w:rsidR="00112FC8" w:rsidRDefault="00112FC8" w:rsidP="00112FC8">
      <w:pPr>
        <w:pStyle w:val="PWDAbodycopy"/>
        <w:spacing w:after="0" w:line="240" w:lineRule="auto"/>
      </w:pPr>
      <w:r>
        <w:t>We are</w:t>
      </w:r>
      <w:r w:rsidRPr="009B771E">
        <w:t xml:space="preserve"> activists, </w:t>
      </w:r>
      <w:proofErr w:type="gramStart"/>
      <w:r w:rsidRPr="009B771E">
        <w:t>advocates</w:t>
      </w:r>
      <w:proofErr w:type="gramEnd"/>
      <w:r w:rsidRPr="009B771E">
        <w:t xml:space="preserve"> and researchers with lived experience of poverty and disadvantage. We defend and fight for the rights of people like ourselves who experience violence at the hands of a</w:t>
      </w:r>
      <w:r>
        <w:t>n economic</w:t>
      </w:r>
      <w:r w:rsidRPr="009B771E">
        <w:t xml:space="preserve"> system designed to oppress us.</w:t>
      </w:r>
      <w:r>
        <w:t xml:space="preserve"> </w:t>
      </w:r>
      <w:r w:rsidRPr="00616337">
        <w:t>It is our mission to shift how people speak about and respond to poverty in this country.</w:t>
      </w:r>
      <w:r>
        <w:t xml:space="preserve"> </w:t>
      </w:r>
    </w:p>
    <w:p w14:paraId="5D5F773C" w14:textId="77777777" w:rsidR="00112FC8" w:rsidRDefault="00112FC8" w:rsidP="00112FC8">
      <w:pPr>
        <w:pStyle w:val="PWDAbodycopy"/>
        <w:spacing w:after="0" w:line="240" w:lineRule="auto"/>
      </w:pPr>
    </w:p>
    <w:p w14:paraId="63178A24" w14:textId="46EA5163" w:rsidR="00112FC8" w:rsidRPr="0079624A" w:rsidRDefault="00112FC8" w:rsidP="00112FC8">
      <w:pPr>
        <w:pStyle w:val="PWDAbodycopy"/>
        <w:spacing w:after="0" w:line="240" w:lineRule="auto"/>
      </w:pPr>
      <w:r>
        <w:t xml:space="preserve">We work closely with peer support groups, </w:t>
      </w:r>
      <w:proofErr w:type="gramStart"/>
      <w:r>
        <w:t>activists</w:t>
      </w:r>
      <w:proofErr w:type="gramEnd"/>
      <w:r>
        <w:t xml:space="preserve"> and grassroots civil society organisations to complement their work. Our goal is to help ensure the voices and rights of people living in poverty are at the centre of social policy development and discourse. </w:t>
      </w:r>
      <w:r w:rsidRPr="00107E1E">
        <w:t xml:space="preserve">We believe </w:t>
      </w:r>
      <w:r>
        <w:t xml:space="preserve">there should be </w:t>
      </w:r>
      <w:r w:rsidRPr="00107E1E">
        <w:t>no decision made about us without us.</w:t>
      </w:r>
      <w:r>
        <w:t xml:space="preserve"> The Antipoverty Centre is not politically aligned and does not accept funding that places political constraints on our work. </w:t>
      </w:r>
    </w:p>
    <w:p w14:paraId="7C77E566" w14:textId="77777777" w:rsidR="00112FC8" w:rsidRPr="00112FC8" w:rsidRDefault="00112FC8" w:rsidP="0085378B">
      <w:pPr>
        <w:rPr>
          <w:rStyle w:val="markedcontent"/>
          <w:rFonts w:ascii="VAG Rounded" w:hAnsi="VAG Rounded" w:cs="Arial"/>
          <w:szCs w:val="26"/>
        </w:rPr>
      </w:pPr>
    </w:p>
    <w:p w14:paraId="5E5EC0B8" w14:textId="2CD42AC6" w:rsidR="00112FC8" w:rsidRDefault="00112FC8" w:rsidP="0085378B">
      <w:pPr>
        <w:rPr>
          <w:rStyle w:val="markedcontent"/>
          <w:rFonts w:ascii="Arial" w:hAnsi="Arial" w:cs="Arial"/>
          <w:szCs w:val="26"/>
        </w:rPr>
      </w:pPr>
    </w:p>
    <w:p w14:paraId="1B531A95" w14:textId="77777777" w:rsidR="00112FC8" w:rsidRDefault="00112FC8" w:rsidP="0085378B">
      <w:pPr>
        <w:rPr>
          <w:rStyle w:val="markedcontent"/>
          <w:rFonts w:ascii="Arial" w:hAnsi="Arial" w:cs="Arial"/>
          <w:szCs w:val="26"/>
        </w:rPr>
      </w:pPr>
    </w:p>
    <w:p w14:paraId="5F601B6E" w14:textId="77777777" w:rsidR="00CF3431" w:rsidRPr="00450E68" w:rsidRDefault="00CF3431" w:rsidP="0085378B">
      <w:pPr>
        <w:rPr>
          <w:sz w:val="28"/>
          <w:szCs w:val="28"/>
        </w:rPr>
      </w:pPr>
    </w:p>
    <w:p w14:paraId="0509453F" w14:textId="77777777" w:rsidR="00FD4C17" w:rsidRPr="00F1283C" w:rsidRDefault="00FD4C17" w:rsidP="00F1283C">
      <w:pPr>
        <w:pStyle w:val="PWDAContacts"/>
      </w:pPr>
    </w:p>
    <w:p w14:paraId="4FB24625" w14:textId="77777777" w:rsidR="00FD4C17" w:rsidRPr="00F1283C" w:rsidRDefault="00FD4C17" w:rsidP="00F1283C">
      <w:pPr>
        <w:pStyle w:val="PWDAContacts"/>
      </w:pPr>
    </w:p>
    <w:p w14:paraId="0539E57E" w14:textId="77777777" w:rsidR="00FD4C17" w:rsidRPr="00F1283C" w:rsidRDefault="00FD4C17" w:rsidP="00F1283C">
      <w:pPr>
        <w:pStyle w:val="PWDAContacts"/>
      </w:pPr>
    </w:p>
    <w:p w14:paraId="0BC2DEA1" w14:textId="264113E4"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14:paraId="4DE38594" w14:textId="77777777" w:rsidR="00F1283C" w:rsidRDefault="00FD4C17" w:rsidP="00FD4C1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14:paraId="2C88565C" w14:textId="77777777"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0565C7DD" w14:textId="77777777" w:rsidR="00FD4C17" w:rsidRDefault="00FD4C17" w:rsidP="00FD4C17">
      <w:pPr>
        <w:pStyle w:val="PWDAContacts"/>
      </w:pPr>
      <w:r w:rsidRPr="00F1283C">
        <w:rPr>
          <w:rStyle w:val="PWDAContactsHeading"/>
        </w:rPr>
        <w:t>ACN:</w:t>
      </w:r>
      <w:r w:rsidRPr="00FD4C17">
        <w:t xml:space="preserve"> 621</w:t>
      </w:r>
      <w:r>
        <w:t xml:space="preserve"> 720 143</w:t>
      </w:r>
    </w:p>
    <w:p w14:paraId="2CB124DB" w14:textId="77777777" w:rsidR="000A7777" w:rsidRDefault="000A7777" w:rsidP="00FD4C17">
      <w:pPr>
        <w:pStyle w:val="PWDAContacts"/>
      </w:pPr>
    </w:p>
    <w:p w14:paraId="22DFA88C" w14:textId="77777777" w:rsidR="00FD4C17" w:rsidRDefault="00FD4C17" w:rsidP="00FD4C17"/>
    <w:p w14:paraId="7951C52B" w14:textId="77777777" w:rsidR="00BE51EF" w:rsidRDefault="00BE51EF" w:rsidP="00FD4C17"/>
    <w:p w14:paraId="5105F94F" w14:textId="77777777" w:rsidR="00BE51EF" w:rsidRDefault="00BE51EF" w:rsidP="00FD4C17"/>
    <w:p w14:paraId="6D3A1ABF" w14:textId="77777777" w:rsidR="00BE51EF" w:rsidRDefault="00BE51EF" w:rsidP="00FD4C17">
      <w:pPr>
        <w:sectPr w:rsidR="00BE51EF" w:rsidSect="008E2BF3">
          <w:headerReference w:type="even" r:id="rId10"/>
          <w:headerReference w:type="default" r:id="rId11"/>
          <w:headerReference w:type="first" r:id="rId12"/>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514659339"/>
        <w:docPartObj>
          <w:docPartGallery w:val="Table of Contents"/>
          <w:docPartUnique/>
        </w:docPartObj>
      </w:sdtPr>
      <w:sdtEndPr>
        <w:rPr>
          <w:bCs/>
          <w:noProof/>
          <w:sz w:val="26"/>
        </w:rPr>
      </w:sdtEndPr>
      <w:sdtContent>
        <w:p w14:paraId="6921036D" w14:textId="77777777" w:rsidR="009D3D2D" w:rsidRPr="00BE51EF" w:rsidRDefault="009D3D2D" w:rsidP="00BE51EF">
          <w:pPr>
            <w:pStyle w:val="TOCHeading"/>
            <w:rPr>
              <w:rFonts w:asciiTheme="minorHAnsi" w:eastAsiaTheme="minorHAnsi" w:hAnsiTheme="minorHAnsi" w:cstheme="minorBidi"/>
              <w:b w:val="0"/>
              <w:color w:val="auto"/>
              <w:spacing w:val="0"/>
              <w:sz w:val="24"/>
              <w:szCs w:val="24"/>
              <w:lang w:val="en-AU"/>
            </w:rPr>
          </w:pPr>
          <w:r w:rsidRPr="00602D07">
            <w:rPr>
              <w:sz w:val="56"/>
              <w:szCs w:val="56"/>
            </w:rPr>
            <w:t>Contents</w:t>
          </w:r>
        </w:p>
        <w:p w14:paraId="134C2CA7" w14:textId="27B90980" w:rsidR="00F6613B" w:rsidRDefault="009D3D2D">
          <w:pPr>
            <w:pStyle w:val="TOC1"/>
            <w:rPr>
              <w:rFonts w:eastAsiaTheme="minorEastAsia"/>
              <w:sz w:val="22"/>
              <w:szCs w:val="22"/>
              <w:lang w:eastAsia="en-AU"/>
            </w:rPr>
          </w:pPr>
          <w:r w:rsidRPr="004C22BA">
            <w:rPr>
              <w:rFonts w:asciiTheme="majorHAnsi" w:hAnsiTheme="majorHAnsi" w:cstheme="majorHAnsi"/>
              <w:sz w:val="24"/>
            </w:rPr>
            <w:fldChar w:fldCharType="begin"/>
          </w:r>
          <w:r w:rsidRPr="004C22BA">
            <w:rPr>
              <w:rFonts w:asciiTheme="majorHAnsi" w:hAnsiTheme="majorHAnsi" w:cstheme="majorHAnsi"/>
              <w:sz w:val="24"/>
            </w:rPr>
            <w:instrText xml:space="preserve"> TOC \o "1-3" \h \z \u </w:instrText>
          </w:r>
          <w:r w:rsidRPr="004C22BA">
            <w:rPr>
              <w:rFonts w:asciiTheme="majorHAnsi" w:hAnsiTheme="majorHAnsi" w:cstheme="majorHAnsi"/>
              <w:sz w:val="24"/>
            </w:rPr>
            <w:fldChar w:fldCharType="separate"/>
          </w:r>
          <w:hyperlink w:anchor="_Toc79317400" w:history="1">
            <w:r w:rsidR="00F6613B" w:rsidRPr="006314ED">
              <w:rPr>
                <w:rStyle w:val="Hyperlink"/>
              </w:rPr>
              <w:t>Copyright information</w:t>
            </w:r>
            <w:r w:rsidR="00F6613B">
              <w:rPr>
                <w:webHidden/>
              </w:rPr>
              <w:tab/>
            </w:r>
            <w:r w:rsidR="00F6613B">
              <w:rPr>
                <w:webHidden/>
              </w:rPr>
              <w:fldChar w:fldCharType="begin"/>
            </w:r>
            <w:r w:rsidR="00F6613B">
              <w:rPr>
                <w:webHidden/>
              </w:rPr>
              <w:instrText xml:space="preserve"> PAGEREF _Toc79317400 \h </w:instrText>
            </w:r>
            <w:r w:rsidR="00F6613B">
              <w:rPr>
                <w:webHidden/>
              </w:rPr>
            </w:r>
            <w:r w:rsidR="00F6613B">
              <w:rPr>
                <w:webHidden/>
              </w:rPr>
              <w:fldChar w:fldCharType="separate"/>
            </w:r>
            <w:r w:rsidR="00F6613B">
              <w:rPr>
                <w:webHidden/>
              </w:rPr>
              <w:t>4</w:t>
            </w:r>
            <w:r w:rsidR="00F6613B">
              <w:rPr>
                <w:webHidden/>
              </w:rPr>
              <w:fldChar w:fldCharType="end"/>
            </w:r>
          </w:hyperlink>
        </w:p>
        <w:p w14:paraId="6C59B6AA" w14:textId="72E783C0" w:rsidR="00F6613B" w:rsidRDefault="00740142">
          <w:pPr>
            <w:pStyle w:val="TOC1"/>
            <w:tabs>
              <w:tab w:val="left" w:pos="520"/>
            </w:tabs>
            <w:rPr>
              <w:rFonts w:eastAsiaTheme="minorEastAsia"/>
              <w:sz w:val="22"/>
              <w:szCs w:val="22"/>
              <w:lang w:eastAsia="en-AU"/>
            </w:rPr>
          </w:pPr>
          <w:hyperlink w:anchor="_Toc79317401" w:history="1">
            <w:r w:rsidR="00F6613B" w:rsidRPr="006314ED">
              <w:rPr>
                <w:rStyle w:val="Hyperlink"/>
              </w:rPr>
              <w:t>1.</w:t>
            </w:r>
            <w:r w:rsidR="00F6613B">
              <w:rPr>
                <w:rFonts w:eastAsiaTheme="minorEastAsia"/>
                <w:sz w:val="22"/>
                <w:szCs w:val="22"/>
                <w:lang w:eastAsia="en-AU"/>
              </w:rPr>
              <w:tab/>
            </w:r>
            <w:r w:rsidR="00F6613B" w:rsidRPr="006314ED">
              <w:rPr>
                <w:rStyle w:val="Hyperlink"/>
              </w:rPr>
              <w:t>Introduction</w:t>
            </w:r>
            <w:r w:rsidR="00F6613B">
              <w:rPr>
                <w:webHidden/>
              </w:rPr>
              <w:tab/>
            </w:r>
            <w:r w:rsidR="00F6613B">
              <w:rPr>
                <w:webHidden/>
              </w:rPr>
              <w:fldChar w:fldCharType="begin"/>
            </w:r>
            <w:r w:rsidR="00F6613B">
              <w:rPr>
                <w:webHidden/>
              </w:rPr>
              <w:instrText xml:space="preserve"> PAGEREF _Toc79317401 \h </w:instrText>
            </w:r>
            <w:r w:rsidR="00F6613B">
              <w:rPr>
                <w:webHidden/>
              </w:rPr>
            </w:r>
            <w:r w:rsidR="00F6613B">
              <w:rPr>
                <w:webHidden/>
              </w:rPr>
              <w:fldChar w:fldCharType="separate"/>
            </w:r>
            <w:r w:rsidR="00F6613B">
              <w:rPr>
                <w:webHidden/>
              </w:rPr>
              <w:t>6</w:t>
            </w:r>
            <w:r w:rsidR="00F6613B">
              <w:rPr>
                <w:webHidden/>
              </w:rPr>
              <w:fldChar w:fldCharType="end"/>
            </w:r>
          </w:hyperlink>
        </w:p>
        <w:p w14:paraId="48C19A35" w14:textId="05369A3C" w:rsidR="00F6613B" w:rsidRDefault="00740142">
          <w:pPr>
            <w:pStyle w:val="TOC1"/>
            <w:tabs>
              <w:tab w:val="left" w:pos="520"/>
            </w:tabs>
            <w:rPr>
              <w:rFonts w:eastAsiaTheme="minorEastAsia"/>
              <w:sz w:val="22"/>
              <w:szCs w:val="22"/>
              <w:lang w:eastAsia="en-AU"/>
            </w:rPr>
          </w:pPr>
          <w:hyperlink w:anchor="_Toc79317402" w:history="1">
            <w:r w:rsidR="00F6613B" w:rsidRPr="006314ED">
              <w:rPr>
                <w:rStyle w:val="Hyperlink"/>
              </w:rPr>
              <w:t>2.</w:t>
            </w:r>
            <w:r w:rsidR="00F6613B">
              <w:rPr>
                <w:rFonts w:eastAsiaTheme="minorEastAsia"/>
                <w:sz w:val="22"/>
                <w:szCs w:val="22"/>
                <w:lang w:eastAsia="en-AU"/>
              </w:rPr>
              <w:tab/>
            </w:r>
            <w:r w:rsidR="00F6613B" w:rsidRPr="006314ED">
              <w:rPr>
                <w:rStyle w:val="Hyperlink"/>
              </w:rPr>
              <w:t>An opportunity for reform</w:t>
            </w:r>
            <w:r w:rsidR="00F6613B">
              <w:rPr>
                <w:webHidden/>
              </w:rPr>
              <w:tab/>
            </w:r>
            <w:r w:rsidR="00F6613B">
              <w:rPr>
                <w:webHidden/>
              </w:rPr>
              <w:fldChar w:fldCharType="begin"/>
            </w:r>
            <w:r w:rsidR="00F6613B">
              <w:rPr>
                <w:webHidden/>
              </w:rPr>
              <w:instrText xml:space="preserve"> PAGEREF _Toc79317402 \h </w:instrText>
            </w:r>
            <w:r w:rsidR="00F6613B">
              <w:rPr>
                <w:webHidden/>
              </w:rPr>
            </w:r>
            <w:r w:rsidR="00F6613B">
              <w:rPr>
                <w:webHidden/>
              </w:rPr>
              <w:fldChar w:fldCharType="separate"/>
            </w:r>
            <w:r w:rsidR="00F6613B">
              <w:rPr>
                <w:webHidden/>
              </w:rPr>
              <w:t>9</w:t>
            </w:r>
            <w:r w:rsidR="00F6613B">
              <w:rPr>
                <w:webHidden/>
              </w:rPr>
              <w:fldChar w:fldCharType="end"/>
            </w:r>
          </w:hyperlink>
        </w:p>
        <w:p w14:paraId="4645C63C" w14:textId="2F109206" w:rsidR="00F6613B" w:rsidRDefault="00740142">
          <w:pPr>
            <w:pStyle w:val="TOC2"/>
            <w:rPr>
              <w:rFonts w:eastAsiaTheme="minorEastAsia"/>
              <w:i w:val="0"/>
              <w:iCs w:val="0"/>
              <w:sz w:val="22"/>
              <w:szCs w:val="22"/>
              <w:lang w:eastAsia="en-AU"/>
            </w:rPr>
          </w:pPr>
          <w:hyperlink w:anchor="_Toc79317403" w:history="1">
            <w:r w:rsidR="00F6613B" w:rsidRPr="006314ED">
              <w:rPr>
                <w:rStyle w:val="Hyperlink"/>
              </w:rPr>
              <w:t>Specific recommendations regarding the operation of the tables</w:t>
            </w:r>
            <w:r w:rsidR="00F6613B">
              <w:rPr>
                <w:webHidden/>
              </w:rPr>
              <w:tab/>
            </w:r>
            <w:r w:rsidR="00F6613B" w:rsidRPr="00F409B4">
              <w:rPr>
                <w:i w:val="0"/>
                <w:iCs w:val="0"/>
                <w:webHidden/>
              </w:rPr>
              <w:fldChar w:fldCharType="begin"/>
            </w:r>
            <w:r w:rsidR="00F6613B" w:rsidRPr="00F409B4">
              <w:rPr>
                <w:i w:val="0"/>
                <w:iCs w:val="0"/>
                <w:webHidden/>
              </w:rPr>
              <w:instrText xml:space="preserve"> PAGEREF _Toc79317403 \h </w:instrText>
            </w:r>
            <w:r w:rsidR="00F6613B" w:rsidRPr="00F409B4">
              <w:rPr>
                <w:i w:val="0"/>
                <w:iCs w:val="0"/>
                <w:webHidden/>
              </w:rPr>
            </w:r>
            <w:r w:rsidR="00F6613B" w:rsidRPr="00F409B4">
              <w:rPr>
                <w:i w:val="0"/>
                <w:iCs w:val="0"/>
                <w:webHidden/>
              </w:rPr>
              <w:fldChar w:fldCharType="separate"/>
            </w:r>
            <w:r w:rsidR="00F6613B" w:rsidRPr="00F409B4">
              <w:rPr>
                <w:i w:val="0"/>
                <w:iCs w:val="0"/>
                <w:webHidden/>
              </w:rPr>
              <w:t>9</w:t>
            </w:r>
            <w:r w:rsidR="00F6613B" w:rsidRPr="00F409B4">
              <w:rPr>
                <w:i w:val="0"/>
                <w:iCs w:val="0"/>
                <w:webHidden/>
              </w:rPr>
              <w:fldChar w:fldCharType="end"/>
            </w:r>
          </w:hyperlink>
        </w:p>
        <w:p w14:paraId="7DD2C39C" w14:textId="2499A7B9" w:rsidR="00F6613B" w:rsidRDefault="00740142">
          <w:pPr>
            <w:pStyle w:val="TOC3"/>
            <w:tabs>
              <w:tab w:val="left" w:pos="1100"/>
              <w:tab w:val="right" w:pos="9628"/>
            </w:tabs>
            <w:rPr>
              <w:rFonts w:eastAsiaTheme="minorEastAsia"/>
              <w:noProof/>
              <w:sz w:val="22"/>
              <w:szCs w:val="22"/>
              <w:lang w:eastAsia="en-AU"/>
            </w:rPr>
          </w:pPr>
          <w:hyperlink w:anchor="_Toc79317404" w:history="1">
            <w:r w:rsidR="00F6613B" w:rsidRPr="006314ED">
              <w:rPr>
                <w:rStyle w:val="Hyperlink"/>
                <w:noProof/>
              </w:rPr>
              <w:t>1.</w:t>
            </w:r>
            <w:r w:rsidR="00F6613B">
              <w:rPr>
                <w:rFonts w:eastAsiaTheme="minorEastAsia"/>
                <w:noProof/>
                <w:sz w:val="22"/>
                <w:szCs w:val="22"/>
                <w:lang w:eastAsia="en-AU"/>
              </w:rPr>
              <w:tab/>
            </w:r>
            <w:r w:rsidR="00F6613B" w:rsidRPr="006314ED">
              <w:rPr>
                <w:rStyle w:val="Hyperlink"/>
                <w:noProof/>
              </w:rPr>
              <w:t>Amend impairment tables to make the DSP easier to access</w:t>
            </w:r>
            <w:r w:rsidR="00F6613B">
              <w:rPr>
                <w:noProof/>
                <w:webHidden/>
              </w:rPr>
              <w:tab/>
            </w:r>
            <w:r w:rsidR="00F6613B">
              <w:rPr>
                <w:noProof/>
                <w:webHidden/>
              </w:rPr>
              <w:fldChar w:fldCharType="begin"/>
            </w:r>
            <w:r w:rsidR="00F6613B">
              <w:rPr>
                <w:noProof/>
                <w:webHidden/>
              </w:rPr>
              <w:instrText xml:space="preserve"> PAGEREF _Toc79317404 \h </w:instrText>
            </w:r>
            <w:r w:rsidR="00F6613B">
              <w:rPr>
                <w:noProof/>
                <w:webHidden/>
              </w:rPr>
            </w:r>
            <w:r w:rsidR="00F6613B">
              <w:rPr>
                <w:noProof/>
                <w:webHidden/>
              </w:rPr>
              <w:fldChar w:fldCharType="separate"/>
            </w:r>
            <w:r w:rsidR="00F6613B">
              <w:rPr>
                <w:noProof/>
                <w:webHidden/>
              </w:rPr>
              <w:t>9</w:t>
            </w:r>
            <w:r w:rsidR="00F6613B">
              <w:rPr>
                <w:noProof/>
                <w:webHidden/>
              </w:rPr>
              <w:fldChar w:fldCharType="end"/>
            </w:r>
          </w:hyperlink>
        </w:p>
        <w:p w14:paraId="19A73362" w14:textId="7AC1FA5C" w:rsidR="00F6613B" w:rsidRDefault="00740142">
          <w:pPr>
            <w:pStyle w:val="TOC3"/>
            <w:tabs>
              <w:tab w:val="left" w:pos="1100"/>
              <w:tab w:val="right" w:pos="9628"/>
            </w:tabs>
            <w:rPr>
              <w:rFonts w:eastAsiaTheme="minorEastAsia"/>
              <w:noProof/>
              <w:sz w:val="22"/>
              <w:szCs w:val="22"/>
              <w:lang w:eastAsia="en-AU"/>
            </w:rPr>
          </w:pPr>
          <w:hyperlink w:anchor="_Toc79317405" w:history="1">
            <w:r w:rsidR="00F6613B" w:rsidRPr="006314ED">
              <w:rPr>
                <w:rStyle w:val="Hyperlink"/>
                <w:noProof/>
              </w:rPr>
              <w:t>2.</w:t>
            </w:r>
            <w:r w:rsidR="00F6613B">
              <w:rPr>
                <w:rFonts w:eastAsiaTheme="minorEastAsia"/>
                <w:noProof/>
                <w:sz w:val="22"/>
                <w:szCs w:val="22"/>
                <w:lang w:eastAsia="en-AU"/>
              </w:rPr>
              <w:tab/>
            </w:r>
            <w:r w:rsidR="00F6613B" w:rsidRPr="006314ED">
              <w:rPr>
                <w:rStyle w:val="Hyperlink"/>
                <w:noProof/>
              </w:rPr>
              <w:t>Round points up, not down</w:t>
            </w:r>
            <w:r w:rsidR="00F6613B">
              <w:rPr>
                <w:noProof/>
                <w:webHidden/>
              </w:rPr>
              <w:tab/>
            </w:r>
            <w:r w:rsidR="00F6613B">
              <w:rPr>
                <w:noProof/>
                <w:webHidden/>
              </w:rPr>
              <w:fldChar w:fldCharType="begin"/>
            </w:r>
            <w:r w:rsidR="00F6613B">
              <w:rPr>
                <w:noProof/>
                <w:webHidden/>
              </w:rPr>
              <w:instrText xml:space="preserve"> PAGEREF _Toc79317405 \h </w:instrText>
            </w:r>
            <w:r w:rsidR="00F6613B">
              <w:rPr>
                <w:noProof/>
                <w:webHidden/>
              </w:rPr>
            </w:r>
            <w:r w:rsidR="00F6613B">
              <w:rPr>
                <w:noProof/>
                <w:webHidden/>
              </w:rPr>
              <w:fldChar w:fldCharType="separate"/>
            </w:r>
            <w:r w:rsidR="00F6613B">
              <w:rPr>
                <w:noProof/>
                <w:webHidden/>
              </w:rPr>
              <w:t>10</w:t>
            </w:r>
            <w:r w:rsidR="00F6613B">
              <w:rPr>
                <w:noProof/>
                <w:webHidden/>
              </w:rPr>
              <w:fldChar w:fldCharType="end"/>
            </w:r>
          </w:hyperlink>
        </w:p>
        <w:p w14:paraId="3E6AE5E2" w14:textId="5BBD359A" w:rsidR="00F6613B" w:rsidRDefault="00740142">
          <w:pPr>
            <w:pStyle w:val="TOC3"/>
            <w:tabs>
              <w:tab w:val="left" w:pos="1100"/>
              <w:tab w:val="right" w:pos="9628"/>
            </w:tabs>
            <w:rPr>
              <w:rFonts w:eastAsiaTheme="minorEastAsia"/>
              <w:noProof/>
              <w:sz w:val="22"/>
              <w:szCs w:val="22"/>
              <w:lang w:eastAsia="en-AU"/>
            </w:rPr>
          </w:pPr>
          <w:hyperlink w:anchor="_Toc79317406" w:history="1">
            <w:r w:rsidR="00F6613B" w:rsidRPr="006314ED">
              <w:rPr>
                <w:rStyle w:val="Hyperlink"/>
                <w:noProof/>
              </w:rPr>
              <w:t>3.</w:t>
            </w:r>
            <w:r w:rsidR="00F6613B">
              <w:rPr>
                <w:rFonts w:eastAsiaTheme="minorEastAsia"/>
                <w:noProof/>
                <w:sz w:val="22"/>
                <w:szCs w:val="22"/>
                <w:lang w:eastAsia="en-AU"/>
              </w:rPr>
              <w:tab/>
            </w:r>
            <w:r w:rsidR="00F6613B" w:rsidRPr="006314ED">
              <w:rPr>
                <w:rStyle w:val="Hyperlink"/>
                <w:noProof/>
              </w:rPr>
              <w:t>Permit people who meet requirements across multiple tables to access the DSP</w:t>
            </w:r>
            <w:r w:rsidR="00F6613B">
              <w:rPr>
                <w:noProof/>
                <w:webHidden/>
              </w:rPr>
              <w:tab/>
            </w:r>
            <w:r w:rsidR="00F6613B">
              <w:rPr>
                <w:noProof/>
                <w:webHidden/>
              </w:rPr>
              <w:fldChar w:fldCharType="begin"/>
            </w:r>
            <w:r w:rsidR="00F6613B">
              <w:rPr>
                <w:noProof/>
                <w:webHidden/>
              </w:rPr>
              <w:instrText xml:space="preserve"> PAGEREF _Toc79317406 \h </w:instrText>
            </w:r>
            <w:r w:rsidR="00F6613B">
              <w:rPr>
                <w:noProof/>
                <w:webHidden/>
              </w:rPr>
            </w:r>
            <w:r w:rsidR="00F6613B">
              <w:rPr>
                <w:noProof/>
                <w:webHidden/>
              </w:rPr>
              <w:fldChar w:fldCharType="separate"/>
            </w:r>
            <w:r w:rsidR="00F6613B">
              <w:rPr>
                <w:noProof/>
                <w:webHidden/>
              </w:rPr>
              <w:t>10</w:t>
            </w:r>
            <w:r w:rsidR="00F6613B">
              <w:rPr>
                <w:noProof/>
                <w:webHidden/>
              </w:rPr>
              <w:fldChar w:fldCharType="end"/>
            </w:r>
          </w:hyperlink>
        </w:p>
        <w:p w14:paraId="2601DA2E" w14:textId="69B96D3E" w:rsidR="00F6613B" w:rsidRDefault="00740142">
          <w:pPr>
            <w:pStyle w:val="TOC3"/>
            <w:tabs>
              <w:tab w:val="left" w:pos="1100"/>
              <w:tab w:val="right" w:pos="9628"/>
            </w:tabs>
            <w:rPr>
              <w:rFonts w:eastAsiaTheme="minorEastAsia"/>
              <w:noProof/>
              <w:sz w:val="22"/>
              <w:szCs w:val="22"/>
              <w:lang w:eastAsia="en-AU"/>
            </w:rPr>
          </w:pPr>
          <w:hyperlink w:anchor="_Toc79317407" w:history="1">
            <w:r w:rsidR="00F6613B" w:rsidRPr="006314ED">
              <w:rPr>
                <w:rStyle w:val="Hyperlink"/>
                <w:noProof/>
              </w:rPr>
              <w:t>4.</w:t>
            </w:r>
            <w:r w:rsidR="00F6613B">
              <w:rPr>
                <w:rFonts w:eastAsiaTheme="minorEastAsia"/>
                <w:noProof/>
                <w:sz w:val="22"/>
                <w:szCs w:val="22"/>
                <w:lang w:eastAsia="en-AU"/>
              </w:rPr>
              <w:tab/>
            </w:r>
            <w:r w:rsidR="00F6613B" w:rsidRPr="006314ED">
              <w:rPr>
                <w:rStyle w:val="Hyperlink"/>
                <w:noProof/>
              </w:rPr>
              <w:t>Remove classification of the number of hours a person can work</w:t>
            </w:r>
            <w:r w:rsidR="00F6613B">
              <w:rPr>
                <w:noProof/>
                <w:webHidden/>
              </w:rPr>
              <w:tab/>
            </w:r>
            <w:r w:rsidR="00F6613B">
              <w:rPr>
                <w:noProof/>
                <w:webHidden/>
              </w:rPr>
              <w:fldChar w:fldCharType="begin"/>
            </w:r>
            <w:r w:rsidR="00F6613B">
              <w:rPr>
                <w:noProof/>
                <w:webHidden/>
              </w:rPr>
              <w:instrText xml:space="preserve"> PAGEREF _Toc79317407 \h </w:instrText>
            </w:r>
            <w:r w:rsidR="00F6613B">
              <w:rPr>
                <w:noProof/>
                <w:webHidden/>
              </w:rPr>
            </w:r>
            <w:r w:rsidR="00F6613B">
              <w:rPr>
                <w:noProof/>
                <w:webHidden/>
              </w:rPr>
              <w:fldChar w:fldCharType="separate"/>
            </w:r>
            <w:r w:rsidR="00F6613B">
              <w:rPr>
                <w:noProof/>
                <w:webHidden/>
              </w:rPr>
              <w:t>13</w:t>
            </w:r>
            <w:r w:rsidR="00F6613B">
              <w:rPr>
                <w:noProof/>
                <w:webHidden/>
              </w:rPr>
              <w:fldChar w:fldCharType="end"/>
            </w:r>
          </w:hyperlink>
        </w:p>
        <w:p w14:paraId="301BF0B3" w14:textId="3BC3C94C" w:rsidR="00F6613B" w:rsidRDefault="00740142">
          <w:pPr>
            <w:pStyle w:val="TOC3"/>
            <w:tabs>
              <w:tab w:val="left" w:pos="1100"/>
              <w:tab w:val="right" w:pos="9628"/>
            </w:tabs>
            <w:rPr>
              <w:rFonts w:eastAsiaTheme="minorEastAsia"/>
              <w:noProof/>
              <w:sz w:val="22"/>
              <w:szCs w:val="22"/>
              <w:lang w:eastAsia="en-AU"/>
            </w:rPr>
          </w:pPr>
          <w:hyperlink w:anchor="_Toc79317408" w:history="1">
            <w:r w:rsidR="00F6613B" w:rsidRPr="006314ED">
              <w:rPr>
                <w:rStyle w:val="Hyperlink"/>
                <w:noProof/>
              </w:rPr>
              <w:t>5.</w:t>
            </w:r>
            <w:r w:rsidR="00F6613B">
              <w:rPr>
                <w:rFonts w:eastAsiaTheme="minorEastAsia"/>
                <w:noProof/>
                <w:sz w:val="22"/>
                <w:szCs w:val="22"/>
                <w:lang w:eastAsia="en-AU"/>
              </w:rPr>
              <w:tab/>
            </w:r>
            <w:r w:rsidR="00F6613B" w:rsidRPr="006314ED">
              <w:rPr>
                <w:rStyle w:val="Hyperlink"/>
                <w:noProof/>
              </w:rPr>
              <w:t>Remove the “fully treated, diagnosed, and stabilised” criteria</w:t>
            </w:r>
            <w:r w:rsidR="00F6613B">
              <w:rPr>
                <w:noProof/>
                <w:webHidden/>
              </w:rPr>
              <w:tab/>
            </w:r>
            <w:r w:rsidR="00F6613B">
              <w:rPr>
                <w:noProof/>
                <w:webHidden/>
              </w:rPr>
              <w:fldChar w:fldCharType="begin"/>
            </w:r>
            <w:r w:rsidR="00F6613B">
              <w:rPr>
                <w:noProof/>
                <w:webHidden/>
              </w:rPr>
              <w:instrText xml:space="preserve"> PAGEREF _Toc79317408 \h </w:instrText>
            </w:r>
            <w:r w:rsidR="00F6613B">
              <w:rPr>
                <w:noProof/>
                <w:webHidden/>
              </w:rPr>
            </w:r>
            <w:r w:rsidR="00F6613B">
              <w:rPr>
                <w:noProof/>
                <w:webHidden/>
              </w:rPr>
              <w:fldChar w:fldCharType="separate"/>
            </w:r>
            <w:r w:rsidR="00F6613B">
              <w:rPr>
                <w:noProof/>
                <w:webHidden/>
              </w:rPr>
              <w:t>13</w:t>
            </w:r>
            <w:r w:rsidR="00F6613B">
              <w:rPr>
                <w:noProof/>
                <w:webHidden/>
              </w:rPr>
              <w:fldChar w:fldCharType="end"/>
            </w:r>
          </w:hyperlink>
        </w:p>
        <w:p w14:paraId="3AEDE2A3" w14:textId="6A794A42" w:rsidR="00F6613B" w:rsidRDefault="00740142">
          <w:pPr>
            <w:pStyle w:val="TOC3"/>
            <w:tabs>
              <w:tab w:val="left" w:pos="1100"/>
              <w:tab w:val="right" w:pos="9628"/>
            </w:tabs>
            <w:rPr>
              <w:rFonts w:eastAsiaTheme="minorEastAsia"/>
              <w:noProof/>
              <w:sz w:val="22"/>
              <w:szCs w:val="22"/>
              <w:lang w:eastAsia="en-AU"/>
            </w:rPr>
          </w:pPr>
          <w:hyperlink w:anchor="_Toc79317409" w:history="1">
            <w:r w:rsidR="00F6613B" w:rsidRPr="006314ED">
              <w:rPr>
                <w:rStyle w:val="Hyperlink"/>
                <w:noProof/>
              </w:rPr>
              <w:t>6.</w:t>
            </w:r>
            <w:r w:rsidR="00F6613B">
              <w:rPr>
                <w:rFonts w:eastAsiaTheme="minorEastAsia"/>
                <w:noProof/>
                <w:sz w:val="22"/>
                <w:szCs w:val="22"/>
                <w:lang w:eastAsia="en-AU"/>
              </w:rPr>
              <w:tab/>
            </w:r>
            <w:r w:rsidR="00F6613B" w:rsidRPr="006314ED">
              <w:rPr>
                <w:rStyle w:val="Hyperlink"/>
                <w:noProof/>
              </w:rPr>
              <w:t>Introduce a new Medicare line item</w:t>
            </w:r>
            <w:r w:rsidR="00F6613B">
              <w:rPr>
                <w:noProof/>
                <w:webHidden/>
              </w:rPr>
              <w:tab/>
            </w:r>
            <w:r w:rsidR="00F6613B">
              <w:rPr>
                <w:noProof/>
                <w:webHidden/>
              </w:rPr>
              <w:fldChar w:fldCharType="begin"/>
            </w:r>
            <w:r w:rsidR="00F6613B">
              <w:rPr>
                <w:noProof/>
                <w:webHidden/>
              </w:rPr>
              <w:instrText xml:space="preserve"> PAGEREF _Toc79317409 \h </w:instrText>
            </w:r>
            <w:r w:rsidR="00F6613B">
              <w:rPr>
                <w:noProof/>
                <w:webHidden/>
              </w:rPr>
            </w:r>
            <w:r w:rsidR="00F6613B">
              <w:rPr>
                <w:noProof/>
                <w:webHidden/>
              </w:rPr>
              <w:fldChar w:fldCharType="separate"/>
            </w:r>
            <w:r w:rsidR="00F6613B">
              <w:rPr>
                <w:noProof/>
                <w:webHidden/>
              </w:rPr>
              <w:t>15</w:t>
            </w:r>
            <w:r w:rsidR="00F6613B">
              <w:rPr>
                <w:noProof/>
                <w:webHidden/>
              </w:rPr>
              <w:fldChar w:fldCharType="end"/>
            </w:r>
          </w:hyperlink>
        </w:p>
        <w:p w14:paraId="531C585D" w14:textId="10677622" w:rsidR="00F6613B" w:rsidRDefault="00740142">
          <w:pPr>
            <w:pStyle w:val="TOC3"/>
            <w:tabs>
              <w:tab w:val="left" w:pos="1100"/>
              <w:tab w:val="right" w:pos="9628"/>
            </w:tabs>
            <w:rPr>
              <w:rFonts w:eastAsiaTheme="minorEastAsia"/>
              <w:noProof/>
              <w:sz w:val="22"/>
              <w:szCs w:val="22"/>
              <w:lang w:eastAsia="en-AU"/>
            </w:rPr>
          </w:pPr>
          <w:hyperlink w:anchor="_Toc79317410" w:history="1">
            <w:r w:rsidR="00F6613B" w:rsidRPr="006314ED">
              <w:rPr>
                <w:rStyle w:val="Hyperlink"/>
                <w:noProof/>
              </w:rPr>
              <w:t>7.</w:t>
            </w:r>
            <w:r w:rsidR="00F6613B">
              <w:rPr>
                <w:rFonts w:eastAsiaTheme="minorEastAsia"/>
                <w:noProof/>
                <w:sz w:val="22"/>
                <w:szCs w:val="22"/>
                <w:lang w:eastAsia="en-AU"/>
              </w:rPr>
              <w:tab/>
            </w:r>
            <w:r w:rsidR="00F6613B" w:rsidRPr="006314ED">
              <w:rPr>
                <w:rStyle w:val="Hyperlink"/>
                <w:noProof/>
              </w:rPr>
              <w:t>Provide additional support for treating professionals</w:t>
            </w:r>
            <w:r w:rsidR="00F6613B">
              <w:rPr>
                <w:noProof/>
                <w:webHidden/>
              </w:rPr>
              <w:tab/>
            </w:r>
            <w:r w:rsidR="00F6613B">
              <w:rPr>
                <w:noProof/>
                <w:webHidden/>
              </w:rPr>
              <w:fldChar w:fldCharType="begin"/>
            </w:r>
            <w:r w:rsidR="00F6613B">
              <w:rPr>
                <w:noProof/>
                <w:webHidden/>
              </w:rPr>
              <w:instrText xml:space="preserve"> PAGEREF _Toc79317410 \h </w:instrText>
            </w:r>
            <w:r w:rsidR="00F6613B">
              <w:rPr>
                <w:noProof/>
                <w:webHidden/>
              </w:rPr>
            </w:r>
            <w:r w:rsidR="00F6613B">
              <w:rPr>
                <w:noProof/>
                <w:webHidden/>
              </w:rPr>
              <w:fldChar w:fldCharType="separate"/>
            </w:r>
            <w:r w:rsidR="00F6613B">
              <w:rPr>
                <w:noProof/>
                <w:webHidden/>
              </w:rPr>
              <w:t>15</w:t>
            </w:r>
            <w:r w:rsidR="00F6613B">
              <w:rPr>
                <w:noProof/>
                <w:webHidden/>
              </w:rPr>
              <w:fldChar w:fldCharType="end"/>
            </w:r>
          </w:hyperlink>
        </w:p>
        <w:p w14:paraId="0176B6C4" w14:textId="618486C4" w:rsidR="00F6613B" w:rsidRDefault="00740142">
          <w:pPr>
            <w:pStyle w:val="TOC3"/>
            <w:tabs>
              <w:tab w:val="left" w:pos="1100"/>
              <w:tab w:val="right" w:pos="9628"/>
            </w:tabs>
            <w:rPr>
              <w:rFonts w:eastAsiaTheme="minorEastAsia"/>
              <w:noProof/>
              <w:sz w:val="22"/>
              <w:szCs w:val="22"/>
              <w:lang w:eastAsia="en-AU"/>
            </w:rPr>
          </w:pPr>
          <w:hyperlink w:anchor="_Toc79317411" w:history="1">
            <w:r w:rsidR="00F6613B" w:rsidRPr="006314ED">
              <w:rPr>
                <w:rStyle w:val="Hyperlink"/>
                <w:noProof/>
              </w:rPr>
              <w:t>8.</w:t>
            </w:r>
            <w:r w:rsidR="00F6613B">
              <w:rPr>
                <w:rFonts w:eastAsiaTheme="minorEastAsia"/>
                <w:noProof/>
                <w:sz w:val="22"/>
                <w:szCs w:val="22"/>
                <w:lang w:eastAsia="en-AU"/>
              </w:rPr>
              <w:tab/>
            </w:r>
            <w:r w:rsidR="00F6613B" w:rsidRPr="006314ED">
              <w:rPr>
                <w:rStyle w:val="Hyperlink"/>
                <w:noProof/>
              </w:rPr>
              <w:t>Allow for further revision of the tables before the next sunset clause</w:t>
            </w:r>
            <w:r w:rsidR="00F6613B">
              <w:rPr>
                <w:noProof/>
                <w:webHidden/>
              </w:rPr>
              <w:tab/>
            </w:r>
            <w:r w:rsidR="00F6613B">
              <w:rPr>
                <w:noProof/>
                <w:webHidden/>
              </w:rPr>
              <w:fldChar w:fldCharType="begin"/>
            </w:r>
            <w:r w:rsidR="00F6613B">
              <w:rPr>
                <w:noProof/>
                <w:webHidden/>
              </w:rPr>
              <w:instrText xml:space="preserve"> PAGEREF _Toc79317411 \h </w:instrText>
            </w:r>
            <w:r w:rsidR="00F6613B">
              <w:rPr>
                <w:noProof/>
                <w:webHidden/>
              </w:rPr>
            </w:r>
            <w:r w:rsidR="00F6613B">
              <w:rPr>
                <w:noProof/>
                <w:webHidden/>
              </w:rPr>
              <w:fldChar w:fldCharType="separate"/>
            </w:r>
            <w:r w:rsidR="00F6613B">
              <w:rPr>
                <w:noProof/>
                <w:webHidden/>
              </w:rPr>
              <w:t>16</w:t>
            </w:r>
            <w:r w:rsidR="00F6613B">
              <w:rPr>
                <w:noProof/>
                <w:webHidden/>
              </w:rPr>
              <w:fldChar w:fldCharType="end"/>
            </w:r>
          </w:hyperlink>
        </w:p>
        <w:p w14:paraId="3992CD69" w14:textId="424E1B8D" w:rsidR="009D3D2D" w:rsidRDefault="009D3D2D">
          <w:r w:rsidRPr="004C22BA">
            <w:rPr>
              <w:rFonts w:asciiTheme="majorHAnsi" w:hAnsiTheme="majorHAnsi" w:cstheme="majorHAnsi"/>
              <w:b/>
              <w:bCs/>
              <w:noProof/>
              <w:sz w:val="24"/>
            </w:rPr>
            <w:fldChar w:fldCharType="end"/>
          </w:r>
        </w:p>
      </w:sdtContent>
    </w:sdt>
    <w:p w14:paraId="4FDF1414" w14:textId="77777777" w:rsidR="00CB2E90" w:rsidRDefault="00CB2E90">
      <w:pPr>
        <w:spacing w:after="160" w:line="259" w:lineRule="auto"/>
      </w:pPr>
      <w:r>
        <w:br w:type="page"/>
      </w:r>
    </w:p>
    <w:p w14:paraId="3C12226D" w14:textId="77777777" w:rsidR="000A7777" w:rsidRPr="000A7777" w:rsidRDefault="000A7777" w:rsidP="000A7777">
      <w:pPr>
        <w:pStyle w:val="Heading1"/>
        <w:rPr>
          <w:sz w:val="56"/>
          <w:szCs w:val="56"/>
        </w:rPr>
      </w:pPr>
      <w:bookmarkStart w:id="1" w:name="_Toc77581053"/>
      <w:bookmarkStart w:id="2" w:name="_Toc79317400"/>
      <w:r w:rsidRPr="000A7777">
        <w:rPr>
          <w:rFonts w:eastAsiaTheme="minorHAnsi"/>
          <w:sz w:val="56"/>
          <w:szCs w:val="56"/>
        </w:rPr>
        <w:lastRenderedPageBreak/>
        <w:t>Copyright information</w:t>
      </w:r>
      <w:bookmarkEnd w:id="1"/>
      <w:bookmarkEnd w:id="2"/>
    </w:p>
    <w:p w14:paraId="2BCE3188" w14:textId="405DED00" w:rsidR="006D4828" w:rsidRDefault="007F4809" w:rsidP="000A7777">
      <w:pPr>
        <w:pStyle w:val="BodyText"/>
      </w:pPr>
      <w:r>
        <w:rPr>
          <w:i/>
          <w:iCs/>
        </w:rPr>
        <w:t>Impairment Tables Impair Our Access t</w:t>
      </w:r>
      <w:r w:rsidR="00FC010D">
        <w:rPr>
          <w:i/>
          <w:iCs/>
        </w:rPr>
        <w:t xml:space="preserve">o </w:t>
      </w:r>
      <w:r>
        <w:rPr>
          <w:i/>
          <w:iCs/>
        </w:rPr>
        <w:t>Supp</w:t>
      </w:r>
      <w:r w:rsidR="00FC010D">
        <w:rPr>
          <w:i/>
          <w:iCs/>
        </w:rPr>
        <w:t>orts</w:t>
      </w:r>
      <w:r w:rsidR="006D4828">
        <w:rPr>
          <w:i/>
          <w:iCs/>
        </w:rPr>
        <w:t xml:space="preserve">: People with Disability Australia’s submission to </w:t>
      </w:r>
      <w:r>
        <w:rPr>
          <w:i/>
          <w:iCs/>
        </w:rPr>
        <w:t>Department of Social Services’ Review of the Disability Support Pension Impairment Tables</w:t>
      </w:r>
      <w:r w:rsidR="006D4828">
        <w:rPr>
          <w:i/>
          <w:iCs/>
        </w:rPr>
        <w:t xml:space="preserve"> </w:t>
      </w:r>
    </w:p>
    <w:p w14:paraId="40590732" w14:textId="4E1E0D8E" w:rsidR="00BA0F8A" w:rsidRDefault="00BA0F8A" w:rsidP="000A7777">
      <w:pPr>
        <w:pStyle w:val="BodyText"/>
      </w:pPr>
      <w:r>
        <w:t>This submission was written in collaboration with The Antipoverty Centre.</w:t>
      </w:r>
    </w:p>
    <w:p w14:paraId="3336B450" w14:textId="3534A98B" w:rsidR="000A7777" w:rsidRDefault="000A7777" w:rsidP="000A7777">
      <w:pPr>
        <w:pStyle w:val="BodyText"/>
      </w:pPr>
      <w:r>
        <w:t>First published in 2021 by People with Disability Australia Ltd.</w:t>
      </w:r>
      <w:r>
        <w:br/>
        <w:t>Level 8, 418a Elizabeth Street, Surry Hills, New South Wales, Australia 2010</w:t>
      </w:r>
      <w:r>
        <w:br/>
        <w:t>Head office also in Sydney</w:t>
      </w:r>
      <w:r>
        <w:br/>
        <w:t>Email:</w:t>
      </w:r>
      <w:r w:rsidRPr="00362DFC">
        <w:rPr>
          <w:b/>
          <w:bCs/>
        </w:rPr>
        <w:t xml:space="preserve"> </w:t>
      </w:r>
      <w:hyperlink r:id="rId13" w:history="1">
        <w:r w:rsidRPr="00362DFC">
          <w:rPr>
            <w:rStyle w:val="Hyperlink"/>
            <w:b w:val="0"/>
            <w:bCs/>
          </w:rPr>
          <w:t>pwda@pwd.org.au</w:t>
        </w:r>
      </w:hyperlink>
      <w:r>
        <w:br/>
        <w:t>Phone: +61 2 9370 3100 Fax: +61 2 9318 1372</w:t>
      </w:r>
      <w:r>
        <w:br/>
        <w:t xml:space="preserve">URL: </w:t>
      </w:r>
      <w:hyperlink r:id="rId14" w:history="1">
        <w:r w:rsidRPr="00362DFC">
          <w:rPr>
            <w:rStyle w:val="Hyperlink"/>
            <w:b w:val="0"/>
            <w:bCs/>
          </w:rPr>
          <w:t>www.pwd.org.au</w:t>
        </w:r>
      </w:hyperlink>
    </w:p>
    <w:p w14:paraId="54B02386" w14:textId="3DF67B39" w:rsidR="000A7777" w:rsidRDefault="000A7777" w:rsidP="000A7777">
      <w:pPr>
        <w:pStyle w:val="BodyText"/>
      </w:pPr>
      <w:r>
        <w:t xml:space="preserve">Typeset in Arial 12 </w:t>
      </w:r>
      <w:proofErr w:type="spellStart"/>
      <w:r>
        <w:t>pt</w:t>
      </w:r>
      <w:proofErr w:type="spellEnd"/>
      <w:r>
        <w:t xml:space="preserve"> and VAG Rounded </w:t>
      </w:r>
      <w:r w:rsidR="00362DFC">
        <w:t>28</w:t>
      </w:r>
      <w:r>
        <w:t>pt</w:t>
      </w:r>
      <w:r w:rsidR="0048651B">
        <w:t>, 14pt and</w:t>
      </w:r>
      <w:r w:rsidR="00BA0F8A">
        <w:t xml:space="preserve"> 1</w:t>
      </w:r>
      <w:r w:rsidR="007308F8">
        <w:t>6</w:t>
      </w:r>
      <w:r w:rsidR="00BA0F8A">
        <w:t>pt</w:t>
      </w:r>
    </w:p>
    <w:p w14:paraId="044FA9F2" w14:textId="77777777" w:rsidR="000A7777" w:rsidRDefault="000A7777" w:rsidP="000A7777">
      <w:pPr>
        <w:pStyle w:val="BodyText"/>
      </w:pPr>
      <w:r>
        <w:t xml:space="preserve">© People with Disability Australia Ltd. </w:t>
      </w:r>
      <w:r w:rsidRPr="001818A8">
        <w:t>2021</w:t>
      </w:r>
    </w:p>
    <w:p w14:paraId="7F37495B" w14:textId="77777777" w:rsidR="000A7777" w:rsidRDefault="000A7777" w:rsidP="000A7777">
      <w:pPr>
        <w:pStyle w:val="BodyText"/>
      </w:pPr>
      <w:r>
        <w:t>The moral rights of the authors have been asserted</w:t>
      </w:r>
    </w:p>
    <w:p w14:paraId="07061ADA" w14:textId="77777777" w:rsidR="000A7777" w:rsidRDefault="000A7777" w:rsidP="000A7777">
      <w:pPr>
        <w:pStyle w:val="BodyText"/>
      </w:pPr>
      <w:r>
        <w:t>National Library of Australia Cataloguing-in-Publication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62DFC" w14:paraId="4D9D489D" w14:textId="77777777" w:rsidTr="00EB44C4">
        <w:tc>
          <w:tcPr>
            <w:tcW w:w="1413" w:type="dxa"/>
          </w:tcPr>
          <w:p w14:paraId="1040DB2A" w14:textId="77777777" w:rsidR="00362DFC" w:rsidRDefault="00362DFC" w:rsidP="000A7777">
            <w:pPr>
              <w:pStyle w:val="BodyText"/>
            </w:pPr>
            <w:r>
              <w:t>Creator</w:t>
            </w:r>
            <w:r w:rsidR="00EB44C4">
              <w:t>(</w:t>
            </w:r>
            <w:r>
              <w:t>s</w:t>
            </w:r>
            <w:r w:rsidR="00EB44C4">
              <w:t>)</w:t>
            </w:r>
            <w:r>
              <w:t>:</w:t>
            </w:r>
          </w:p>
        </w:tc>
        <w:tc>
          <w:tcPr>
            <w:tcW w:w="8215" w:type="dxa"/>
          </w:tcPr>
          <w:p w14:paraId="2324960D" w14:textId="06352591" w:rsidR="00362DFC" w:rsidRDefault="005968C4" w:rsidP="000A7777">
            <w:pPr>
              <w:pStyle w:val="BodyText"/>
            </w:pPr>
            <w:r>
              <w:t xml:space="preserve">Jay Coonan, </w:t>
            </w:r>
            <w:r w:rsidR="002B46B1" w:rsidRPr="002B46B1">
              <w:t xml:space="preserve">Kristin </w:t>
            </w:r>
            <w:proofErr w:type="gramStart"/>
            <w:r w:rsidR="002B46B1" w:rsidRPr="002B46B1">
              <w:t>O’Connell</w:t>
            </w:r>
            <w:proofErr w:type="gramEnd"/>
            <w:r>
              <w:t xml:space="preserve"> and Giancarlo de Vera</w:t>
            </w:r>
          </w:p>
        </w:tc>
      </w:tr>
      <w:tr w:rsidR="00362DFC" w14:paraId="1B700B25" w14:textId="77777777" w:rsidTr="00EB44C4">
        <w:tc>
          <w:tcPr>
            <w:tcW w:w="1413" w:type="dxa"/>
          </w:tcPr>
          <w:p w14:paraId="25F78B59" w14:textId="77777777" w:rsidR="00362DFC" w:rsidRDefault="00362DFC" w:rsidP="000A7777">
            <w:pPr>
              <w:pStyle w:val="BodyText"/>
            </w:pPr>
            <w:r>
              <w:t>Title:</w:t>
            </w:r>
          </w:p>
        </w:tc>
        <w:tc>
          <w:tcPr>
            <w:tcW w:w="8215" w:type="dxa"/>
          </w:tcPr>
          <w:p w14:paraId="24A9A6C8" w14:textId="04553ECF" w:rsidR="00362DFC" w:rsidRPr="007F4809" w:rsidRDefault="007F4809" w:rsidP="000A7777">
            <w:pPr>
              <w:pStyle w:val="BodyText"/>
            </w:pPr>
            <w:r w:rsidRPr="007F4809">
              <w:t>Impairment Tables Impair Our Access t</w:t>
            </w:r>
            <w:r w:rsidR="00FC010D">
              <w:t xml:space="preserve">o </w:t>
            </w:r>
            <w:r w:rsidRPr="007F4809">
              <w:t>Suppor</w:t>
            </w:r>
            <w:r w:rsidR="00FC010D">
              <w:t>ts</w:t>
            </w:r>
            <w:r w:rsidRPr="007F4809">
              <w:t xml:space="preserve">: People with Disability Australia’s submission to Department of Social Services’ Review of the Disability Support Pension Impairment Tables </w:t>
            </w:r>
          </w:p>
        </w:tc>
      </w:tr>
    </w:tbl>
    <w:p w14:paraId="34683EAB" w14:textId="77777777" w:rsidR="000A7777" w:rsidRDefault="000A7777" w:rsidP="000A7777">
      <w:pPr>
        <w:pStyle w:val="BodyText"/>
      </w:pPr>
      <w:r>
        <w:t xml:space="preserve">All rights reserved. Except as permitted with the </w:t>
      </w:r>
      <w:r w:rsidRPr="002E28B7">
        <w:rPr>
          <w:i/>
          <w:iCs/>
        </w:rPr>
        <w:t>Australian Copyright Act 1968</w:t>
      </w:r>
      <w:r>
        <w:t xml:space="preserve"> (for example, a fair dealing for the purposes of study, research, </w:t>
      </w:r>
      <w:proofErr w:type="gramStart"/>
      <w:r>
        <w:t>criticism</w:t>
      </w:r>
      <w:proofErr w:type="gramEnd"/>
      <w:r>
        <w:t xml:space="preserve"> or review), no part of this book may be reproduced, stored in a retrieval system, communication or transmitted in any form or by any means without prior written permission. All inquiries should be made to the publisher at the address above.</w:t>
      </w:r>
    </w:p>
    <w:p w14:paraId="1E38F0C1" w14:textId="2B2F6EB0" w:rsidR="00EB44C4" w:rsidRDefault="006D4828" w:rsidP="000A7777">
      <w:pPr>
        <w:pStyle w:val="BodyText"/>
      </w:pPr>
      <w:r>
        <w:t xml:space="preserve">Coonan, J., </w:t>
      </w:r>
      <w:r w:rsidR="002B46B1" w:rsidRPr="002B46B1">
        <w:t>O’Connell, K.</w:t>
      </w:r>
      <w:r>
        <w:t xml:space="preserve"> &amp; de Vera, G</w:t>
      </w:r>
      <w:r w:rsidR="00EB44C4">
        <w:t>.</w:t>
      </w:r>
      <w:r w:rsidR="000A7777">
        <w:t xml:space="preserve">, </w:t>
      </w:r>
      <w:r w:rsidR="007F4809">
        <w:rPr>
          <w:i/>
          <w:iCs/>
        </w:rPr>
        <w:t>Impairment Tables Impair Our Access to Support</w:t>
      </w:r>
      <w:r w:rsidR="00E8418E">
        <w:rPr>
          <w:i/>
          <w:iCs/>
        </w:rPr>
        <w:t>s</w:t>
      </w:r>
      <w:r w:rsidR="007F4809">
        <w:rPr>
          <w:i/>
          <w:iCs/>
        </w:rPr>
        <w:t xml:space="preserve">: People with Disability Australia’s submission to Department of Social Services’ Review of the Disability Support Pension Impairment Tables </w:t>
      </w:r>
      <w:r w:rsidR="00EB44C4">
        <w:t>[submission],</w:t>
      </w:r>
      <w:r w:rsidR="00A819B8">
        <w:t xml:space="preserve"> </w:t>
      </w:r>
      <w:r>
        <w:t>13</w:t>
      </w:r>
      <w:r w:rsidR="00A819B8">
        <w:t xml:space="preserve"> August</w:t>
      </w:r>
      <w:r w:rsidR="00EB44C4">
        <w:t xml:space="preserve"> 2021, People with Disability Australia, Sydney</w:t>
      </w:r>
      <w:r w:rsidR="00A819B8">
        <w:t>.</w:t>
      </w:r>
    </w:p>
    <w:p w14:paraId="43C9DE45" w14:textId="3E020B5D" w:rsidR="00BA0F8A" w:rsidRDefault="00BA0F8A" w:rsidP="000A7777">
      <w:pPr>
        <w:pStyle w:val="BodyText"/>
        <w:rPr>
          <w:rFonts w:ascii="VAG Rounded" w:hAnsi="VAG Rounded"/>
          <w:color w:val="005496" w:themeColor="accent1"/>
          <w:sz w:val="28"/>
          <w:szCs w:val="28"/>
        </w:rPr>
      </w:pPr>
    </w:p>
    <w:p w14:paraId="6F7AD3A3" w14:textId="77777777" w:rsidR="009B773D" w:rsidRDefault="009B773D" w:rsidP="000A7777">
      <w:pPr>
        <w:pStyle w:val="BodyText"/>
        <w:rPr>
          <w:rFonts w:ascii="VAG Rounded" w:hAnsi="VAG Rounded"/>
          <w:color w:val="005496" w:themeColor="accent1"/>
          <w:sz w:val="28"/>
          <w:szCs w:val="28"/>
        </w:rPr>
      </w:pPr>
    </w:p>
    <w:p w14:paraId="26193F79" w14:textId="739C071D" w:rsidR="00BA0F8A" w:rsidRPr="007308F8" w:rsidRDefault="00BA0F8A" w:rsidP="00FC010D">
      <w:pPr>
        <w:pStyle w:val="BodyText"/>
        <w:spacing w:before="0" w:after="0" w:line="276" w:lineRule="auto"/>
        <w:rPr>
          <w:rFonts w:ascii="VAG Rounded" w:hAnsi="VAG Rounded"/>
          <w:color w:val="005496" w:themeColor="accent1"/>
          <w:sz w:val="32"/>
          <w:szCs w:val="32"/>
        </w:rPr>
      </w:pPr>
      <w:r w:rsidRPr="007308F8">
        <w:rPr>
          <w:rFonts w:ascii="VAG Rounded" w:hAnsi="VAG Rounded"/>
          <w:color w:val="005496" w:themeColor="accent1"/>
          <w:sz w:val="32"/>
          <w:szCs w:val="32"/>
        </w:rPr>
        <w:lastRenderedPageBreak/>
        <w:t>Acknowledgement of Country</w:t>
      </w:r>
    </w:p>
    <w:p w14:paraId="5A99B119" w14:textId="27C25EDB" w:rsidR="00BA0F8A" w:rsidRDefault="00BA0F8A" w:rsidP="00FC010D">
      <w:pPr>
        <w:pStyle w:val="PWDAbodycopy"/>
        <w:spacing w:after="0" w:line="276" w:lineRule="auto"/>
      </w:pPr>
      <w:r>
        <w:t xml:space="preserve">People with Disability Australia and the Antipoverty Centre acknowledge the original peoples of this unceded continent. They have been Custodians of Country for thousands of generations. </w:t>
      </w:r>
    </w:p>
    <w:p w14:paraId="66BDC2C9" w14:textId="77777777" w:rsidR="00FC010D" w:rsidRDefault="00FC010D" w:rsidP="00FC010D">
      <w:pPr>
        <w:pStyle w:val="PWDAbodycopy"/>
        <w:spacing w:after="0" w:line="276" w:lineRule="auto"/>
      </w:pPr>
    </w:p>
    <w:p w14:paraId="552C00D2" w14:textId="18E680F3" w:rsidR="00BA0F8A" w:rsidRDefault="00BA0F8A" w:rsidP="00FC010D">
      <w:pPr>
        <w:pStyle w:val="PWDAbodycopy"/>
        <w:spacing w:after="0" w:line="276" w:lineRule="auto"/>
      </w:pPr>
      <w:r>
        <w:t xml:space="preserve">First Peoples have connections to place, land, water and community that have been unbroken for </w:t>
      </w:r>
      <w:r w:rsidRPr="00616A38">
        <w:t>120,000 years.</w:t>
      </w:r>
      <w:r w:rsidRPr="00616A38">
        <w:rPr>
          <w:vertAlign w:val="superscript"/>
        </w:rPr>
        <w:footnoteReference w:id="2"/>
      </w:r>
      <w:r w:rsidRPr="00616A38">
        <w:t xml:space="preserve"> </w:t>
      </w:r>
      <w:r>
        <w:t xml:space="preserve">We recognise Indigenous sovereignty and the cultural significance inherent in these connections, historical and contemporary. </w:t>
      </w:r>
    </w:p>
    <w:p w14:paraId="5DED9B47" w14:textId="77777777" w:rsidR="00FC010D" w:rsidRDefault="00FC010D" w:rsidP="00FC010D">
      <w:pPr>
        <w:pStyle w:val="PWDAbodycopy"/>
        <w:spacing w:after="0" w:line="276" w:lineRule="auto"/>
      </w:pPr>
    </w:p>
    <w:p w14:paraId="43C84004" w14:textId="77777777" w:rsidR="00FC010D" w:rsidRDefault="00BA0F8A" w:rsidP="00FC010D">
      <w:pPr>
        <w:pStyle w:val="PWDAbodycopy"/>
        <w:spacing w:after="0" w:line="276" w:lineRule="auto"/>
      </w:pPr>
      <w:r>
        <w:t xml:space="preserve">We pay respect to Elders past and present and stand with First Peoples in the quest for self-determination, </w:t>
      </w:r>
      <w:proofErr w:type="gramStart"/>
      <w:r>
        <w:t>justice</w:t>
      </w:r>
      <w:proofErr w:type="gramEnd"/>
      <w:r>
        <w:t xml:space="preserve"> and truth-telling in the face of ongoing colonial violence, including that inflicted through racism in the social security system.</w:t>
      </w:r>
    </w:p>
    <w:p w14:paraId="142851FB" w14:textId="7F6AEB0D" w:rsidR="00BA0F8A" w:rsidRDefault="00BA0F8A" w:rsidP="00FC010D">
      <w:pPr>
        <w:pStyle w:val="PWDAbodycopy"/>
        <w:spacing w:after="0" w:line="276" w:lineRule="auto"/>
      </w:pPr>
      <w:r>
        <w:t xml:space="preserve"> </w:t>
      </w:r>
    </w:p>
    <w:p w14:paraId="69DDCDEB" w14:textId="0278BB15" w:rsidR="00BA0F8A" w:rsidRDefault="00BA0F8A" w:rsidP="00FC010D">
      <w:pPr>
        <w:pStyle w:val="PWDAbodycopy"/>
        <w:spacing w:after="0" w:line="276" w:lineRule="auto"/>
      </w:pPr>
      <w:r>
        <w:t xml:space="preserve">We recognise that significantly higher rates of disability among First Peoples is the direct result of colonisation. </w:t>
      </w:r>
    </w:p>
    <w:p w14:paraId="6CADB49F" w14:textId="77777777" w:rsidR="00982108" w:rsidRDefault="00982108" w:rsidP="00FC010D">
      <w:pPr>
        <w:pStyle w:val="PWDAbodycopy"/>
        <w:spacing w:after="0" w:line="276" w:lineRule="auto"/>
      </w:pPr>
    </w:p>
    <w:p w14:paraId="456F72FE" w14:textId="55827FDB" w:rsidR="00BA0F8A" w:rsidRPr="007308F8" w:rsidRDefault="00BA0F8A" w:rsidP="00FC010D">
      <w:pPr>
        <w:pStyle w:val="BodyText"/>
        <w:spacing w:before="0" w:after="0" w:line="276" w:lineRule="auto"/>
        <w:rPr>
          <w:rFonts w:ascii="VAG Rounded" w:hAnsi="VAG Rounded"/>
          <w:color w:val="005496" w:themeColor="accent1"/>
          <w:sz w:val="32"/>
          <w:szCs w:val="32"/>
        </w:rPr>
      </w:pPr>
      <w:r w:rsidRPr="007308F8">
        <w:rPr>
          <w:rFonts w:ascii="VAG Rounded" w:hAnsi="VAG Rounded"/>
          <w:color w:val="005496" w:themeColor="accent1"/>
          <w:sz w:val="32"/>
          <w:szCs w:val="32"/>
        </w:rPr>
        <w:t>Preamble</w:t>
      </w:r>
    </w:p>
    <w:p w14:paraId="3AE951DC" w14:textId="37301CEB" w:rsidR="00BA0F8A" w:rsidRDefault="00BA0F8A" w:rsidP="00FC010D">
      <w:pPr>
        <w:pStyle w:val="PWDAbodycopy"/>
        <w:spacing w:after="0" w:line="276" w:lineRule="auto"/>
      </w:pPr>
      <w:r>
        <w:t xml:space="preserve">In preparing this submission, </w:t>
      </w:r>
      <w:r w:rsidRPr="007C49ED">
        <w:t xml:space="preserve">People with Disability </w:t>
      </w:r>
      <w:proofErr w:type="gramStart"/>
      <w:r w:rsidRPr="007C49ED">
        <w:t>Australia</w:t>
      </w:r>
      <w:proofErr w:type="gramEnd"/>
      <w:r w:rsidRPr="007C49ED">
        <w:t xml:space="preserve"> </w:t>
      </w:r>
      <w:r>
        <w:t xml:space="preserve">and the Antipoverty Centre surveyed people with disability about their experiences of the income support system. </w:t>
      </w:r>
    </w:p>
    <w:p w14:paraId="4BD23ABD" w14:textId="77777777" w:rsidR="00FC010D" w:rsidRDefault="00FC010D" w:rsidP="00FC010D">
      <w:pPr>
        <w:pStyle w:val="PWDAbodycopy"/>
        <w:spacing w:after="0" w:line="276" w:lineRule="auto"/>
      </w:pPr>
    </w:p>
    <w:p w14:paraId="23F63685" w14:textId="5B24368E" w:rsidR="00BA0F8A" w:rsidRDefault="00BA0F8A" w:rsidP="00FC010D">
      <w:pPr>
        <w:pStyle w:val="PWDAbodycopy"/>
        <w:spacing w:after="0" w:line="276" w:lineRule="auto"/>
      </w:pPr>
      <w:r>
        <w:t xml:space="preserve">Throughout this document and in the </w:t>
      </w:r>
      <w:proofErr w:type="gramStart"/>
      <w:r>
        <w:t>appendices</w:t>
      </w:r>
      <w:proofErr w:type="gramEnd"/>
      <w:r>
        <w:t xml:space="preserve"> we have included the voices of those whose lives are affected by your decisions. Where these quotes are included, grammar and syntax has </w:t>
      </w:r>
      <w:r w:rsidRPr="0079624A">
        <w:t>not been edited.</w:t>
      </w:r>
      <w:r>
        <w:t xml:space="preserve"> </w:t>
      </w:r>
    </w:p>
    <w:p w14:paraId="174DD3E2" w14:textId="77777777" w:rsidR="00FC010D" w:rsidRDefault="00FC010D" w:rsidP="00FC010D">
      <w:pPr>
        <w:pStyle w:val="PWDAbodycopy"/>
        <w:spacing w:after="0" w:line="276" w:lineRule="auto"/>
      </w:pPr>
    </w:p>
    <w:p w14:paraId="5E8682B2" w14:textId="2DB0E6BA" w:rsidR="008273C7" w:rsidRDefault="00BA0F8A" w:rsidP="00FC010D">
      <w:pPr>
        <w:pStyle w:val="PWDAbodycopy"/>
        <w:spacing w:after="0" w:line="276" w:lineRule="auto"/>
      </w:pPr>
      <w:r w:rsidRPr="005D7B38">
        <w:t xml:space="preserve">We are proud to include a diversity of perspectives from hundreds of people with disability every day. </w:t>
      </w:r>
      <w:r>
        <w:t>We extend deep gratitude to every person who contributed to this submission by trusting us to share their opinions and experie</w:t>
      </w:r>
      <w:r w:rsidR="00B93366">
        <w:t xml:space="preserve">nce. </w:t>
      </w:r>
    </w:p>
    <w:p w14:paraId="0E1CF880" w14:textId="77777777" w:rsidR="00E74AC8" w:rsidRDefault="00E74AC8" w:rsidP="00FC010D">
      <w:pPr>
        <w:pStyle w:val="PWDAbodycopy"/>
        <w:spacing w:after="0" w:line="276" w:lineRule="auto"/>
      </w:pPr>
    </w:p>
    <w:p w14:paraId="73BCF8CD" w14:textId="33A1B6AD" w:rsidR="008273C7" w:rsidRDefault="008273C7" w:rsidP="008273C7">
      <w:pPr>
        <w:pStyle w:val="BodyText"/>
        <w:spacing w:before="0" w:after="0" w:line="276" w:lineRule="auto"/>
      </w:pPr>
      <w:r w:rsidRPr="008273C7">
        <w:rPr>
          <w:rFonts w:ascii="VAG Rounded" w:hAnsi="VAG Rounded"/>
          <w:color w:val="005496" w:themeColor="accent1"/>
          <w:sz w:val="32"/>
          <w:szCs w:val="32"/>
        </w:rPr>
        <w:t>Terminology</w:t>
      </w:r>
    </w:p>
    <w:p w14:paraId="5A88883C" w14:textId="77777777" w:rsidR="00E74AC8" w:rsidRDefault="004413ED" w:rsidP="00FC010D">
      <w:pPr>
        <w:pStyle w:val="PWDAbodycopy"/>
        <w:spacing w:after="0" w:line="276" w:lineRule="auto"/>
      </w:pPr>
      <w:r>
        <w:t>In this document,</w:t>
      </w:r>
      <w:r w:rsidR="00C5130D">
        <w:t xml:space="preserve"> the term</w:t>
      </w:r>
      <w:r>
        <w:t xml:space="preserve"> ‘unemployment payment’ refers to </w:t>
      </w:r>
      <w:r w:rsidR="004E66F2">
        <w:t>the</w:t>
      </w:r>
      <w:r w:rsidR="00990775">
        <w:t xml:space="preserve"> two main</w:t>
      </w:r>
      <w:r w:rsidR="00F24887">
        <w:t>stream payments for unemployed people:</w:t>
      </w:r>
      <w:r w:rsidR="004E66F2">
        <w:t xml:space="preserve"> </w:t>
      </w:r>
      <w:proofErr w:type="spellStart"/>
      <w:r w:rsidR="004E66F2">
        <w:t>JobSeeker</w:t>
      </w:r>
      <w:proofErr w:type="spellEnd"/>
      <w:r w:rsidR="004E66F2">
        <w:t xml:space="preserve"> (and its predecessor, Newstart) and Youth Allowance Other. </w:t>
      </w:r>
    </w:p>
    <w:p w14:paraId="0CF77B18" w14:textId="77777777" w:rsidR="00E74AC8" w:rsidRDefault="00E74AC8" w:rsidP="00FC010D">
      <w:pPr>
        <w:pStyle w:val="PWDAbodycopy"/>
        <w:spacing w:after="0" w:line="276" w:lineRule="auto"/>
      </w:pPr>
    </w:p>
    <w:p w14:paraId="5B70BF5B" w14:textId="42DF561D" w:rsidR="008273C7" w:rsidRDefault="00BF57B6" w:rsidP="00FC010D">
      <w:pPr>
        <w:pStyle w:val="PWDAbodycopy"/>
        <w:spacing w:after="0" w:line="276" w:lineRule="auto"/>
      </w:pPr>
      <w:r>
        <w:t xml:space="preserve">These payments are activity tested, meaning recipients must meet participation requirements each month to continue receiving their </w:t>
      </w:r>
      <w:r w:rsidR="00990775">
        <w:t>payment.</w:t>
      </w:r>
    </w:p>
    <w:p w14:paraId="6DD0346E" w14:textId="12374F3E" w:rsidR="00D82917" w:rsidRDefault="00D82917" w:rsidP="00FC010D">
      <w:pPr>
        <w:pStyle w:val="PWDAbodycopy"/>
        <w:spacing w:after="0" w:line="276" w:lineRule="auto"/>
      </w:pPr>
    </w:p>
    <w:p w14:paraId="2044E539" w14:textId="7391A900" w:rsidR="00B528B3" w:rsidRDefault="00B528B3" w:rsidP="00FC010D">
      <w:pPr>
        <w:pStyle w:val="PWDAbodycopy"/>
        <w:spacing w:after="0" w:line="276" w:lineRule="auto"/>
      </w:pPr>
      <w:r>
        <w:lastRenderedPageBreak/>
        <w:t xml:space="preserve">Parenting </w:t>
      </w:r>
      <w:r w:rsidR="0037480D">
        <w:t>Payment, Disability Support Pension</w:t>
      </w:r>
      <w:r w:rsidR="00167807">
        <w:t xml:space="preserve"> (DSP)</w:t>
      </w:r>
      <w:r w:rsidR="0037480D">
        <w:t>, Carer</w:t>
      </w:r>
      <w:r w:rsidR="0020713E">
        <w:t xml:space="preserve"> Payment, Youth Allowance Student and Apprentice </w:t>
      </w:r>
      <w:r w:rsidR="00F36ECB">
        <w:t xml:space="preserve">and a number of other payments are only available to people below retirement </w:t>
      </w:r>
      <w:proofErr w:type="gramStart"/>
      <w:r w:rsidR="00F36ECB">
        <w:t>age</w:t>
      </w:r>
      <w:r w:rsidR="009A75BE">
        <w:t>, and</w:t>
      </w:r>
      <w:proofErr w:type="gramEnd"/>
      <w:r w:rsidR="009A75BE">
        <w:t xml:space="preserve"> are included in the term ‘working age payment’. </w:t>
      </w:r>
      <w:r w:rsidR="002A5DE1">
        <w:rPr>
          <w:lang w:val="en-AU"/>
        </w:rPr>
        <w:t>T</w:t>
      </w:r>
      <w:r w:rsidR="002A5DE1" w:rsidRPr="002A5DE1">
        <w:rPr>
          <w:lang w:val="en-AU"/>
        </w:rPr>
        <w:t xml:space="preserve">hese are not unemployment </w:t>
      </w:r>
      <w:proofErr w:type="gramStart"/>
      <w:r w:rsidR="002A5DE1" w:rsidRPr="002A5DE1">
        <w:rPr>
          <w:lang w:val="en-AU"/>
        </w:rPr>
        <w:t>payments</w:t>
      </w:r>
      <w:r w:rsidR="002A5DE1">
        <w:rPr>
          <w:lang w:val="en-AU"/>
        </w:rPr>
        <w:t>,</w:t>
      </w:r>
      <w:proofErr w:type="gramEnd"/>
      <w:r w:rsidR="002A5DE1" w:rsidRPr="002A5DE1">
        <w:rPr>
          <w:lang w:val="en-AU"/>
        </w:rPr>
        <w:t xml:space="preserve"> </w:t>
      </w:r>
      <w:r w:rsidR="002A5DE1">
        <w:t xml:space="preserve">however some </w:t>
      </w:r>
      <w:r w:rsidR="00087AA7">
        <w:t xml:space="preserve">recipients </w:t>
      </w:r>
      <w:r w:rsidR="002A5DE1">
        <w:t>are activity tested (</w:t>
      </w:r>
      <w:proofErr w:type="spellStart"/>
      <w:r w:rsidR="002A5DE1">
        <w:t>eg</w:t>
      </w:r>
      <w:proofErr w:type="spellEnd"/>
      <w:r w:rsidR="002A5DE1">
        <w:t xml:space="preserve"> single parents</w:t>
      </w:r>
      <w:r w:rsidR="00167807">
        <w:t>, DSP recipients under 35)</w:t>
      </w:r>
      <w:r w:rsidR="00087AA7">
        <w:t xml:space="preserve">. </w:t>
      </w:r>
    </w:p>
    <w:p w14:paraId="7F1272D2" w14:textId="77777777" w:rsidR="007622F1" w:rsidRDefault="007622F1" w:rsidP="00FC010D">
      <w:pPr>
        <w:pStyle w:val="PWDAbodycopy"/>
        <w:spacing w:after="0" w:line="276" w:lineRule="auto"/>
      </w:pPr>
    </w:p>
    <w:p w14:paraId="4AD725ED" w14:textId="1CC24474" w:rsidR="00C5130D" w:rsidRDefault="007622F1" w:rsidP="00FC010D">
      <w:pPr>
        <w:pStyle w:val="PWDAbodycopy"/>
        <w:spacing w:after="0" w:line="276" w:lineRule="auto"/>
      </w:pPr>
      <w:r>
        <w:t>The term ‘income support</w:t>
      </w:r>
      <w:r w:rsidR="00557922">
        <w:t xml:space="preserve"> payment</w:t>
      </w:r>
      <w:r>
        <w:t xml:space="preserve">’ </w:t>
      </w:r>
      <w:r w:rsidR="00982108">
        <w:t>refers to all government allowances, including all working age payments and the age pension.</w:t>
      </w:r>
      <w:r w:rsidR="00C5130D">
        <w:t xml:space="preserve"> </w:t>
      </w:r>
    </w:p>
    <w:p w14:paraId="7408614F" w14:textId="77777777" w:rsidR="00D82917" w:rsidRDefault="00D82917" w:rsidP="00FC010D">
      <w:pPr>
        <w:pStyle w:val="PWDAbodycopy"/>
        <w:spacing w:after="0" w:line="276" w:lineRule="auto"/>
      </w:pPr>
    </w:p>
    <w:p w14:paraId="5E1C33EE" w14:textId="5C8BA366" w:rsidR="00C5130D" w:rsidRDefault="00C5130D" w:rsidP="00FC010D">
      <w:pPr>
        <w:pStyle w:val="PWDAbodycopy"/>
        <w:spacing w:after="0" w:line="276" w:lineRule="auto"/>
        <w:sectPr w:rsidR="00C5130D" w:rsidSect="008E2BF3">
          <w:pgSz w:w="11906" w:h="16838" w:code="9"/>
          <w:pgMar w:top="1701" w:right="1134" w:bottom="1928" w:left="1134" w:header="284" w:footer="510" w:gutter="0"/>
          <w:cols w:space="708"/>
          <w:docGrid w:linePitch="360"/>
        </w:sectPr>
      </w:pPr>
    </w:p>
    <w:p w14:paraId="097532BB" w14:textId="2138C795" w:rsidR="00F25DA9" w:rsidRDefault="00BA0F8A" w:rsidP="009B773D">
      <w:pPr>
        <w:pStyle w:val="Heading1"/>
        <w:numPr>
          <w:ilvl w:val="0"/>
          <w:numId w:val="33"/>
        </w:numPr>
        <w:spacing w:after="0" w:line="276" w:lineRule="auto"/>
        <w:rPr>
          <w:sz w:val="56"/>
          <w:szCs w:val="56"/>
        </w:rPr>
      </w:pPr>
      <w:bookmarkStart w:id="3" w:name="_Toc79317401"/>
      <w:r>
        <w:rPr>
          <w:sz w:val="56"/>
          <w:szCs w:val="56"/>
        </w:rPr>
        <w:lastRenderedPageBreak/>
        <w:t>Introduction</w:t>
      </w:r>
      <w:bookmarkEnd w:id="3"/>
    </w:p>
    <w:p w14:paraId="696F3461" w14:textId="69A01B18" w:rsidR="009B6A30" w:rsidRDefault="009B6A30" w:rsidP="004F60AB">
      <w:pPr>
        <w:spacing w:after="0" w:line="276" w:lineRule="auto"/>
      </w:pPr>
    </w:p>
    <w:p w14:paraId="5C5D2779" w14:textId="4197D6D6" w:rsidR="006B5A4D" w:rsidRPr="00FC010D" w:rsidRDefault="006B5A4D" w:rsidP="00FC010D">
      <w:pPr>
        <w:spacing w:after="0" w:line="276" w:lineRule="auto"/>
        <w:rPr>
          <w:sz w:val="24"/>
        </w:rPr>
      </w:pPr>
      <w:r w:rsidRPr="00FC010D">
        <w:rPr>
          <w:sz w:val="24"/>
        </w:rPr>
        <w:t xml:space="preserve">The Disability Support Pension (DSP) impairment tables create a system of deserving and undeserving people with disability. </w:t>
      </w:r>
    </w:p>
    <w:p w14:paraId="7919B4AB" w14:textId="77777777" w:rsidR="006B5A4D" w:rsidRPr="00FC010D" w:rsidRDefault="006B5A4D" w:rsidP="00FC010D">
      <w:pPr>
        <w:spacing w:after="0" w:line="276" w:lineRule="auto"/>
        <w:rPr>
          <w:sz w:val="24"/>
        </w:rPr>
      </w:pPr>
    </w:p>
    <w:p w14:paraId="0D0DEBD5" w14:textId="77777777" w:rsidR="006B5A4D" w:rsidRPr="00A651E9" w:rsidRDefault="006B5A4D" w:rsidP="00FC010D">
      <w:pPr>
        <w:pStyle w:val="Quotestyle1"/>
        <w:spacing w:before="0" w:after="0" w:line="276" w:lineRule="auto"/>
        <w:rPr>
          <w:b w:val="0"/>
          <w:bCs/>
        </w:rPr>
      </w:pPr>
      <w:r w:rsidRPr="00A651E9">
        <w:rPr>
          <w:b w:val="0"/>
          <w:bCs/>
        </w:rPr>
        <w:t xml:space="preserve">I didn't get enough points to qualify and I'm too scared of Centrelink to try </w:t>
      </w:r>
      <w:r w:rsidRPr="00A651E9">
        <w:rPr>
          <w:b w:val="0"/>
          <w:bCs/>
        </w:rPr>
        <w:br/>
        <w:t>again. – name withheld</w:t>
      </w:r>
    </w:p>
    <w:p w14:paraId="7CC0352E" w14:textId="6A34F7A9" w:rsidR="006B5A4D" w:rsidRPr="00FC010D" w:rsidRDefault="006B5A4D" w:rsidP="00FC010D">
      <w:pPr>
        <w:spacing w:after="0" w:line="276" w:lineRule="auto"/>
        <w:rPr>
          <w:sz w:val="24"/>
        </w:rPr>
      </w:pPr>
      <w:r w:rsidRPr="00FC010D">
        <w:rPr>
          <w:sz w:val="24"/>
        </w:rPr>
        <w:t xml:space="preserve"> </w:t>
      </w:r>
    </w:p>
    <w:p w14:paraId="74C518F3" w14:textId="6A1D1142" w:rsidR="006B5A4D" w:rsidRPr="00FC010D" w:rsidRDefault="006B5A4D" w:rsidP="00FC010D">
      <w:pPr>
        <w:spacing w:after="0" w:line="276" w:lineRule="auto"/>
        <w:rPr>
          <w:sz w:val="24"/>
        </w:rPr>
      </w:pPr>
      <w:r w:rsidRPr="00FC010D">
        <w:rPr>
          <w:sz w:val="24"/>
        </w:rPr>
        <w:t xml:space="preserve">The DSP must be a truly supportive safety net for people with disability that alleviates poverty, and an important step towards achieving this is to abolish the impairment tables. </w:t>
      </w:r>
    </w:p>
    <w:p w14:paraId="782C0ABB" w14:textId="77777777" w:rsidR="006B5A4D" w:rsidRPr="00FC010D" w:rsidRDefault="006B5A4D" w:rsidP="00FC010D">
      <w:pPr>
        <w:spacing w:after="0" w:line="276" w:lineRule="auto"/>
        <w:rPr>
          <w:sz w:val="24"/>
        </w:rPr>
      </w:pPr>
    </w:p>
    <w:p w14:paraId="740AFC43" w14:textId="77777777" w:rsidR="007F4809" w:rsidRPr="00FC010D" w:rsidRDefault="006B5A4D" w:rsidP="00FC010D">
      <w:pPr>
        <w:spacing w:after="0" w:line="276" w:lineRule="auto"/>
        <w:rPr>
          <w:sz w:val="24"/>
        </w:rPr>
      </w:pPr>
      <w:r w:rsidRPr="00FC010D">
        <w:rPr>
          <w:sz w:val="24"/>
        </w:rPr>
        <w:t xml:space="preserve">However, as the Department of Social Services (DSS) has highlighted in its issues paper, the Government and </w:t>
      </w:r>
      <w:r w:rsidR="007F4809" w:rsidRPr="00FC010D">
        <w:rPr>
          <w:sz w:val="24"/>
        </w:rPr>
        <w:t>the D</w:t>
      </w:r>
      <w:r w:rsidRPr="00FC010D">
        <w:rPr>
          <w:sz w:val="24"/>
        </w:rPr>
        <w:t>epartment are largely content with how the impairment tables are operating and do not wish to see dramatic changes.</w:t>
      </w:r>
    </w:p>
    <w:p w14:paraId="485B0A34" w14:textId="42669265" w:rsidR="006B5A4D" w:rsidRPr="00FC010D" w:rsidRDefault="006B5A4D" w:rsidP="00FC010D">
      <w:pPr>
        <w:spacing w:after="0" w:line="276" w:lineRule="auto"/>
        <w:rPr>
          <w:sz w:val="24"/>
        </w:rPr>
      </w:pPr>
      <w:r w:rsidRPr="00FC010D">
        <w:rPr>
          <w:sz w:val="24"/>
        </w:rPr>
        <w:t xml:space="preserve"> </w:t>
      </w:r>
    </w:p>
    <w:p w14:paraId="67A34454" w14:textId="4DFA21DB" w:rsidR="006B5A4D" w:rsidRPr="00FC010D" w:rsidRDefault="006B5A4D" w:rsidP="00FC010D">
      <w:pPr>
        <w:spacing w:after="0" w:line="276" w:lineRule="auto"/>
        <w:rPr>
          <w:sz w:val="24"/>
        </w:rPr>
      </w:pPr>
      <w:r w:rsidRPr="00FC010D">
        <w:rPr>
          <w:sz w:val="24"/>
        </w:rPr>
        <w:t>DSS ha</w:t>
      </w:r>
      <w:r w:rsidR="00FC010D">
        <w:rPr>
          <w:sz w:val="24"/>
        </w:rPr>
        <w:t xml:space="preserve">s </w:t>
      </w:r>
      <w:r w:rsidRPr="00FC010D">
        <w:rPr>
          <w:sz w:val="24"/>
        </w:rPr>
        <w:t xml:space="preserve">emphasised the opportunity to influence the impairment tables to improve them is highly limited in scope, and that the impairment tables will continue to be used regardless of the outcomes of these consultations. </w:t>
      </w:r>
    </w:p>
    <w:p w14:paraId="1A186AB6" w14:textId="77777777" w:rsidR="007F4809" w:rsidRPr="00FC010D" w:rsidRDefault="007F4809" w:rsidP="00FC010D">
      <w:pPr>
        <w:spacing w:after="0" w:line="276" w:lineRule="auto"/>
        <w:rPr>
          <w:sz w:val="24"/>
        </w:rPr>
      </w:pPr>
    </w:p>
    <w:p w14:paraId="7D8149BE" w14:textId="35C29059" w:rsidR="006B5A4D" w:rsidRPr="00FC010D" w:rsidRDefault="006B5A4D" w:rsidP="00FC010D">
      <w:pPr>
        <w:spacing w:after="0" w:line="276" w:lineRule="auto"/>
        <w:rPr>
          <w:sz w:val="24"/>
        </w:rPr>
      </w:pPr>
      <w:r w:rsidRPr="00FC010D">
        <w:rPr>
          <w:sz w:val="24"/>
        </w:rPr>
        <w:t xml:space="preserve">This review has created a sense of trepidation within the disability community. We fear the Government will introduce yet another round of harmful changes that fail to reflect the outcomes of this consultation, as has happened so often in the past. </w:t>
      </w:r>
    </w:p>
    <w:p w14:paraId="04288412" w14:textId="77777777" w:rsidR="007F4809" w:rsidRPr="00FC010D" w:rsidRDefault="007F4809" w:rsidP="00FC010D">
      <w:pPr>
        <w:spacing w:after="0" w:line="276" w:lineRule="auto"/>
        <w:rPr>
          <w:sz w:val="24"/>
        </w:rPr>
      </w:pPr>
    </w:p>
    <w:p w14:paraId="63F6E832" w14:textId="0237EE34" w:rsidR="006B5A4D" w:rsidRPr="00FC010D" w:rsidRDefault="006B5A4D" w:rsidP="00FC010D">
      <w:pPr>
        <w:spacing w:after="0" w:line="276" w:lineRule="auto"/>
        <w:rPr>
          <w:sz w:val="24"/>
        </w:rPr>
      </w:pPr>
      <w:r w:rsidRPr="00FC010D">
        <w:rPr>
          <w:sz w:val="24"/>
        </w:rPr>
        <w:t>The introduction of impairment tables had seen the rate of successful DSP applications drop from 60% to 30% by 2018</w:t>
      </w:r>
      <w:r w:rsidR="0073721E" w:rsidRPr="00FC010D">
        <w:rPr>
          <w:sz w:val="24"/>
        </w:rPr>
        <w:t>.</w:t>
      </w:r>
      <w:r w:rsidR="0073721E" w:rsidRPr="00FC010D">
        <w:rPr>
          <w:rStyle w:val="FootnoteReference"/>
          <w:sz w:val="24"/>
        </w:rPr>
        <w:footnoteReference w:id="3"/>
      </w:r>
    </w:p>
    <w:p w14:paraId="63632DBC" w14:textId="77777777" w:rsidR="007F4809" w:rsidRPr="00FC010D" w:rsidRDefault="007F4809" w:rsidP="00FC010D">
      <w:pPr>
        <w:spacing w:after="0" w:line="276" w:lineRule="auto"/>
        <w:rPr>
          <w:sz w:val="24"/>
        </w:rPr>
      </w:pPr>
    </w:p>
    <w:p w14:paraId="1236AED8" w14:textId="58E2E19A" w:rsidR="006B5A4D" w:rsidRPr="00FC010D" w:rsidRDefault="006B5A4D" w:rsidP="00FC010D">
      <w:pPr>
        <w:spacing w:after="0" w:line="276" w:lineRule="auto"/>
        <w:rPr>
          <w:sz w:val="24"/>
        </w:rPr>
      </w:pPr>
      <w:r w:rsidRPr="00FC010D">
        <w:rPr>
          <w:sz w:val="24"/>
        </w:rPr>
        <w:t xml:space="preserve">In their 2020 report into understanding the economic and policy trends affecting Commonwealth expenditure on </w:t>
      </w:r>
      <w:proofErr w:type="spellStart"/>
      <w:r w:rsidRPr="00FC010D">
        <w:rPr>
          <w:sz w:val="24"/>
        </w:rPr>
        <w:t>JobSeeker</w:t>
      </w:r>
      <w:proofErr w:type="spellEnd"/>
      <w:r w:rsidRPr="00FC010D">
        <w:rPr>
          <w:sz w:val="24"/>
        </w:rPr>
        <w:t xml:space="preserve">, the Parliamentary Budget Office (PBO) noted that changes to the DSP, between 2012 and 2015, played a significant role in increasing the number of people receiving the </w:t>
      </w:r>
      <w:proofErr w:type="spellStart"/>
      <w:r w:rsidRPr="00FC010D">
        <w:rPr>
          <w:sz w:val="24"/>
        </w:rPr>
        <w:t>JobSeeker</w:t>
      </w:r>
      <w:proofErr w:type="spellEnd"/>
      <w:r w:rsidRPr="00FC010D">
        <w:rPr>
          <w:sz w:val="24"/>
        </w:rPr>
        <w:t xml:space="preserve"> payment</w:t>
      </w:r>
      <w:r w:rsidR="00E96EF5" w:rsidRPr="00FC010D">
        <w:rPr>
          <w:sz w:val="24"/>
        </w:rPr>
        <w:t>.</w:t>
      </w:r>
      <w:r w:rsidR="00E96EF5" w:rsidRPr="00FC010D">
        <w:rPr>
          <w:rStyle w:val="FootnoteReference"/>
          <w:sz w:val="24"/>
        </w:rPr>
        <w:footnoteReference w:id="4"/>
      </w:r>
    </w:p>
    <w:p w14:paraId="652265CE" w14:textId="77777777" w:rsidR="007F4809" w:rsidRPr="00FC010D" w:rsidRDefault="007F4809" w:rsidP="00FC010D">
      <w:pPr>
        <w:spacing w:after="0" w:line="276" w:lineRule="auto"/>
        <w:rPr>
          <w:sz w:val="24"/>
        </w:rPr>
      </w:pPr>
    </w:p>
    <w:p w14:paraId="56DE3E6D" w14:textId="77777777" w:rsidR="006B5A4D" w:rsidRPr="00A651E9" w:rsidRDefault="006B5A4D" w:rsidP="00FC010D">
      <w:pPr>
        <w:pStyle w:val="Quotestyle1"/>
        <w:spacing w:before="0" w:after="0" w:line="276" w:lineRule="auto"/>
        <w:rPr>
          <w:b w:val="0"/>
          <w:bCs/>
        </w:rPr>
      </w:pPr>
      <w:r w:rsidRPr="00A651E9">
        <w:rPr>
          <w:b w:val="0"/>
          <w:bCs/>
        </w:rPr>
        <w:t xml:space="preserve">This system is erratic and set up so that only those who have expensive help … can manage to jump the hoops. People who are in the most desperate need are the least able to get it. – Jade </w:t>
      </w:r>
    </w:p>
    <w:p w14:paraId="4B064D50" w14:textId="77777777" w:rsidR="00557409" w:rsidRPr="00FC010D" w:rsidRDefault="00557409" w:rsidP="00FC010D">
      <w:pPr>
        <w:pStyle w:val="PWDAbodycopy"/>
        <w:spacing w:after="0" w:line="276" w:lineRule="auto"/>
      </w:pPr>
    </w:p>
    <w:p w14:paraId="270DD103" w14:textId="5253BEB5" w:rsidR="006B5A4D" w:rsidRPr="00FC010D" w:rsidRDefault="006B5A4D" w:rsidP="00FC010D">
      <w:pPr>
        <w:spacing w:after="0" w:line="276" w:lineRule="auto"/>
        <w:rPr>
          <w:sz w:val="24"/>
        </w:rPr>
      </w:pPr>
      <w:r w:rsidRPr="00FC010D">
        <w:rPr>
          <w:sz w:val="24"/>
        </w:rPr>
        <w:t>There has been a dramatic increase in the number of people with disability who are trapped on</w:t>
      </w:r>
      <w:r w:rsidR="00B92152">
        <w:rPr>
          <w:sz w:val="24"/>
        </w:rPr>
        <w:t xml:space="preserve"> unemployment p</w:t>
      </w:r>
      <w:r w:rsidRPr="00FC010D">
        <w:rPr>
          <w:sz w:val="24"/>
        </w:rPr>
        <w:t>ayments</w:t>
      </w:r>
      <w:r w:rsidR="001D460B" w:rsidRPr="00FC010D">
        <w:rPr>
          <w:sz w:val="24"/>
        </w:rPr>
        <w:t>,</w:t>
      </w:r>
      <w:r w:rsidR="004A3A6E" w:rsidRPr="00FC010D">
        <w:rPr>
          <w:rStyle w:val="FootnoteReference"/>
          <w:sz w:val="24"/>
        </w:rPr>
        <w:footnoteReference w:id="5"/>
      </w:r>
      <w:r w:rsidRPr="00FC010D">
        <w:rPr>
          <w:sz w:val="24"/>
        </w:rPr>
        <w:t xml:space="preserve"> because, as the DSP is designed to recognise, many of us are prevented from fully participating in the workforce. </w:t>
      </w:r>
    </w:p>
    <w:p w14:paraId="23013472" w14:textId="77777777" w:rsidR="007F4809" w:rsidRPr="00FC010D" w:rsidRDefault="007F4809" w:rsidP="00FC010D">
      <w:pPr>
        <w:spacing w:after="0" w:line="276" w:lineRule="auto"/>
        <w:rPr>
          <w:sz w:val="24"/>
        </w:rPr>
      </w:pPr>
    </w:p>
    <w:p w14:paraId="58182BC4" w14:textId="243FAD26" w:rsidR="006B5A4D" w:rsidRPr="00FC010D" w:rsidRDefault="006B5A4D" w:rsidP="00FC010D">
      <w:pPr>
        <w:spacing w:after="0" w:line="276" w:lineRule="auto"/>
        <w:rPr>
          <w:sz w:val="24"/>
        </w:rPr>
      </w:pPr>
      <w:r w:rsidRPr="00FC010D">
        <w:rPr>
          <w:sz w:val="24"/>
        </w:rPr>
        <w:t xml:space="preserve">40% of people on </w:t>
      </w:r>
      <w:proofErr w:type="spellStart"/>
      <w:r w:rsidRPr="00FC010D">
        <w:rPr>
          <w:sz w:val="24"/>
        </w:rPr>
        <w:t>JobSeeker</w:t>
      </w:r>
      <w:proofErr w:type="spellEnd"/>
      <w:r w:rsidRPr="00FC010D">
        <w:rPr>
          <w:sz w:val="24"/>
        </w:rPr>
        <w:t xml:space="preserve"> are assessed as having a partial capacity to work, and nearly 1 in 2 people who get the payment are exempt from job searches because of this</w:t>
      </w:r>
      <w:r w:rsidR="00712D79" w:rsidRPr="00FC010D">
        <w:rPr>
          <w:sz w:val="24"/>
        </w:rPr>
        <w:t>.</w:t>
      </w:r>
      <w:r w:rsidR="00712D79" w:rsidRPr="00FC010D">
        <w:rPr>
          <w:rStyle w:val="FootnoteReference"/>
          <w:sz w:val="24"/>
        </w:rPr>
        <w:footnoteReference w:id="6"/>
      </w:r>
      <w:r w:rsidRPr="00FC010D">
        <w:rPr>
          <w:sz w:val="24"/>
        </w:rPr>
        <w:t xml:space="preserve"> </w:t>
      </w:r>
    </w:p>
    <w:p w14:paraId="11253D88" w14:textId="77777777" w:rsidR="007F4809" w:rsidRPr="00FC010D" w:rsidRDefault="007F4809" w:rsidP="00FC010D">
      <w:pPr>
        <w:spacing w:after="0" w:line="276" w:lineRule="auto"/>
        <w:rPr>
          <w:sz w:val="24"/>
        </w:rPr>
      </w:pPr>
    </w:p>
    <w:p w14:paraId="3253E994" w14:textId="11B2DBAA" w:rsidR="006B5A4D" w:rsidRPr="00FC010D" w:rsidRDefault="006B5A4D" w:rsidP="00FC010D">
      <w:pPr>
        <w:spacing w:after="0" w:line="276" w:lineRule="auto"/>
        <w:rPr>
          <w:sz w:val="24"/>
        </w:rPr>
      </w:pPr>
      <w:r w:rsidRPr="00FC010D">
        <w:rPr>
          <w:sz w:val="24"/>
        </w:rPr>
        <w:t>Between June 2011 and June 2015, the number of people</w:t>
      </w:r>
      <w:r w:rsidR="00373DE5" w:rsidRPr="00FC010D">
        <w:rPr>
          <w:sz w:val="24"/>
        </w:rPr>
        <w:t xml:space="preserve"> with disability</w:t>
      </w:r>
      <w:r w:rsidRPr="00FC010D">
        <w:rPr>
          <w:sz w:val="24"/>
        </w:rPr>
        <w:t xml:space="preserve"> in mainstream employment services increased from 11% to 15%,</w:t>
      </w:r>
      <w:r w:rsidR="007A177A" w:rsidRPr="00FC010D">
        <w:rPr>
          <w:rStyle w:val="FootnoteReference"/>
          <w:sz w:val="24"/>
        </w:rPr>
        <w:footnoteReference w:id="7"/>
      </w:r>
      <w:r w:rsidRPr="00FC010D">
        <w:rPr>
          <w:sz w:val="24"/>
        </w:rPr>
        <w:t xml:space="preserve"> and by June 2021 this had risen to nearly 25%.</w:t>
      </w:r>
      <w:r w:rsidR="00FB561B" w:rsidRPr="00FC010D">
        <w:rPr>
          <w:rStyle w:val="FootnoteReference"/>
          <w:sz w:val="24"/>
        </w:rPr>
        <w:footnoteReference w:id="8"/>
      </w:r>
      <w:r w:rsidRPr="00FC010D">
        <w:rPr>
          <w:sz w:val="24"/>
        </w:rPr>
        <w:t xml:space="preserve"> Over the same period the proportion of people in Disability Employment Services</w:t>
      </w:r>
      <w:r w:rsidR="00AF3C51">
        <w:rPr>
          <w:sz w:val="24"/>
        </w:rPr>
        <w:t xml:space="preserve"> (DES)</w:t>
      </w:r>
      <w:r w:rsidRPr="00FC010D">
        <w:rPr>
          <w:sz w:val="24"/>
        </w:rPr>
        <w:t xml:space="preserve"> who were on the </w:t>
      </w:r>
      <w:proofErr w:type="spellStart"/>
      <w:r w:rsidRPr="00FC010D">
        <w:rPr>
          <w:sz w:val="24"/>
        </w:rPr>
        <w:t>JobSeeker</w:t>
      </w:r>
      <w:proofErr w:type="spellEnd"/>
      <w:r w:rsidRPr="00FC010D">
        <w:rPr>
          <w:sz w:val="24"/>
        </w:rPr>
        <w:t xml:space="preserve"> or Youth Allowance payment increased from 56% to 79%.</w:t>
      </w:r>
      <w:r w:rsidR="008828AA" w:rsidRPr="00FC010D">
        <w:rPr>
          <w:rStyle w:val="FootnoteReference"/>
          <w:sz w:val="24"/>
        </w:rPr>
        <w:footnoteReference w:id="9"/>
      </w:r>
      <w:r w:rsidRPr="00FC010D">
        <w:rPr>
          <w:sz w:val="24"/>
        </w:rPr>
        <w:t xml:space="preserve"> </w:t>
      </w:r>
    </w:p>
    <w:p w14:paraId="5676A6E2" w14:textId="77777777" w:rsidR="007F4809" w:rsidRPr="00FC010D" w:rsidRDefault="007F4809" w:rsidP="00FC010D">
      <w:pPr>
        <w:spacing w:after="0" w:line="276" w:lineRule="auto"/>
        <w:rPr>
          <w:sz w:val="24"/>
        </w:rPr>
      </w:pPr>
    </w:p>
    <w:p w14:paraId="58349168" w14:textId="734C0FCA" w:rsidR="006B5A4D" w:rsidRPr="00FC010D" w:rsidRDefault="006B5A4D" w:rsidP="00FC010D">
      <w:pPr>
        <w:spacing w:after="0" w:line="276" w:lineRule="auto"/>
        <w:rPr>
          <w:sz w:val="24"/>
        </w:rPr>
      </w:pPr>
      <w:r w:rsidRPr="00FC010D">
        <w:rPr>
          <w:sz w:val="24"/>
        </w:rPr>
        <w:t xml:space="preserve">Many people with disability are forced into poverty as their capacity to work, and any hope of sustainable employment, is further decreased due to the punitive nature of the </w:t>
      </w:r>
      <w:proofErr w:type="spellStart"/>
      <w:r w:rsidRPr="00FC010D">
        <w:rPr>
          <w:sz w:val="24"/>
        </w:rPr>
        <w:t>jobactive</w:t>
      </w:r>
      <w:proofErr w:type="spellEnd"/>
      <w:r w:rsidRPr="00FC010D">
        <w:rPr>
          <w:sz w:val="24"/>
        </w:rPr>
        <w:t xml:space="preserve"> and </w:t>
      </w:r>
      <w:r w:rsidR="00AF3C51">
        <w:rPr>
          <w:sz w:val="24"/>
        </w:rPr>
        <w:t>DES</w:t>
      </w:r>
      <w:r w:rsidRPr="00FC010D">
        <w:rPr>
          <w:sz w:val="24"/>
        </w:rPr>
        <w:t xml:space="preserve"> programs</w:t>
      </w:r>
      <w:r w:rsidR="00EA674B" w:rsidRPr="00FC010D">
        <w:rPr>
          <w:sz w:val="24"/>
        </w:rPr>
        <w:t>.</w:t>
      </w:r>
      <w:r w:rsidR="004D7AF9" w:rsidRPr="00FC010D">
        <w:rPr>
          <w:rStyle w:val="FootnoteReference"/>
          <w:rFonts w:ascii="Helvetica Neue" w:hAnsi="Helvetica Neue"/>
          <w:sz w:val="24"/>
        </w:rPr>
        <w:footnoteReference w:id="10"/>
      </w:r>
      <w:r w:rsidRPr="00FC010D">
        <w:rPr>
          <w:sz w:val="24"/>
        </w:rPr>
        <w:t xml:space="preserve"> </w:t>
      </w:r>
    </w:p>
    <w:p w14:paraId="3F3229EC" w14:textId="77777777" w:rsidR="007F4809" w:rsidRPr="00FC010D" w:rsidRDefault="007F4809" w:rsidP="00FC010D">
      <w:pPr>
        <w:spacing w:after="0" w:line="276" w:lineRule="auto"/>
        <w:rPr>
          <w:sz w:val="24"/>
        </w:rPr>
      </w:pPr>
    </w:p>
    <w:p w14:paraId="73BB16EC" w14:textId="027F1E4D" w:rsidR="006B5A4D" w:rsidRPr="00A651E9" w:rsidRDefault="006B5A4D" w:rsidP="00FC010D">
      <w:pPr>
        <w:pStyle w:val="Quotestyle1"/>
        <w:spacing w:before="0" w:after="0" w:line="276" w:lineRule="auto"/>
        <w:rPr>
          <w:b w:val="0"/>
          <w:bCs/>
        </w:rPr>
      </w:pPr>
      <w:r w:rsidRPr="00A651E9">
        <w:rPr>
          <w:b w:val="0"/>
          <w:bCs/>
        </w:rPr>
        <w:t xml:space="preserve">I applied at 18/19, was rejected for not being "fully treated and stabilised" despite having been undergoing treatment since 16yo. Was on unemployment, first with Disability Employment Services (DES) and then sneakily transferred to </w:t>
      </w:r>
      <w:proofErr w:type="spellStart"/>
      <w:r w:rsidRPr="00A651E9">
        <w:rPr>
          <w:b w:val="0"/>
          <w:bCs/>
        </w:rPr>
        <w:t>jobactive</w:t>
      </w:r>
      <w:proofErr w:type="spellEnd"/>
      <w:r w:rsidRPr="00A651E9">
        <w:rPr>
          <w:b w:val="0"/>
          <w:bCs/>
        </w:rPr>
        <w:t xml:space="preserve"> until 26yo when I applied again, was rejected again (I believe I was told I didn't meet the tables criteria), sent back to DES, on appeal for two years. After two years of limbo everything suddenly got approved in about a month. – name withheld </w:t>
      </w:r>
    </w:p>
    <w:p w14:paraId="61BA2219" w14:textId="77777777" w:rsidR="007F4809" w:rsidRPr="00FC010D" w:rsidRDefault="007F4809" w:rsidP="00FC010D">
      <w:pPr>
        <w:pStyle w:val="PWDAbodycopy"/>
        <w:spacing w:after="0" w:line="276" w:lineRule="auto"/>
      </w:pPr>
    </w:p>
    <w:p w14:paraId="3E3C514B" w14:textId="131441B6" w:rsidR="00BA0F8A" w:rsidRPr="00FC010D" w:rsidRDefault="006B5A4D" w:rsidP="00FC010D">
      <w:pPr>
        <w:spacing w:after="0" w:line="276" w:lineRule="auto"/>
        <w:rPr>
          <w:sz w:val="24"/>
        </w:rPr>
      </w:pPr>
      <w:r w:rsidRPr="00FC010D">
        <w:rPr>
          <w:sz w:val="24"/>
        </w:rPr>
        <w:t xml:space="preserve">The DSP application process alone is lengthy and stressful enough, and </w:t>
      </w:r>
      <w:r w:rsidR="00AF3C51" w:rsidRPr="00FC010D">
        <w:rPr>
          <w:sz w:val="24"/>
        </w:rPr>
        <w:t>many</w:t>
      </w:r>
      <w:r w:rsidRPr="00FC010D">
        <w:rPr>
          <w:sz w:val="24"/>
        </w:rPr>
        <w:t xml:space="preserve"> applicants report a degrading impact on their health, particularly related to mental ill health.</w:t>
      </w:r>
    </w:p>
    <w:p w14:paraId="715FB2F6" w14:textId="77777777" w:rsidR="006B5A4D" w:rsidRDefault="006B5A4D" w:rsidP="006B5A4D">
      <w:pPr>
        <w:spacing w:after="0" w:line="276" w:lineRule="auto"/>
        <w:sectPr w:rsidR="006B5A4D" w:rsidSect="008E2BF3">
          <w:pgSz w:w="11906" w:h="16838" w:code="9"/>
          <w:pgMar w:top="1701" w:right="1134" w:bottom="1928" w:left="1134" w:header="284" w:footer="510" w:gutter="0"/>
          <w:cols w:space="708"/>
          <w:docGrid w:linePitch="360"/>
        </w:sectPr>
      </w:pPr>
    </w:p>
    <w:p w14:paraId="7F9CCBE6" w14:textId="77777777" w:rsidR="006B5A4D" w:rsidRPr="009B6A30" w:rsidRDefault="006B5A4D" w:rsidP="006B5A4D">
      <w:pPr>
        <w:spacing w:after="0" w:line="276" w:lineRule="auto"/>
      </w:pPr>
    </w:p>
    <w:p w14:paraId="46522B48" w14:textId="5244C964" w:rsidR="00BF4A77" w:rsidRPr="000F56CF" w:rsidRDefault="006B5A4D" w:rsidP="00D6029A">
      <w:pPr>
        <w:pStyle w:val="Heading1"/>
        <w:numPr>
          <w:ilvl w:val="0"/>
          <w:numId w:val="33"/>
        </w:numPr>
        <w:spacing w:after="0" w:line="276" w:lineRule="auto"/>
        <w:rPr>
          <w:sz w:val="56"/>
          <w:szCs w:val="56"/>
        </w:rPr>
      </w:pPr>
      <w:bookmarkStart w:id="4" w:name="_Toc79317402"/>
      <w:r>
        <w:rPr>
          <w:sz w:val="56"/>
          <w:szCs w:val="56"/>
        </w:rPr>
        <w:t>An opportunity for reform</w:t>
      </w:r>
      <w:bookmarkEnd w:id="4"/>
      <w:r>
        <w:rPr>
          <w:sz w:val="56"/>
          <w:szCs w:val="56"/>
        </w:rPr>
        <w:t xml:space="preserve"> </w:t>
      </w:r>
    </w:p>
    <w:p w14:paraId="16048C13" w14:textId="77777777" w:rsidR="009B6A30" w:rsidRDefault="009B6A30" w:rsidP="006B5A4D">
      <w:pPr>
        <w:spacing w:after="0" w:line="276" w:lineRule="auto"/>
      </w:pPr>
    </w:p>
    <w:p w14:paraId="27A8937C" w14:textId="3CBB06C8" w:rsidR="006B5A4D" w:rsidRPr="0016361E" w:rsidRDefault="006B5A4D" w:rsidP="006B5A4D">
      <w:pPr>
        <w:spacing w:after="0" w:line="276" w:lineRule="auto"/>
        <w:rPr>
          <w:sz w:val="24"/>
        </w:rPr>
      </w:pPr>
      <w:r w:rsidRPr="0016361E">
        <w:rPr>
          <w:sz w:val="24"/>
        </w:rPr>
        <w:t xml:space="preserve">The DSP should be a more supportive, accessible system that is universally available to people with disability who want the support it is supposed to provide. Impairment tables undermine this aim. </w:t>
      </w:r>
    </w:p>
    <w:p w14:paraId="6DFFEE23" w14:textId="77777777" w:rsidR="007F4809" w:rsidRPr="0016361E" w:rsidRDefault="007F4809" w:rsidP="006B5A4D">
      <w:pPr>
        <w:spacing w:after="0" w:line="276" w:lineRule="auto"/>
        <w:rPr>
          <w:sz w:val="24"/>
        </w:rPr>
      </w:pPr>
    </w:p>
    <w:p w14:paraId="1D06ADB6" w14:textId="456B8389" w:rsidR="00D80940" w:rsidRPr="0016361E" w:rsidRDefault="006B5A4D" w:rsidP="006B5A4D">
      <w:pPr>
        <w:spacing w:after="0" w:line="276" w:lineRule="auto"/>
        <w:rPr>
          <w:sz w:val="24"/>
        </w:rPr>
      </w:pPr>
      <w:r w:rsidRPr="0016361E">
        <w:rPr>
          <w:sz w:val="24"/>
        </w:rPr>
        <w:t xml:space="preserve">Overall, the impairment tables should be abolished. They are harmful and unnecessary. Impairment tables are a recent mechanism and they do not need to exist; we should not be dehumanised by having “points” assigned to us. </w:t>
      </w:r>
    </w:p>
    <w:p w14:paraId="04905C75" w14:textId="77777777" w:rsidR="007F4809" w:rsidRPr="0016361E" w:rsidRDefault="007F4809" w:rsidP="006B5A4D">
      <w:pPr>
        <w:spacing w:after="0" w:line="276" w:lineRule="auto"/>
        <w:rPr>
          <w:sz w:val="24"/>
        </w:rPr>
      </w:pPr>
    </w:p>
    <w:p w14:paraId="6299F09D" w14:textId="66F5C67B" w:rsidR="006B5A4D" w:rsidRPr="0016361E" w:rsidRDefault="006B5A4D" w:rsidP="006B5A4D">
      <w:pPr>
        <w:spacing w:after="0" w:line="276" w:lineRule="auto"/>
        <w:rPr>
          <w:sz w:val="24"/>
        </w:rPr>
      </w:pPr>
      <w:r w:rsidRPr="0016361E">
        <w:rPr>
          <w:sz w:val="24"/>
        </w:rPr>
        <w:t xml:space="preserve">It is society that disables us, and impairment tables fly in the face of the social model of disability. They should be replaced with something better, a more straightforward mechanism that is easy for both people with disability and those who support us to understand. </w:t>
      </w:r>
    </w:p>
    <w:p w14:paraId="3C401BDE" w14:textId="77777777" w:rsidR="007F4809" w:rsidRPr="0016361E" w:rsidRDefault="007F4809" w:rsidP="006B5A4D">
      <w:pPr>
        <w:spacing w:after="0" w:line="276" w:lineRule="auto"/>
        <w:rPr>
          <w:sz w:val="24"/>
        </w:rPr>
      </w:pPr>
    </w:p>
    <w:p w14:paraId="46B096A5" w14:textId="0279F6B5" w:rsidR="006B5A4D" w:rsidRPr="0016361E" w:rsidRDefault="006B5A4D" w:rsidP="006B5A4D">
      <w:pPr>
        <w:spacing w:after="0" w:line="276" w:lineRule="auto"/>
        <w:rPr>
          <w:sz w:val="24"/>
        </w:rPr>
      </w:pPr>
      <w:r w:rsidRPr="0016361E">
        <w:rPr>
          <w:sz w:val="24"/>
        </w:rPr>
        <w:t xml:space="preserve">People should qualify for the DSP based on their treating doctor’s assessment that they have a disability; other mechanisms like means testing already account for work capacity, and better accommodate the hundreds of thousands of people whose ability to do paid work is variable. </w:t>
      </w:r>
    </w:p>
    <w:p w14:paraId="1BFA362D" w14:textId="77777777" w:rsidR="007F4809" w:rsidRPr="0016361E" w:rsidRDefault="007F4809" w:rsidP="006B5A4D">
      <w:pPr>
        <w:spacing w:after="0" w:line="276" w:lineRule="auto"/>
        <w:rPr>
          <w:sz w:val="24"/>
        </w:rPr>
      </w:pPr>
    </w:p>
    <w:p w14:paraId="7F900916" w14:textId="6A831689" w:rsidR="006B5A4D" w:rsidRDefault="006B5A4D" w:rsidP="006B5A4D">
      <w:pPr>
        <w:spacing w:after="0" w:line="276" w:lineRule="auto"/>
        <w:rPr>
          <w:sz w:val="24"/>
        </w:rPr>
      </w:pPr>
      <w:r w:rsidRPr="0016361E">
        <w:rPr>
          <w:sz w:val="24"/>
        </w:rPr>
        <w:t xml:space="preserve">The recommendations below should be adopted on an interim basis until a plan is made for a transition to a system without impairment tables. </w:t>
      </w:r>
    </w:p>
    <w:p w14:paraId="4204665B" w14:textId="77777777" w:rsidR="00D6029A" w:rsidRPr="0016361E" w:rsidRDefault="00D6029A" w:rsidP="006B5A4D">
      <w:pPr>
        <w:spacing w:after="0" w:line="276" w:lineRule="auto"/>
        <w:rPr>
          <w:sz w:val="24"/>
        </w:rPr>
      </w:pPr>
    </w:p>
    <w:p w14:paraId="13961F1A" w14:textId="0133E165" w:rsidR="006B5A4D" w:rsidRPr="0016361E" w:rsidRDefault="006B5A4D" w:rsidP="006B5A4D">
      <w:pPr>
        <w:spacing w:after="0" w:line="276" w:lineRule="auto"/>
        <w:rPr>
          <w:sz w:val="24"/>
        </w:rPr>
      </w:pPr>
    </w:p>
    <w:p w14:paraId="3411A731" w14:textId="77777777" w:rsidR="006B5A4D" w:rsidRDefault="006B5A4D" w:rsidP="006B5A4D">
      <w:pPr>
        <w:pStyle w:val="Heading2"/>
        <w:spacing w:after="0" w:line="276" w:lineRule="auto"/>
      </w:pPr>
      <w:bookmarkStart w:id="5" w:name="_Toc79000355"/>
      <w:bookmarkStart w:id="6" w:name="_Toc79317403"/>
      <w:r>
        <w:t>Specific recommendations regarding the operation of the tables</w:t>
      </w:r>
      <w:bookmarkEnd w:id="5"/>
      <w:bookmarkEnd w:id="6"/>
      <w:r>
        <w:t xml:space="preserve"> </w:t>
      </w:r>
      <w:r>
        <w:tab/>
      </w:r>
    </w:p>
    <w:p w14:paraId="53CA26FC" w14:textId="5B06F554" w:rsidR="007F4809" w:rsidRPr="0016361E" w:rsidRDefault="006B5A4D" w:rsidP="0016361E">
      <w:pPr>
        <w:spacing w:after="0" w:line="276" w:lineRule="auto"/>
        <w:rPr>
          <w:sz w:val="24"/>
        </w:rPr>
      </w:pPr>
      <w:r w:rsidRPr="0016361E">
        <w:rPr>
          <w:sz w:val="24"/>
        </w:rPr>
        <w:t xml:space="preserve">The </w:t>
      </w:r>
      <w:r w:rsidR="00704257">
        <w:rPr>
          <w:sz w:val="24"/>
        </w:rPr>
        <w:t>D</w:t>
      </w:r>
      <w:r w:rsidRPr="0016361E">
        <w:rPr>
          <w:sz w:val="24"/>
        </w:rPr>
        <w:t xml:space="preserve">epartment has explicitly ruled out accepting the advice of people with disability, </w:t>
      </w:r>
      <w:proofErr w:type="gramStart"/>
      <w:r w:rsidRPr="0016361E">
        <w:rPr>
          <w:sz w:val="24"/>
        </w:rPr>
        <w:t>advocates</w:t>
      </w:r>
      <w:proofErr w:type="gramEnd"/>
      <w:r w:rsidRPr="0016361E">
        <w:rPr>
          <w:sz w:val="24"/>
        </w:rPr>
        <w:t xml:space="preserve"> and policy experts to abolish the impairment tables. </w:t>
      </w:r>
    </w:p>
    <w:p w14:paraId="622DBFA7" w14:textId="77777777" w:rsidR="007F4809" w:rsidRPr="0016361E" w:rsidRDefault="007F4809" w:rsidP="0016361E">
      <w:pPr>
        <w:spacing w:after="0" w:line="276" w:lineRule="auto"/>
        <w:rPr>
          <w:sz w:val="24"/>
        </w:rPr>
      </w:pPr>
    </w:p>
    <w:p w14:paraId="2447D17A" w14:textId="101E4AB4" w:rsidR="006B5A4D" w:rsidRPr="0016361E" w:rsidRDefault="006B5A4D" w:rsidP="0016361E">
      <w:pPr>
        <w:spacing w:after="0" w:line="276" w:lineRule="auto"/>
        <w:rPr>
          <w:sz w:val="24"/>
        </w:rPr>
      </w:pPr>
      <w:r w:rsidRPr="0016361E">
        <w:rPr>
          <w:sz w:val="24"/>
        </w:rPr>
        <w:t xml:space="preserve">Considering this, we make the below recommendations to improve the operation of the tables while they continue to exist. </w:t>
      </w:r>
    </w:p>
    <w:p w14:paraId="7524977B" w14:textId="77777777" w:rsidR="007F4809" w:rsidRPr="0016361E" w:rsidRDefault="007F4809" w:rsidP="0016361E">
      <w:pPr>
        <w:spacing w:after="0" w:line="276" w:lineRule="auto"/>
        <w:rPr>
          <w:sz w:val="24"/>
        </w:rPr>
      </w:pPr>
    </w:p>
    <w:p w14:paraId="723C0484" w14:textId="17D43D73" w:rsidR="006B5A4D" w:rsidRPr="0016361E" w:rsidRDefault="006B5A4D" w:rsidP="0016361E">
      <w:pPr>
        <w:spacing w:after="0" w:line="276" w:lineRule="auto"/>
        <w:rPr>
          <w:sz w:val="24"/>
        </w:rPr>
      </w:pPr>
      <w:r w:rsidRPr="0016361E">
        <w:rPr>
          <w:sz w:val="24"/>
        </w:rPr>
        <w:t xml:space="preserve">The impairment tables must more adequately accommodate the diverse nature and complexity of disability, and the reality of how these complexities affect us. </w:t>
      </w:r>
    </w:p>
    <w:p w14:paraId="20582158" w14:textId="77777777" w:rsidR="00704257" w:rsidRDefault="00704257" w:rsidP="00704257">
      <w:pPr>
        <w:pStyle w:val="Heading3"/>
        <w:spacing w:after="0" w:line="276" w:lineRule="auto"/>
        <w:rPr>
          <w:sz w:val="24"/>
          <w:szCs w:val="24"/>
        </w:rPr>
      </w:pPr>
      <w:bookmarkStart w:id="7" w:name="_Toc79000356"/>
      <w:bookmarkStart w:id="8" w:name="_Toc79317404"/>
    </w:p>
    <w:p w14:paraId="03863BEF" w14:textId="34FE7195" w:rsidR="006B5A4D" w:rsidRPr="0016361E" w:rsidRDefault="006B5A4D" w:rsidP="00704257">
      <w:pPr>
        <w:pStyle w:val="Heading3"/>
        <w:numPr>
          <w:ilvl w:val="0"/>
          <w:numId w:val="34"/>
        </w:numPr>
        <w:spacing w:after="0" w:line="276" w:lineRule="auto"/>
        <w:rPr>
          <w:sz w:val="24"/>
          <w:szCs w:val="24"/>
        </w:rPr>
      </w:pPr>
      <w:r w:rsidRPr="0016361E">
        <w:rPr>
          <w:sz w:val="24"/>
          <w:szCs w:val="24"/>
        </w:rPr>
        <w:t>Amend impairment tables to make the DSP easier to access</w:t>
      </w:r>
      <w:bookmarkEnd w:id="7"/>
      <w:bookmarkEnd w:id="8"/>
      <w:r w:rsidRPr="0016361E">
        <w:rPr>
          <w:sz w:val="24"/>
          <w:szCs w:val="24"/>
        </w:rPr>
        <w:t xml:space="preserve"> </w:t>
      </w:r>
    </w:p>
    <w:p w14:paraId="4FB5FC97" w14:textId="77777777" w:rsidR="006B5A4D" w:rsidRPr="0016361E" w:rsidRDefault="006B5A4D" w:rsidP="0016361E">
      <w:pPr>
        <w:spacing w:after="0" w:line="276" w:lineRule="auto"/>
        <w:rPr>
          <w:sz w:val="24"/>
        </w:rPr>
      </w:pPr>
      <w:r w:rsidRPr="0016361E">
        <w:rPr>
          <w:sz w:val="24"/>
        </w:rPr>
        <w:t xml:space="preserve">The impairment tables are confusing and present an immediate hurdle to anyone considering applying for the DSP. </w:t>
      </w:r>
    </w:p>
    <w:p w14:paraId="0C4A2841" w14:textId="77777777" w:rsidR="00131156" w:rsidRPr="0016361E" w:rsidRDefault="00131156" w:rsidP="0016361E">
      <w:pPr>
        <w:spacing w:after="0" w:line="276" w:lineRule="auto"/>
        <w:rPr>
          <w:sz w:val="24"/>
        </w:rPr>
      </w:pPr>
    </w:p>
    <w:p w14:paraId="13A8129C" w14:textId="60BE7897" w:rsidR="006B5A4D" w:rsidRPr="00A651E9" w:rsidRDefault="006B5A4D" w:rsidP="0016361E">
      <w:pPr>
        <w:pStyle w:val="Quotestyle1"/>
        <w:spacing w:before="0" w:after="0" w:line="276" w:lineRule="auto"/>
        <w:rPr>
          <w:b w:val="0"/>
          <w:bCs/>
        </w:rPr>
      </w:pPr>
      <w:r w:rsidRPr="00A651E9">
        <w:rPr>
          <w:b w:val="0"/>
          <w:bCs/>
        </w:rPr>
        <w:lastRenderedPageBreak/>
        <w:t xml:space="preserve">Make the "Impairment Tables" easier to understand. Clearly outline </w:t>
      </w:r>
      <w:r w:rsidR="00295D6B" w:rsidRPr="00A651E9">
        <w:rPr>
          <w:b w:val="0"/>
          <w:bCs/>
        </w:rPr>
        <w:br/>
      </w:r>
      <w:r w:rsidRPr="00A651E9">
        <w:rPr>
          <w:b w:val="0"/>
          <w:bCs/>
        </w:rPr>
        <w:t>which medical reports and by which Medical Professionals are required.</w:t>
      </w:r>
      <w:r w:rsidR="00295D6B" w:rsidRPr="00A651E9">
        <w:rPr>
          <w:b w:val="0"/>
          <w:bCs/>
        </w:rPr>
        <w:t> </w:t>
      </w:r>
      <w:r w:rsidRPr="00A651E9">
        <w:rPr>
          <w:b w:val="0"/>
          <w:bCs/>
        </w:rPr>
        <w:t>–</w:t>
      </w:r>
      <w:r w:rsidR="00131156" w:rsidRPr="00A651E9">
        <w:rPr>
          <w:b w:val="0"/>
          <w:bCs/>
        </w:rPr>
        <w:t> </w:t>
      </w:r>
      <w:r w:rsidRPr="00A651E9">
        <w:rPr>
          <w:b w:val="0"/>
          <w:bCs/>
        </w:rPr>
        <w:t xml:space="preserve">Timothy </w:t>
      </w:r>
    </w:p>
    <w:p w14:paraId="7BEF6D43" w14:textId="77777777" w:rsidR="007F4809" w:rsidRPr="0016361E" w:rsidRDefault="007F4809" w:rsidP="0016361E">
      <w:pPr>
        <w:spacing w:after="0" w:line="276" w:lineRule="auto"/>
        <w:rPr>
          <w:sz w:val="24"/>
        </w:rPr>
      </w:pPr>
    </w:p>
    <w:p w14:paraId="31DEB7C6" w14:textId="2B3F9EF9" w:rsidR="006B5A4D" w:rsidRPr="0016361E" w:rsidRDefault="006B5A4D" w:rsidP="0016361E">
      <w:pPr>
        <w:spacing w:after="0" w:line="276" w:lineRule="auto"/>
        <w:rPr>
          <w:sz w:val="24"/>
        </w:rPr>
      </w:pPr>
      <w:r w:rsidRPr="0016361E">
        <w:rPr>
          <w:sz w:val="24"/>
        </w:rPr>
        <w:t xml:space="preserve">Exclusion from the DSP exacerbates disability and makes it even harder to afford necessary treatments and supports. </w:t>
      </w:r>
    </w:p>
    <w:p w14:paraId="42C28535" w14:textId="77777777" w:rsidR="007F4809" w:rsidRPr="0016361E" w:rsidRDefault="007F4809" w:rsidP="0016361E">
      <w:pPr>
        <w:spacing w:after="0" w:line="276" w:lineRule="auto"/>
        <w:rPr>
          <w:sz w:val="24"/>
        </w:rPr>
      </w:pPr>
    </w:p>
    <w:p w14:paraId="483CFD3F" w14:textId="2595A337" w:rsidR="006B5A4D" w:rsidRPr="0016361E" w:rsidRDefault="006B5A4D" w:rsidP="0016361E">
      <w:pPr>
        <w:spacing w:after="0" w:line="276" w:lineRule="auto"/>
        <w:rPr>
          <w:sz w:val="24"/>
        </w:rPr>
      </w:pPr>
      <w:r w:rsidRPr="0016361E">
        <w:rPr>
          <w:sz w:val="24"/>
        </w:rPr>
        <w:t xml:space="preserve">The </w:t>
      </w:r>
      <w:r w:rsidR="00366186">
        <w:rPr>
          <w:sz w:val="24"/>
        </w:rPr>
        <w:t>G</w:t>
      </w:r>
      <w:r w:rsidRPr="0016361E">
        <w:rPr>
          <w:sz w:val="24"/>
        </w:rPr>
        <w:t xml:space="preserve">overnment’s own data shows that, since changes have been made to the impairment tables, more and more people with disability are now on </w:t>
      </w:r>
      <w:proofErr w:type="spellStart"/>
      <w:r w:rsidRPr="0016361E">
        <w:rPr>
          <w:sz w:val="24"/>
        </w:rPr>
        <w:t>JobSeeker</w:t>
      </w:r>
      <w:proofErr w:type="spellEnd"/>
      <w:r w:rsidRPr="0016361E">
        <w:rPr>
          <w:sz w:val="24"/>
        </w:rPr>
        <w:t xml:space="preserve"> and Youth Allowance</w:t>
      </w:r>
      <w:r w:rsidR="00CA5FEB" w:rsidRPr="0016361E">
        <w:rPr>
          <w:rStyle w:val="FootnoteReference"/>
          <w:sz w:val="24"/>
        </w:rPr>
        <w:footnoteReference w:id="11"/>
      </w:r>
      <w:r w:rsidRPr="0016361E">
        <w:rPr>
          <w:sz w:val="24"/>
        </w:rPr>
        <w:t xml:space="preserve"> and are even further below the poverty line than the DSP. This should not be viewed as a success. </w:t>
      </w:r>
    </w:p>
    <w:p w14:paraId="63BE2E22" w14:textId="77777777" w:rsidR="007F4809" w:rsidRPr="0016361E" w:rsidRDefault="007F4809" w:rsidP="0016361E">
      <w:pPr>
        <w:spacing w:after="0" w:line="276" w:lineRule="auto"/>
        <w:rPr>
          <w:sz w:val="24"/>
        </w:rPr>
      </w:pPr>
    </w:p>
    <w:p w14:paraId="66CC3D51" w14:textId="77777777" w:rsidR="006B5A4D" w:rsidRPr="0016361E" w:rsidRDefault="006B5A4D" w:rsidP="00366186">
      <w:pPr>
        <w:pStyle w:val="Heading3"/>
        <w:numPr>
          <w:ilvl w:val="0"/>
          <w:numId w:val="34"/>
        </w:numPr>
        <w:spacing w:after="0" w:line="276" w:lineRule="auto"/>
        <w:rPr>
          <w:sz w:val="24"/>
          <w:szCs w:val="24"/>
        </w:rPr>
      </w:pPr>
      <w:bookmarkStart w:id="9" w:name="_Toc79000357"/>
      <w:bookmarkStart w:id="10" w:name="_Toc79317405"/>
      <w:r w:rsidRPr="0016361E">
        <w:rPr>
          <w:sz w:val="24"/>
          <w:szCs w:val="24"/>
        </w:rPr>
        <w:t>Round points up, not down</w:t>
      </w:r>
      <w:bookmarkEnd w:id="9"/>
      <w:bookmarkEnd w:id="10"/>
      <w:r w:rsidRPr="0016361E">
        <w:rPr>
          <w:sz w:val="24"/>
          <w:szCs w:val="24"/>
        </w:rPr>
        <w:t xml:space="preserve"> </w:t>
      </w:r>
    </w:p>
    <w:p w14:paraId="445927B0" w14:textId="11FCAD37" w:rsidR="006B5A4D" w:rsidRPr="0016361E" w:rsidRDefault="006B5A4D" w:rsidP="0016361E">
      <w:pPr>
        <w:spacing w:after="0" w:line="276" w:lineRule="auto"/>
        <w:rPr>
          <w:sz w:val="24"/>
        </w:rPr>
      </w:pPr>
      <w:r w:rsidRPr="0016361E">
        <w:rPr>
          <w:sz w:val="24"/>
        </w:rPr>
        <w:t xml:space="preserve">The guidance on the choice of ratings within a table should be reversed. By default, any time a person’s impairment is deemed to fall between two rating levels on the points scale, the higher value should be assigned. </w:t>
      </w:r>
    </w:p>
    <w:p w14:paraId="258DC8CF" w14:textId="77777777" w:rsidR="007F4809" w:rsidRPr="0016361E" w:rsidRDefault="007F4809" w:rsidP="0016361E">
      <w:pPr>
        <w:spacing w:after="0" w:line="276" w:lineRule="auto"/>
        <w:rPr>
          <w:sz w:val="24"/>
        </w:rPr>
      </w:pPr>
    </w:p>
    <w:p w14:paraId="2B546DEB" w14:textId="77777777" w:rsidR="006B5A4D" w:rsidRPr="0016361E" w:rsidRDefault="006B5A4D" w:rsidP="00A73116">
      <w:pPr>
        <w:pStyle w:val="Heading3"/>
        <w:numPr>
          <w:ilvl w:val="0"/>
          <w:numId w:val="34"/>
        </w:numPr>
        <w:spacing w:after="0" w:line="276" w:lineRule="auto"/>
        <w:rPr>
          <w:sz w:val="24"/>
          <w:szCs w:val="24"/>
        </w:rPr>
      </w:pPr>
      <w:bookmarkStart w:id="11" w:name="_Toc79000358"/>
      <w:bookmarkStart w:id="12" w:name="_Toc79317406"/>
      <w:r w:rsidRPr="0016361E">
        <w:rPr>
          <w:sz w:val="24"/>
          <w:szCs w:val="24"/>
        </w:rPr>
        <w:t>Permit people who meet requirements across multiple tables to access the DSP</w:t>
      </w:r>
      <w:bookmarkEnd w:id="11"/>
      <w:bookmarkEnd w:id="12"/>
      <w:r w:rsidRPr="0016361E">
        <w:rPr>
          <w:sz w:val="24"/>
          <w:szCs w:val="24"/>
        </w:rPr>
        <w:t xml:space="preserve"> </w:t>
      </w:r>
    </w:p>
    <w:p w14:paraId="6109A82F" w14:textId="267D1B37" w:rsidR="006B5A4D" w:rsidRPr="0016361E" w:rsidRDefault="006B5A4D" w:rsidP="0016361E">
      <w:pPr>
        <w:spacing w:after="0" w:line="276" w:lineRule="auto"/>
        <w:rPr>
          <w:sz w:val="24"/>
        </w:rPr>
      </w:pPr>
      <w:r w:rsidRPr="0016361E">
        <w:rPr>
          <w:sz w:val="24"/>
        </w:rPr>
        <w:t xml:space="preserve">The current system of mandating that points exceed the minimum required on a single table is transparently a weapon used against people with disability to exclude us from support. </w:t>
      </w:r>
    </w:p>
    <w:p w14:paraId="44D92919" w14:textId="77777777" w:rsidR="007F4809" w:rsidRPr="0016361E" w:rsidRDefault="007F4809" w:rsidP="0016361E">
      <w:pPr>
        <w:spacing w:after="0" w:line="276" w:lineRule="auto"/>
        <w:rPr>
          <w:sz w:val="24"/>
        </w:rPr>
      </w:pPr>
    </w:p>
    <w:p w14:paraId="4A860EC8" w14:textId="343307B2" w:rsidR="006B5A4D" w:rsidRPr="00A651E9" w:rsidRDefault="006B5A4D" w:rsidP="0016361E">
      <w:pPr>
        <w:pStyle w:val="Quotestyle1"/>
        <w:spacing w:before="0" w:after="0" w:line="276" w:lineRule="auto"/>
        <w:rPr>
          <w:b w:val="0"/>
          <w:bCs/>
        </w:rPr>
      </w:pPr>
      <w:r w:rsidRPr="00A651E9">
        <w:rPr>
          <w:b w:val="0"/>
          <w:bCs/>
        </w:rPr>
        <w:t xml:space="preserve">I didn't meet the points required. My psychological illness was considered &amp; my chronic physical issues were disregarded. – Micaela Callan </w:t>
      </w:r>
    </w:p>
    <w:p w14:paraId="24BB1075" w14:textId="77777777" w:rsidR="007F4809" w:rsidRPr="0016361E" w:rsidRDefault="007F4809" w:rsidP="0016361E">
      <w:pPr>
        <w:pStyle w:val="PWDAbodycopy"/>
        <w:spacing w:after="0" w:line="276" w:lineRule="auto"/>
      </w:pPr>
    </w:p>
    <w:p w14:paraId="13F1E43A" w14:textId="77777777" w:rsidR="006B5A4D" w:rsidRPr="0016361E" w:rsidRDefault="006B5A4D" w:rsidP="0016361E">
      <w:pPr>
        <w:spacing w:after="0" w:line="276" w:lineRule="auto"/>
        <w:rPr>
          <w:sz w:val="24"/>
        </w:rPr>
      </w:pPr>
      <w:r w:rsidRPr="0016361E">
        <w:rPr>
          <w:sz w:val="24"/>
        </w:rPr>
        <w:t xml:space="preserve">It makes no sense to divide the “function-based” effects of our disability when their combined effect is the same. We encounter endless barriers to participation in society regardless of whether our experiences fit within one arbitrary box drawn by the Government, or multiple arbitrary boxes drawn by the Government. </w:t>
      </w:r>
    </w:p>
    <w:p w14:paraId="5506BDB0" w14:textId="77777777" w:rsidR="007F4809" w:rsidRPr="0016361E" w:rsidRDefault="007F4809" w:rsidP="0016361E">
      <w:pPr>
        <w:spacing w:after="0" w:line="276" w:lineRule="auto"/>
        <w:rPr>
          <w:sz w:val="24"/>
        </w:rPr>
      </w:pPr>
    </w:p>
    <w:p w14:paraId="41CD492E" w14:textId="7EA7F847" w:rsidR="006B5A4D" w:rsidRPr="0016361E" w:rsidRDefault="006B5A4D" w:rsidP="0016361E">
      <w:pPr>
        <w:spacing w:after="0" w:line="276" w:lineRule="auto"/>
        <w:rPr>
          <w:sz w:val="24"/>
        </w:rPr>
      </w:pPr>
      <w:r w:rsidRPr="0016361E">
        <w:rPr>
          <w:sz w:val="24"/>
        </w:rPr>
        <w:t xml:space="preserve">If we must have points assigned to us, then all of them should be counted. To do otherwise is a perverse manipulation of the “scoring” system. Disability is not a competition to be won. </w:t>
      </w:r>
    </w:p>
    <w:p w14:paraId="0CECB8DA" w14:textId="77777777" w:rsidR="007F4809" w:rsidRPr="0016361E" w:rsidRDefault="007F4809" w:rsidP="0016361E">
      <w:pPr>
        <w:spacing w:after="0" w:line="276" w:lineRule="auto"/>
        <w:rPr>
          <w:sz w:val="24"/>
        </w:rPr>
      </w:pPr>
    </w:p>
    <w:p w14:paraId="7B7D47D1" w14:textId="77777777" w:rsidR="006B5A4D" w:rsidRPr="00A651E9" w:rsidRDefault="006B5A4D" w:rsidP="0016361E">
      <w:pPr>
        <w:pStyle w:val="Quotestyle1"/>
        <w:spacing w:before="0" w:after="0" w:line="276" w:lineRule="auto"/>
        <w:rPr>
          <w:b w:val="0"/>
          <w:bCs/>
        </w:rPr>
      </w:pPr>
      <w:r w:rsidRPr="00A651E9">
        <w:rPr>
          <w:b w:val="0"/>
          <w:bCs/>
        </w:rPr>
        <w:t xml:space="preserve">I received a conflicting job capacity assessment (20 points in one impairment category) and disability medical assessment (0 points). I went to the AAT. At this stage they referred my matter to the Health Professional Advisory Unit. A government clinical psych did a 30-page report revealing 10 points in one category, 10 points in another category. Because I didn’t satisfy program of support requirements, I needed to wait. – name withheld </w:t>
      </w:r>
    </w:p>
    <w:p w14:paraId="6935EB8D" w14:textId="77777777" w:rsidR="007F4809" w:rsidRPr="0016361E" w:rsidRDefault="007F4809" w:rsidP="0016361E">
      <w:pPr>
        <w:spacing w:after="0" w:line="276" w:lineRule="auto"/>
        <w:rPr>
          <w:sz w:val="24"/>
        </w:rPr>
      </w:pPr>
    </w:p>
    <w:p w14:paraId="10392287" w14:textId="2CA17943" w:rsidR="006B5A4D" w:rsidRPr="0016361E" w:rsidRDefault="006B5A4D" w:rsidP="0016361E">
      <w:pPr>
        <w:spacing w:after="0" w:line="276" w:lineRule="auto"/>
        <w:rPr>
          <w:sz w:val="24"/>
        </w:rPr>
      </w:pPr>
      <w:r w:rsidRPr="0016361E">
        <w:rPr>
          <w:sz w:val="24"/>
        </w:rPr>
        <w:t xml:space="preserve">This impairment tables are just another tool the </w:t>
      </w:r>
      <w:r w:rsidR="00A268FE">
        <w:rPr>
          <w:sz w:val="24"/>
        </w:rPr>
        <w:t>G</w:t>
      </w:r>
      <w:r w:rsidRPr="0016361E">
        <w:rPr>
          <w:sz w:val="24"/>
        </w:rPr>
        <w:t>overnment uses to extract budget savings from those who can afford it least</w:t>
      </w:r>
      <w:r w:rsidR="00E901FB" w:rsidRPr="0016361E">
        <w:rPr>
          <w:sz w:val="24"/>
        </w:rPr>
        <w:t>.</w:t>
      </w:r>
      <w:r w:rsidR="00D0740F" w:rsidRPr="0016361E">
        <w:rPr>
          <w:rStyle w:val="FootnoteReference"/>
          <w:sz w:val="24"/>
        </w:rPr>
        <w:footnoteReference w:id="12"/>
      </w:r>
      <w:r w:rsidR="00487C67" w:rsidRPr="0016361E">
        <w:rPr>
          <w:rStyle w:val="CommentReference"/>
          <w:sz w:val="24"/>
          <w:szCs w:val="24"/>
        </w:rPr>
        <w:t xml:space="preserve"> </w:t>
      </w:r>
    </w:p>
    <w:p w14:paraId="41865D96" w14:textId="77777777" w:rsidR="007F4809" w:rsidRPr="0016361E" w:rsidRDefault="007F4809" w:rsidP="0016361E">
      <w:pPr>
        <w:spacing w:after="0" w:line="276" w:lineRule="auto"/>
        <w:rPr>
          <w:sz w:val="24"/>
        </w:rPr>
      </w:pPr>
    </w:p>
    <w:p w14:paraId="44BA404F" w14:textId="77777777" w:rsidR="00B61F7C" w:rsidRPr="0016361E" w:rsidRDefault="00B61F7C" w:rsidP="0016361E">
      <w:pPr>
        <w:spacing w:after="0" w:line="276" w:lineRule="auto"/>
        <w:rPr>
          <w:sz w:val="24"/>
        </w:rPr>
      </w:pPr>
      <w:r w:rsidRPr="0016361E">
        <w:rPr>
          <w:sz w:val="24"/>
        </w:rPr>
        <w:t xml:space="preserve">A bill digest prepared by the Parliamentary Library in relation to the 2011 reforms states: </w:t>
      </w:r>
    </w:p>
    <w:p w14:paraId="3841E8E6" w14:textId="77777777" w:rsidR="00B61F7C" w:rsidRPr="0016361E" w:rsidRDefault="00B61F7C" w:rsidP="0016361E">
      <w:pPr>
        <w:spacing w:after="0" w:line="276" w:lineRule="auto"/>
        <w:rPr>
          <w:sz w:val="24"/>
        </w:rPr>
      </w:pPr>
    </w:p>
    <w:p w14:paraId="19EA2414" w14:textId="7B85968A" w:rsidR="00B61F7C" w:rsidRPr="0016361E" w:rsidRDefault="00B61F7C" w:rsidP="0016361E">
      <w:pPr>
        <w:pStyle w:val="Quote"/>
        <w:spacing w:after="0" w:line="276" w:lineRule="auto"/>
        <w:rPr>
          <w:sz w:val="24"/>
        </w:rPr>
      </w:pPr>
      <w:r w:rsidRPr="0016361E">
        <w:rPr>
          <w:sz w:val="24"/>
        </w:rPr>
        <w:t>The DSP reforms of this and previous governments also have their origins in the burgeoning number of people receiving DSP, which is the sole remaining payment to people of working age which is not activity tested.</w:t>
      </w:r>
      <w:r w:rsidRPr="0016361E">
        <w:rPr>
          <w:rStyle w:val="FootnoteReference"/>
          <w:sz w:val="24"/>
        </w:rPr>
        <w:footnoteReference w:id="13"/>
      </w:r>
    </w:p>
    <w:p w14:paraId="42A137EB" w14:textId="77777777" w:rsidR="00D91BF8" w:rsidRPr="0016361E" w:rsidRDefault="00D91BF8" w:rsidP="0016361E">
      <w:pPr>
        <w:spacing w:after="0" w:line="276" w:lineRule="auto"/>
        <w:rPr>
          <w:sz w:val="24"/>
        </w:rPr>
      </w:pPr>
    </w:p>
    <w:p w14:paraId="7AEE436C" w14:textId="21A5352F" w:rsidR="006B5A4D" w:rsidRPr="0016361E" w:rsidRDefault="006B5A4D" w:rsidP="0016361E">
      <w:pPr>
        <w:spacing w:after="0" w:line="276" w:lineRule="auto"/>
        <w:rPr>
          <w:sz w:val="24"/>
        </w:rPr>
      </w:pPr>
      <w:r w:rsidRPr="0016361E">
        <w:rPr>
          <w:sz w:val="24"/>
        </w:rPr>
        <w:t xml:space="preserve">Successive changes introduced by the Rudd and Gillard governments produced an 11% reduction in the number of applicants who were able to get on the DSP between 2010 and 2012. The Parliamentary Library describes the changes as </w:t>
      </w:r>
      <w:r w:rsidR="00B61F7C" w:rsidRPr="0016361E">
        <w:rPr>
          <w:sz w:val="24"/>
        </w:rPr>
        <w:t>‘</w:t>
      </w:r>
      <w:r w:rsidRPr="0016361E">
        <w:rPr>
          <w:sz w:val="24"/>
        </w:rPr>
        <w:t>designed to reduce the flow on to the DSP</w:t>
      </w:r>
      <w:r w:rsidR="00B61F7C" w:rsidRPr="0016361E">
        <w:rPr>
          <w:sz w:val="24"/>
        </w:rPr>
        <w:t>’</w:t>
      </w:r>
      <w:r w:rsidR="00FC0194" w:rsidRPr="0016361E">
        <w:rPr>
          <w:sz w:val="24"/>
        </w:rPr>
        <w:t>.</w:t>
      </w:r>
      <w:r w:rsidR="00FC0194" w:rsidRPr="0016361E">
        <w:rPr>
          <w:rStyle w:val="FootnoteReference"/>
          <w:sz w:val="24"/>
        </w:rPr>
        <w:footnoteReference w:id="14"/>
      </w:r>
    </w:p>
    <w:p w14:paraId="3E2A5091" w14:textId="77777777" w:rsidR="007F4809" w:rsidRPr="0016361E" w:rsidRDefault="007F4809" w:rsidP="0016361E">
      <w:pPr>
        <w:spacing w:after="0" w:line="276" w:lineRule="auto"/>
        <w:rPr>
          <w:sz w:val="24"/>
        </w:rPr>
      </w:pPr>
    </w:p>
    <w:p w14:paraId="219D70C9" w14:textId="7861ABB4" w:rsidR="006B5A4D" w:rsidRPr="0016361E" w:rsidRDefault="006B5A4D" w:rsidP="0016361E">
      <w:pPr>
        <w:spacing w:after="0" w:line="276" w:lineRule="auto"/>
        <w:rPr>
          <w:sz w:val="24"/>
        </w:rPr>
      </w:pPr>
      <w:r w:rsidRPr="0016361E">
        <w:rPr>
          <w:sz w:val="24"/>
        </w:rPr>
        <w:t>A 2018 report by the Parliamentary Budget Office notes:</w:t>
      </w:r>
    </w:p>
    <w:p w14:paraId="56052135" w14:textId="77777777" w:rsidR="007F4809" w:rsidRPr="0016361E" w:rsidRDefault="007F4809" w:rsidP="0016361E">
      <w:pPr>
        <w:spacing w:after="0" w:line="276" w:lineRule="auto"/>
        <w:rPr>
          <w:sz w:val="24"/>
        </w:rPr>
      </w:pPr>
    </w:p>
    <w:p w14:paraId="2FFC8DE3" w14:textId="31A005F2" w:rsidR="006B5A4D" w:rsidRPr="0016361E" w:rsidRDefault="006B5A4D" w:rsidP="0016361E">
      <w:pPr>
        <w:pStyle w:val="Quote"/>
        <w:spacing w:after="0" w:line="276" w:lineRule="auto"/>
        <w:rPr>
          <w:sz w:val="24"/>
        </w:rPr>
      </w:pPr>
      <w:r w:rsidRPr="0016361E">
        <w:rPr>
          <w:sz w:val="24"/>
        </w:rPr>
        <w:t xml:space="preserve">From 2012–2013 growth in DSP expenditure slowed sharply … this has been driven by significant changes to assessment processes, particularly the introduction </w:t>
      </w:r>
      <w:r w:rsidR="0065278C">
        <w:rPr>
          <w:sz w:val="24"/>
        </w:rPr>
        <w:t xml:space="preserve">of </w:t>
      </w:r>
      <w:r w:rsidRPr="0016361E">
        <w:rPr>
          <w:sz w:val="24"/>
        </w:rPr>
        <w:t>new assessment tabl</w:t>
      </w:r>
      <w:r w:rsidR="009519FB" w:rsidRPr="0016361E">
        <w:rPr>
          <w:sz w:val="24"/>
        </w:rPr>
        <w:t>es</w:t>
      </w:r>
      <w:r w:rsidR="009519FB" w:rsidRPr="0016361E">
        <w:rPr>
          <w:rStyle w:val="FootnoteReference"/>
          <w:sz w:val="24"/>
        </w:rPr>
        <w:footnoteReference w:id="15"/>
      </w:r>
      <w:r w:rsidR="009519FB" w:rsidRPr="0016361E">
        <w:rPr>
          <w:sz w:val="24"/>
        </w:rPr>
        <w:t xml:space="preserve"> </w:t>
      </w:r>
    </w:p>
    <w:p w14:paraId="7E0C6562" w14:textId="77777777" w:rsidR="007F4809" w:rsidRPr="0016361E" w:rsidRDefault="007F4809" w:rsidP="0016361E">
      <w:pPr>
        <w:pStyle w:val="PWDAbodycopy"/>
        <w:spacing w:after="0" w:line="276" w:lineRule="auto"/>
      </w:pPr>
    </w:p>
    <w:p w14:paraId="06DC0028" w14:textId="77777777" w:rsidR="006B5A4D" w:rsidRPr="0016361E" w:rsidRDefault="006B5A4D" w:rsidP="0016361E">
      <w:pPr>
        <w:spacing w:after="0" w:line="276" w:lineRule="auto"/>
        <w:jc w:val="center"/>
        <w:rPr>
          <w:sz w:val="24"/>
        </w:rPr>
      </w:pPr>
      <w:r w:rsidRPr="0016361E">
        <w:rPr>
          <w:noProof/>
          <w:sz w:val="24"/>
        </w:rPr>
        <w:lastRenderedPageBreak/>
        <w:drawing>
          <wp:inline distT="0" distB="0" distL="0" distR="0" wp14:anchorId="59DE20E7" wp14:editId="2439E029">
            <wp:extent cx="4974771" cy="3475190"/>
            <wp:effectExtent l="0" t="0" r="0" b="5715"/>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l="4437" t="5707" r="3363"/>
                    <a:stretch/>
                  </pic:blipFill>
                  <pic:spPr bwMode="auto">
                    <a:xfrm>
                      <a:off x="0" y="0"/>
                      <a:ext cx="4974771" cy="3475190"/>
                    </a:xfrm>
                    <a:prstGeom prst="rect">
                      <a:avLst/>
                    </a:prstGeom>
                    <a:ln>
                      <a:noFill/>
                    </a:ln>
                    <a:extLst>
                      <a:ext uri="{53640926-AAD7-44D8-BBD7-CCE9431645EC}">
                        <a14:shadowObscured xmlns:a14="http://schemas.microsoft.com/office/drawing/2010/main"/>
                      </a:ext>
                    </a:extLst>
                  </pic:spPr>
                </pic:pic>
              </a:graphicData>
            </a:graphic>
          </wp:inline>
        </w:drawing>
      </w:r>
    </w:p>
    <w:p w14:paraId="5C09A280" w14:textId="77777777" w:rsidR="0047357A" w:rsidRPr="0016361E" w:rsidRDefault="0047357A" w:rsidP="0016361E">
      <w:pPr>
        <w:spacing w:after="0" w:line="276" w:lineRule="auto"/>
        <w:rPr>
          <w:sz w:val="24"/>
        </w:rPr>
      </w:pPr>
    </w:p>
    <w:p w14:paraId="40FEA4F8" w14:textId="32DCCF4E" w:rsidR="006B5A4D" w:rsidRPr="0016361E" w:rsidRDefault="006B5A4D" w:rsidP="0016361E">
      <w:pPr>
        <w:spacing w:after="0" w:line="276" w:lineRule="auto"/>
        <w:rPr>
          <w:sz w:val="24"/>
        </w:rPr>
      </w:pPr>
      <w:r w:rsidRPr="0016361E">
        <w:rPr>
          <w:sz w:val="24"/>
        </w:rPr>
        <w:t xml:space="preserve">The above chart, published in the 2018 PBO report, shows the dramatic decline in real expenditure growth following changes to the assessment tables, from an average of 8.7% in the years following the global financial crisis, to an average of 0.2% between 2013 and 2017. </w:t>
      </w:r>
    </w:p>
    <w:p w14:paraId="073BEAB6" w14:textId="77777777" w:rsidR="007F4809" w:rsidRPr="0016361E" w:rsidRDefault="007F4809" w:rsidP="0016361E">
      <w:pPr>
        <w:spacing w:after="0" w:line="276" w:lineRule="auto"/>
        <w:rPr>
          <w:sz w:val="24"/>
        </w:rPr>
      </w:pPr>
    </w:p>
    <w:p w14:paraId="040B9EE8" w14:textId="77777777" w:rsidR="006B5A4D" w:rsidRPr="00A651E9" w:rsidRDefault="006B5A4D" w:rsidP="0016361E">
      <w:pPr>
        <w:pStyle w:val="Heading4"/>
        <w:spacing w:before="0" w:line="276" w:lineRule="auto"/>
        <w:rPr>
          <w:rFonts w:ascii="VAG Rounded" w:hAnsi="VAG Rounded"/>
          <w:i w:val="0"/>
          <w:iCs w:val="0"/>
          <w:sz w:val="28"/>
          <w:szCs w:val="28"/>
        </w:rPr>
      </w:pPr>
      <w:r w:rsidRPr="00A651E9">
        <w:rPr>
          <w:rFonts w:ascii="VAG Rounded" w:hAnsi="VAG Rounded"/>
          <w:i w:val="0"/>
          <w:iCs w:val="0"/>
          <w:sz w:val="28"/>
          <w:szCs w:val="28"/>
        </w:rPr>
        <w:t xml:space="preserve">Program of Support </w:t>
      </w:r>
    </w:p>
    <w:p w14:paraId="4CDBD178" w14:textId="6DD84DDC" w:rsidR="006B5A4D" w:rsidRPr="0016361E" w:rsidRDefault="006B5A4D" w:rsidP="0016361E">
      <w:pPr>
        <w:spacing w:after="0" w:line="276" w:lineRule="auto"/>
        <w:rPr>
          <w:sz w:val="24"/>
        </w:rPr>
      </w:pPr>
      <w:r w:rsidRPr="0016361E">
        <w:rPr>
          <w:sz w:val="24"/>
        </w:rPr>
        <w:t>Our submission to the</w:t>
      </w:r>
      <w:r w:rsidR="00366186">
        <w:rPr>
          <w:sz w:val="24"/>
        </w:rPr>
        <w:t xml:space="preserve"> Senate Community Affairs References Committee’s Inquiry into the Purpose, </w:t>
      </w:r>
      <w:proofErr w:type="gramStart"/>
      <w:r w:rsidR="00366186">
        <w:rPr>
          <w:sz w:val="24"/>
        </w:rPr>
        <w:t>Intent</w:t>
      </w:r>
      <w:proofErr w:type="gramEnd"/>
      <w:r w:rsidR="00366186">
        <w:rPr>
          <w:sz w:val="24"/>
        </w:rPr>
        <w:t xml:space="preserve"> and adequacy of the Disability Support Pension</w:t>
      </w:r>
      <w:r w:rsidR="00B04399">
        <w:rPr>
          <w:sz w:val="24"/>
        </w:rPr>
        <w:t xml:space="preserve"> (DSP inquiry submission)</w:t>
      </w:r>
      <w:r w:rsidR="00366186">
        <w:rPr>
          <w:sz w:val="24"/>
        </w:rPr>
        <w:t xml:space="preserve"> </w:t>
      </w:r>
      <w:r w:rsidRPr="0016361E">
        <w:rPr>
          <w:sz w:val="24"/>
        </w:rPr>
        <w:t>also recommends abolishing the Program of Support</w:t>
      </w:r>
      <w:r w:rsidR="00366186">
        <w:rPr>
          <w:sz w:val="24"/>
        </w:rPr>
        <w:t xml:space="preserve"> (</w:t>
      </w:r>
      <w:proofErr w:type="spellStart"/>
      <w:r w:rsidR="00366186">
        <w:rPr>
          <w:sz w:val="24"/>
        </w:rPr>
        <w:t>PoS</w:t>
      </w:r>
      <w:proofErr w:type="spellEnd"/>
      <w:r w:rsidR="00366186">
        <w:rPr>
          <w:sz w:val="24"/>
        </w:rPr>
        <w:t>).</w:t>
      </w:r>
      <w:r w:rsidRPr="0016361E">
        <w:rPr>
          <w:sz w:val="24"/>
        </w:rPr>
        <w:t xml:space="preserve"> </w:t>
      </w:r>
    </w:p>
    <w:p w14:paraId="66AB308E" w14:textId="77777777" w:rsidR="007F4809" w:rsidRPr="0016361E" w:rsidRDefault="007F4809" w:rsidP="0016361E">
      <w:pPr>
        <w:spacing w:after="0" w:line="276" w:lineRule="auto"/>
        <w:rPr>
          <w:sz w:val="24"/>
        </w:rPr>
      </w:pPr>
    </w:p>
    <w:p w14:paraId="27FFC25C" w14:textId="39AD7DA3" w:rsidR="006B5A4D" w:rsidRPr="0016361E" w:rsidRDefault="006B5A4D" w:rsidP="0016361E">
      <w:pPr>
        <w:spacing w:after="0" w:line="276" w:lineRule="auto"/>
        <w:rPr>
          <w:sz w:val="24"/>
        </w:rPr>
      </w:pPr>
      <w:r w:rsidRPr="0016361E">
        <w:rPr>
          <w:sz w:val="24"/>
        </w:rPr>
        <w:t xml:space="preserve">The fact that a person has points assigned on multiple tables and must complete a </w:t>
      </w:r>
      <w:proofErr w:type="spellStart"/>
      <w:r w:rsidR="00366186">
        <w:rPr>
          <w:sz w:val="24"/>
        </w:rPr>
        <w:t>PoS</w:t>
      </w:r>
      <w:proofErr w:type="spellEnd"/>
      <w:r w:rsidRPr="0016361E">
        <w:rPr>
          <w:sz w:val="24"/>
        </w:rPr>
        <w:t xml:space="preserve"> is an unconscionable effort from the Government to defer the inevitable, by forcing people they know should receive the DSP into a humiliating cycle of looking for work that is either unsuitable, doesn’t exist, or we have little to no chance of getting. </w:t>
      </w:r>
    </w:p>
    <w:p w14:paraId="5752E7FC" w14:textId="77777777" w:rsidR="007F4809" w:rsidRPr="0016361E" w:rsidRDefault="007F4809" w:rsidP="0016361E">
      <w:pPr>
        <w:spacing w:after="0" w:line="276" w:lineRule="auto"/>
        <w:rPr>
          <w:sz w:val="24"/>
        </w:rPr>
      </w:pPr>
    </w:p>
    <w:p w14:paraId="19D00E21" w14:textId="462DF662" w:rsidR="006B5A4D" w:rsidRPr="00A651E9" w:rsidRDefault="006B5A4D" w:rsidP="0016361E">
      <w:pPr>
        <w:pStyle w:val="Quotestyle1"/>
        <w:spacing w:before="0" w:after="0" w:line="276" w:lineRule="auto"/>
        <w:rPr>
          <w:b w:val="0"/>
          <w:bCs/>
        </w:rPr>
      </w:pPr>
      <w:r w:rsidRPr="00A651E9">
        <w:rPr>
          <w:b w:val="0"/>
          <w:bCs/>
        </w:rPr>
        <w:t xml:space="preserve">Prior applications were rejected because each condition was evaluated separately rather than looking at how the combination affected me. Prior to my last application being approved, I was told that I would not get approved until I had worked with a DES for 18 months, which worsened my condition significantly due to the requirements of attending appointments and the inability to afford the specialist care I need on Newstart. – </w:t>
      </w:r>
      <w:r w:rsidR="00FB54D0" w:rsidRPr="00A651E9">
        <w:rPr>
          <w:b w:val="0"/>
          <w:bCs/>
        </w:rPr>
        <w:t>Penelope</w:t>
      </w:r>
    </w:p>
    <w:p w14:paraId="1C2FFDFF" w14:textId="77777777" w:rsidR="007F4809" w:rsidRPr="0016361E" w:rsidRDefault="007F4809" w:rsidP="0016361E">
      <w:pPr>
        <w:pStyle w:val="PWDAbodycopy"/>
        <w:spacing w:after="0" w:line="276" w:lineRule="auto"/>
      </w:pPr>
    </w:p>
    <w:p w14:paraId="5D417706" w14:textId="41693E74" w:rsidR="007F4809" w:rsidRPr="0016361E" w:rsidRDefault="00C12DF0" w:rsidP="0016361E">
      <w:pPr>
        <w:spacing w:after="0" w:line="276" w:lineRule="auto"/>
        <w:rPr>
          <w:sz w:val="24"/>
        </w:rPr>
      </w:pPr>
      <w:proofErr w:type="spellStart"/>
      <w:r>
        <w:rPr>
          <w:sz w:val="24"/>
        </w:rPr>
        <w:lastRenderedPageBreak/>
        <w:t>PoS</w:t>
      </w:r>
      <w:proofErr w:type="spellEnd"/>
      <w:r w:rsidR="006B5A4D" w:rsidRPr="0016361E">
        <w:rPr>
          <w:sz w:val="24"/>
        </w:rPr>
        <w:t xml:space="preserve"> negatively affects our wellbeing, and perversely, can reduce our capacity to work and find employment.</w:t>
      </w:r>
    </w:p>
    <w:p w14:paraId="5DBABF22" w14:textId="782FCFBD" w:rsidR="006B5A4D" w:rsidRPr="0016361E" w:rsidRDefault="006B5A4D" w:rsidP="0016361E">
      <w:pPr>
        <w:spacing w:after="0" w:line="276" w:lineRule="auto"/>
        <w:rPr>
          <w:sz w:val="24"/>
        </w:rPr>
      </w:pPr>
      <w:r w:rsidRPr="0016361E">
        <w:rPr>
          <w:sz w:val="24"/>
        </w:rPr>
        <w:t xml:space="preserve"> </w:t>
      </w:r>
    </w:p>
    <w:p w14:paraId="60436F90" w14:textId="77777777" w:rsidR="006B5A4D" w:rsidRPr="0016361E" w:rsidRDefault="006B5A4D" w:rsidP="00C12DF0">
      <w:pPr>
        <w:pStyle w:val="Heading3"/>
        <w:numPr>
          <w:ilvl w:val="0"/>
          <w:numId w:val="34"/>
        </w:numPr>
        <w:spacing w:after="0" w:line="276" w:lineRule="auto"/>
        <w:rPr>
          <w:sz w:val="24"/>
          <w:szCs w:val="24"/>
        </w:rPr>
      </w:pPr>
      <w:bookmarkStart w:id="13" w:name="_Toc79000359"/>
      <w:bookmarkStart w:id="14" w:name="_Toc79317407"/>
      <w:r w:rsidRPr="0016361E">
        <w:rPr>
          <w:sz w:val="24"/>
          <w:szCs w:val="24"/>
        </w:rPr>
        <w:t>Remove classification of the number of hours a person can work</w:t>
      </w:r>
      <w:bookmarkEnd w:id="13"/>
      <w:bookmarkEnd w:id="14"/>
      <w:r w:rsidRPr="0016361E">
        <w:rPr>
          <w:sz w:val="24"/>
          <w:szCs w:val="24"/>
        </w:rPr>
        <w:t xml:space="preserve"> </w:t>
      </w:r>
    </w:p>
    <w:p w14:paraId="6E4D1916" w14:textId="77777777" w:rsidR="00C12DF0" w:rsidRDefault="006B5A4D" w:rsidP="0016361E">
      <w:pPr>
        <w:spacing w:after="0" w:line="276" w:lineRule="auto"/>
        <w:rPr>
          <w:sz w:val="24"/>
        </w:rPr>
      </w:pPr>
      <w:r w:rsidRPr="0016361E">
        <w:rPr>
          <w:sz w:val="24"/>
        </w:rPr>
        <w:t xml:space="preserve">The tables should not refer to a person’s capacity to work using a measurement of hours. Access to the DSP should be based on how a person’s impairment disables them, and not view people with disability as mere economic objects. </w:t>
      </w:r>
    </w:p>
    <w:p w14:paraId="0859AC16" w14:textId="77777777" w:rsidR="00C12DF0" w:rsidRDefault="00C12DF0" w:rsidP="0016361E">
      <w:pPr>
        <w:spacing w:after="0" w:line="276" w:lineRule="auto"/>
        <w:rPr>
          <w:sz w:val="24"/>
        </w:rPr>
      </w:pPr>
    </w:p>
    <w:p w14:paraId="161BDCF4" w14:textId="1EC861B9" w:rsidR="006B5A4D" w:rsidRPr="0016361E" w:rsidRDefault="006B5A4D" w:rsidP="0016361E">
      <w:pPr>
        <w:spacing w:after="0" w:line="276" w:lineRule="auto"/>
        <w:rPr>
          <w:sz w:val="24"/>
        </w:rPr>
      </w:pPr>
      <w:r w:rsidRPr="0016361E">
        <w:rPr>
          <w:sz w:val="24"/>
        </w:rPr>
        <w:t xml:space="preserve">The impairment tables must move away from the notion that our value and needs are determined by how “competitive” we are in the labour market. </w:t>
      </w:r>
    </w:p>
    <w:p w14:paraId="548AC9E9" w14:textId="77777777" w:rsidR="007F4809" w:rsidRPr="0016361E" w:rsidRDefault="007F4809" w:rsidP="0016361E">
      <w:pPr>
        <w:spacing w:after="0" w:line="276" w:lineRule="auto"/>
        <w:rPr>
          <w:sz w:val="24"/>
        </w:rPr>
      </w:pPr>
    </w:p>
    <w:p w14:paraId="45F836DC" w14:textId="6B70E2A8" w:rsidR="006B5A4D" w:rsidRPr="00A651E9" w:rsidRDefault="006B5A4D" w:rsidP="0016361E">
      <w:pPr>
        <w:pStyle w:val="Quotestyle1"/>
        <w:spacing w:before="0" w:after="0" w:line="276" w:lineRule="auto"/>
        <w:rPr>
          <w:b w:val="0"/>
          <w:bCs/>
        </w:rPr>
      </w:pPr>
      <w:r w:rsidRPr="00A651E9">
        <w:rPr>
          <w:b w:val="0"/>
          <w:bCs/>
        </w:rPr>
        <w:t xml:space="preserve">I was rejected twice and asked for an ARO </w:t>
      </w:r>
      <w:proofErr w:type="gramStart"/>
      <w:r w:rsidRPr="00A651E9">
        <w:rPr>
          <w:b w:val="0"/>
          <w:bCs/>
        </w:rPr>
        <w:t>Review</w:t>
      </w:r>
      <w:proofErr w:type="gramEnd"/>
      <w:r w:rsidRPr="00A651E9">
        <w:rPr>
          <w:b w:val="0"/>
          <w:bCs/>
        </w:rPr>
        <w:t xml:space="preserve"> and the reviewer judged that I have the capability to work up to 8hrs per week and I was rated at 30 points. It was a harrowing </w:t>
      </w:r>
      <w:proofErr w:type="gramStart"/>
      <w:r w:rsidRPr="00A651E9">
        <w:rPr>
          <w:b w:val="0"/>
          <w:bCs/>
        </w:rPr>
        <w:t>process</w:t>
      </w:r>
      <w:proofErr w:type="gramEnd"/>
      <w:r w:rsidRPr="00A651E9">
        <w:rPr>
          <w:b w:val="0"/>
          <w:bCs/>
        </w:rPr>
        <w:t xml:space="preserve"> and they expect you to give up. – name withheld </w:t>
      </w:r>
    </w:p>
    <w:p w14:paraId="64B44043" w14:textId="77777777" w:rsidR="007F4809" w:rsidRPr="0016361E" w:rsidRDefault="007F4809" w:rsidP="0016361E">
      <w:pPr>
        <w:pStyle w:val="PWDAbodycopy"/>
        <w:spacing w:after="0" w:line="276" w:lineRule="auto"/>
      </w:pPr>
    </w:p>
    <w:p w14:paraId="422D0EE5" w14:textId="1E2F2C15" w:rsidR="007F4809" w:rsidRDefault="006B5A4D" w:rsidP="0016361E">
      <w:pPr>
        <w:spacing w:after="0" w:line="276" w:lineRule="auto"/>
        <w:rPr>
          <w:sz w:val="24"/>
        </w:rPr>
      </w:pPr>
      <w:r w:rsidRPr="0016361E">
        <w:rPr>
          <w:sz w:val="24"/>
        </w:rPr>
        <w:t xml:space="preserve">Employment is just one part of life affected by disability. The DSP should not be about deciding the earning potential of people with </w:t>
      </w:r>
      <w:r w:rsidR="00C12DF0">
        <w:rPr>
          <w:sz w:val="24"/>
        </w:rPr>
        <w:t>disability; it should</w:t>
      </w:r>
      <w:r w:rsidRPr="0016361E">
        <w:rPr>
          <w:sz w:val="24"/>
        </w:rPr>
        <w:t xml:space="preserve"> provide a safety net that is there for us </w:t>
      </w:r>
      <w:proofErr w:type="gramStart"/>
      <w:r w:rsidRPr="0016361E">
        <w:rPr>
          <w:sz w:val="24"/>
        </w:rPr>
        <w:t>whether or not</w:t>
      </w:r>
      <w:proofErr w:type="gramEnd"/>
      <w:r w:rsidRPr="0016361E">
        <w:rPr>
          <w:sz w:val="24"/>
        </w:rPr>
        <w:t xml:space="preserve"> we are able to find suitable work.</w:t>
      </w:r>
    </w:p>
    <w:p w14:paraId="63DF36C7" w14:textId="77777777" w:rsidR="00C12DF0" w:rsidRPr="0016361E" w:rsidRDefault="00C12DF0" w:rsidP="0016361E">
      <w:pPr>
        <w:spacing w:after="0" w:line="276" w:lineRule="auto"/>
        <w:rPr>
          <w:sz w:val="24"/>
        </w:rPr>
      </w:pPr>
    </w:p>
    <w:p w14:paraId="425BB497" w14:textId="22213C49" w:rsidR="006B5A4D" w:rsidRPr="0016361E" w:rsidRDefault="006B5A4D" w:rsidP="0016361E">
      <w:pPr>
        <w:spacing w:after="0" w:line="276" w:lineRule="auto"/>
        <w:rPr>
          <w:sz w:val="24"/>
        </w:rPr>
      </w:pPr>
      <w:r w:rsidRPr="0016361E">
        <w:rPr>
          <w:sz w:val="24"/>
        </w:rPr>
        <w:t xml:space="preserve">A person’s ability to complete a certain number of work hours alone is not an adequate indicator of whether they need support. As noted above, means testing is sufficient to adjust payment amounts when people on the DSP </w:t>
      </w:r>
      <w:r w:rsidR="00B04399" w:rsidRPr="0016361E">
        <w:rPr>
          <w:sz w:val="24"/>
        </w:rPr>
        <w:t>can</w:t>
      </w:r>
      <w:r w:rsidRPr="0016361E">
        <w:rPr>
          <w:sz w:val="24"/>
        </w:rPr>
        <w:t xml:space="preserve"> work.</w:t>
      </w:r>
    </w:p>
    <w:p w14:paraId="348E959F" w14:textId="77777777" w:rsidR="007F4809" w:rsidRPr="0016361E" w:rsidRDefault="007F4809" w:rsidP="0016361E">
      <w:pPr>
        <w:spacing w:after="0" w:line="276" w:lineRule="auto"/>
        <w:rPr>
          <w:sz w:val="24"/>
        </w:rPr>
      </w:pPr>
    </w:p>
    <w:p w14:paraId="532BCE6F" w14:textId="5D0EC0AA" w:rsidR="006B5A4D" w:rsidRPr="00A651E9" w:rsidRDefault="006B5A4D" w:rsidP="0016361E">
      <w:pPr>
        <w:pStyle w:val="Quotestyle1"/>
        <w:spacing w:before="0" w:after="0" w:line="276" w:lineRule="auto"/>
        <w:rPr>
          <w:b w:val="0"/>
          <w:bCs/>
        </w:rPr>
      </w:pPr>
      <w:r w:rsidRPr="00A651E9">
        <w:rPr>
          <w:b w:val="0"/>
          <w:bCs/>
        </w:rPr>
        <w:t>Centrelink decided they knew better than medical professionals about my ability to work- they claim I can work at least 15hrs a week when I absolutely can't manage even half of that. – Bonnie</w:t>
      </w:r>
    </w:p>
    <w:p w14:paraId="1A0213AD" w14:textId="77777777" w:rsidR="007F4809" w:rsidRPr="0016361E" w:rsidRDefault="007F4809" w:rsidP="0016361E">
      <w:pPr>
        <w:pStyle w:val="PWDAbodycopy"/>
        <w:spacing w:after="0" w:line="276" w:lineRule="auto"/>
      </w:pPr>
    </w:p>
    <w:p w14:paraId="529B6066" w14:textId="5CB98620" w:rsidR="006B5A4D" w:rsidRPr="0016361E" w:rsidRDefault="006B5A4D" w:rsidP="0016361E">
      <w:pPr>
        <w:spacing w:after="0" w:line="276" w:lineRule="auto"/>
        <w:rPr>
          <w:sz w:val="24"/>
        </w:rPr>
      </w:pPr>
      <w:r w:rsidRPr="0016361E">
        <w:rPr>
          <w:sz w:val="24"/>
        </w:rPr>
        <w:t xml:space="preserve">Work capacity should be used to assess how a person’s disability affects their </w:t>
      </w:r>
      <w:proofErr w:type="gramStart"/>
      <w:r w:rsidRPr="0016361E">
        <w:rPr>
          <w:sz w:val="24"/>
        </w:rPr>
        <w:t>life, but</w:t>
      </w:r>
      <w:proofErr w:type="gramEnd"/>
      <w:r w:rsidRPr="0016361E">
        <w:rPr>
          <w:sz w:val="24"/>
        </w:rPr>
        <w:t xml:space="preserve"> should not determine whether they qualify for the DSP. References to ‘hours of work’ should be removed from the tables. </w:t>
      </w:r>
    </w:p>
    <w:p w14:paraId="545B4EE4" w14:textId="77777777" w:rsidR="007F4809" w:rsidRPr="0016361E" w:rsidRDefault="007F4809" w:rsidP="0016361E">
      <w:pPr>
        <w:spacing w:after="0" w:line="276" w:lineRule="auto"/>
        <w:rPr>
          <w:sz w:val="24"/>
        </w:rPr>
      </w:pPr>
    </w:p>
    <w:p w14:paraId="2DCE0E5C" w14:textId="77777777" w:rsidR="006B5A4D" w:rsidRPr="0016361E" w:rsidRDefault="006B5A4D" w:rsidP="00D6029A">
      <w:pPr>
        <w:pStyle w:val="Heading3"/>
        <w:numPr>
          <w:ilvl w:val="0"/>
          <w:numId w:val="34"/>
        </w:numPr>
        <w:spacing w:after="0" w:line="276" w:lineRule="auto"/>
        <w:rPr>
          <w:sz w:val="24"/>
          <w:szCs w:val="24"/>
        </w:rPr>
      </w:pPr>
      <w:bookmarkStart w:id="15" w:name="_Toc79000360"/>
      <w:bookmarkStart w:id="16" w:name="_Toc79317408"/>
      <w:r w:rsidRPr="0016361E">
        <w:rPr>
          <w:sz w:val="24"/>
          <w:szCs w:val="24"/>
        </w:rPr>
        <w:t>Remove the “fully treated, diagnosed, and stabilised” criteria</w:t>
      </w:r>
      <w:bookmarkEnd w:id="15"/>
      <w:bookmarkEnd w:id="16"/>
    </w:p>
    <w:p w14:paraId="5509A913" w14:textId="4DEE75CA" w:rsidR="006B5A4D" w:rsidRPr="0016361E" w:rsidRDefault="006B5A4D" w:rsidP="0016361E">
      <w:pPr>
        <w:spacing w:after="0" w:line="276" w:lineRule="auto"/>
        <w:rPr>
          <w:sz w:val="24"/>
        </w:rPr>
      </w:pPr>
      <w:r w:rsidRPr="0016361E">
        <w:rPr>
          <w:sz w:val="24"/>
        </w:rPr>
        <w:t xml:space="preserve">The use of this language actively discriminates against people with disability and creates another unfair barrier to access the DSP. </w:t>
      </w:r>
    </w:p>
    <w:p w14:paraId="5029B4FA" w14:textId="77777777" w:rsidR="007F4809" w:rsidRPr="0016361E" w:rsidRDefault="007F4809" w:rsidP="0016361E">
      <w:pPr>
        <w:spacing w:after="0" w:line="276" w:lineRule="auto"/>
        <w:rPr>
          <w:sz w:val="24"/>
        </w:rPr>
      </w:pPr>
    </w:p>
    <w:p w14:paraId="6EA82CF2" w14:textId="4E5DD76E" w:rsidR="006B5A4D" w:rsidRPr="0016361E" w:rsidRDefault="006B5A4D" w:rsidP="0016361E">
      <w:pPr>
        <w:spacing w:after="0" w:line="276" w:lineRule="auto"/>
        <w:rPr>
          <w:sz w:val="24"/>
        </w:rPr>
      </w:pPr>
      <w:r w:rsidRPr="0016361E">
        <w:rPr>
          <w:sz w:val="24"/>
        </w:rPr>
        <w:t xml:space="preserve">In response to being asked about their experience trying to access the DSP, one person who completed </w:t>
      </w:r>
      <w:r w:rsidR="00B04399">
        <w:rPr>
          <w:sz w:val="24"/>
        </w:rPr>
        <w:t xml:space="preserve">a survey </w:t>
      </w:r>
      <w:r w:rsidRPr="0016361E">
        <w:rPr>
          <w:sz w:val="24"/>
        </w:rPr>
        <w:t xml:space="preserve">PWDA </w:t>
      </w:r>
      <w:r w:rsidR="00B04399">
        <w:rPr>
          <w:sz w:val="24"/>
        </w:rPr>
        <w:t>did of our membership said</w:t>
      </w:r>
      <w:r w:rsidRPr="0016361E">
        <w:rPr>
          <w:sz w:val="24"/>
        </w:rPr>
        <w:t xml:space="preserve">: </w:t>
      </w:r>
    </w:p>
    <w:p w14:paraId="7975D542" w14:textId="77777777" w:rsidR="007F4809" w:rsidRPr="0016361E" w:rsidRDefault="007F4809" w:rsidP="0016361E">
      <w:pPr>
        <w:spacing w:after="0" w:line="276" w:lineRule="auto"/>
        <w:rPr>
          <w:sz w:val="24"/>
        </w:rPr>
      </w:pPr>
    </w:p>
    <w:p w14:paraId="44D12119" w14:textId="6BF461A7" w:rsidR="006B5A4D" w:rsidRPr="00A651E9" w:rsidRDefault="006B5A4D" w:rsidP="0016361E">
      <w:pPr>
        <w:pStyle w:val="Quotestyle1"/>
        <w:spacing w:before="0" w:after="0" w:line="276" w:lineRule="auto"/>
        <w:rPr>
          <w:b w:val="0"/>
          <w:bCs/>
        </w:rPr>
      </w:pPr>
      <w:r w:rsidRPr="00A651E9">
        <w:rPr>
          <w:b w:val="0"/>
          <w:bCs/>
        </w:rPr>
        <w:t xml:space="preserve">Application 1. Rejected because I hadn’t had the condition for more than two years/not explored all avenues of treatment. Application 2. Still receiving </w:t>
      </w:r>
      <w:r w:rsidRPr="00A651E9">
        <w:rPr>
          <w:b w:val="0"/>
          <w:bCs/>
        </w:rPr>
        <w:lastRenderedPageBreak/>
        <w:t xml:space="preserve">treatment. Application 3. Needed more evidence of </w:t>
      </w:r>
      <w:proofErr w:type="gramStart"/>
      <w:r w:rsidRPr="00A651E9">
        <w:rPr>
          <w:b w:val="0"/>
          <w:bCs/>
        </w:rPr>
        <w:t>long term</w:t>
      </w:r>
      <w:proofErr w:type="gramEnd"/>
      <w:r w:rsidRPr="00A651E9">
        <w:rPr>
          <w:b w:val="0"/>
          <w:bCs/>
        </w:rPr>
        <w:t xml:space="preserve"> disability. Application 4. Successful. – </w:t>
      </w:r>
      <w:r w:rsidR="00E12556" w:rsidRPr="00A651E9">
        <w:rPr>
          <w:b w:val="0"/>
          <w:bCs/>
        </w:rPr>
        <w:t>n</w:t>
      </w:r>
      <w:r w:rsidRPr="00A651E9">
        <w:rPr>
          <w:b w:val="0"/>
          <w:bCs/>
        </w:rPr>
        <w:t>ame</w:t>
      </w:r>
      <w:r w:rsidR="00E12556" w:rsidRPr="00A651E9">
        <w:rPr>
          <w:b w:val="0"/>
          <w:bCs/>
        </w:rPr>
        <w:t xml:space="preserve"> withheld</w:t>
      </w:r>
    </w:p>
    <w:p w14:paraId="1E01F30C" w14:textId="77777777" w:rsidR="007F4809" w:rsidRPr="0016361E" w:rsidRDefault="007F4809" w:rsidP="0016361E">
      <w:pPr>
        <w:pStyle w:val="PWDAbodycopy"/>
        <w:spacing w:after="0" w:line="276" w:lineRule="auto"/>
      </w:pPr>
    </w:p>
    <w:p w14:paraId="62B8773B" w14:textId="07FC7EBF" w:rsidR="007F4809" w:rsidRPr="0016361E" w:rsidRDefault="006B5A4D" w:rsidP="0016361E">
      <w:pPr>
        <w:spacing w:after="0" w:line="276" w:lineRule="auto"/>
        <w:rPr>
          <w:sz w:val="24"/>
        </w:rPr>
      </w:pPr>
      <w:r w:rsidRPr="0016361E">
        <w:rPr>
          <w:sz w:val="24"/>
        </w:rPr>
        <w:t>It has long been argued by many within the community that these criteria are unfair, and th</w:t>
      </w:r>
      <w:r w:rsidR="00B04399">
        <w:rPr>
          <w:sz w:val="24"/>
        </w:rPr>
        <w:t>is</w:t>
      </w:r>
      <w:r w:rsidRPr="0016361E">
        <w:rPr>
          <w:sz w:val="24"/>
        </w:rPr>
        <w:t xml:space="preserve"> has led to a year-on-year decrease in people – particularly younger people – accessing the payment, as per </w:t>
      </w:r>
      <w:r w:rsidR="00B04399">
        <w:rPr>
          <w:sz w:val="24"/>
        </w:rPr>
        <w:t xml:space="preserve">DSS </w:t>
      </w:r>
      <w:r w:rsidRPr="0016361E">
        <w:rPr>
          <w:sz w:val="24"/>
        </w:rPr>
        <w:t>data</w:t>
      </w:r>
      <w:r w:rsidR="00032DDD" w:rsidRPr="0016361E">
        <w:rPr>
          <w:sz w:val="24"/>
        </w:rPr>
        <w:t>.</w:t>
      </w:r>
      <w:r w:rsidR="00032DDD" w:rsidRPr="0016361E">
        <w:rPr>
          <w:rStyle w:val="FootnoteReference"/>
          <w:sz w:val="24"/>
        </w:rPr>
        <w:footnoteReference w:id="16"/>
      </w:r>
    </w:p>
    <w:p w14:paraId="25EF8630" w14:textId="4BD5C377" w:rsidR="006B5A4D" w:rsidRPr="0016361E" w:rsidRDefault="006B5A4D" w:rsidP="0016361E">
      <w:pPr>
        <w:spacing w:after="0" w:line="276" w:lineRule="auto"/>
        <w:rPr>
          <w:sz w:val="24"/>
        </w:rPr>
      </w:pPr>
      <w:r w:rsidRPr="0016361E">
        <w:rPr>
          <w:sz w:val="24"/>
        </w:rPr>
        <w:t xml:space="preserve"> </w:t>
      </w:r>
    </w:p>
    <w:p w14:paraId="70FBAB90" w14:textId="36431154" w:rsidR="006B5A4D" w:rsidRPr="0016361E" w:rsidRDefault="006B5A4D" w:rsidP="0016361E">
      <w:pPr>
        <w:spacing w:after="0" w:line="276" w:lineRule="auto"/>
        <w:rPr>
          <w:sz w:val="24"/>
        </w:rPr>
      </w:pPr>
      <w:r w:rsidRPr="0016361E">
        <w:rPr>
          <w:sz w:val="24"/>
        </w:rPr>
        <w:t xml:space="preserve">In a 2014 parliamentary submission, PWDA recommended an immediate review of then-recent impairment tables changes and </w:t>
      </w:r>
      <w:r w:rsidR="00B04399">
        <w:rPr>
          <w:sz w:val="24"/>
        </w:rPr>
        <w:t>Program of Support</w:t>
      </w:r>
      <w:r w:rsidR="00735851" w:rsidRPr="0016361E">
        <w:rPr>
          <w:sz w:val="24"/>
        </w:rPr>
        <w:t>.</w:t>
      </w:r>
      <w:r w:rsidR="00735851" w:rsidRPr="0016361E">
        <w:rPr>
          <w:rStyle w:val="FootnoteReference"/>
          <w:sz w:val="24"/>
        </w:rPr>
        <w:footnoteReference w:id="17"/>
      </w:r>
      <w:r w:rsidRPr="0016361E">
        <w:rPr>
          <w:sz w:val="24"/>
        </w:rPr>
        <w:t xml:space="preserve"> </w:t>
      </w:r>
    </w:p>
    <w:p w14:paraId="2AA934A8" w14:textId="77777777" w:rsidR="007F4809" w:rsidRPr="0016361E" w:rsidRDefault="007F4809" w:rsidP="0016361E">
      <w:pPr>
        <w:spacing w:after="0" w:line="276" w:lineRule="auto"/>
        <w:rPr>
          <w:sz w:val="24"/>
        </w:rPr>
      </w:pPr>
    </w:p>
    <w:p w14:paraId="01F1A223" w14:textId="77777777" w:rsidR="006B5A4D" w:rsidRPr="0016361E" w:rsidRDefault="006B5A4D" w:rsidP="0016361E">
      <w:pPr>
        <w:spacing w:after="0" w:line="276" w:lineRule="auto"/>
        <w:rPr>
          <w:sz w:val="24"/>
        </w:rPr>
      </w:pPr>
      <w:r w:rsidRPr="0016361E">
        <w:rPr>
          <w:sz w:val="24"/>
        </w:rPr>
        <w:t xml:space="preserve">One story shared with PWDA shows the implications for young people. Theodore, who has been homeless and still relies on an income support payment that is half the poverty line, first applied soon after changes were implemented that made it harder for young people to access the DSP: </w:t>
      </w:r>
    </w:p>
    <w:p w14:paraId="060BF062" w14:textId="77777777" w:rsidR="00F60D4D" w:rsidRPr="0016361E" w:rsidRDefault="00F60D4D" w:rsidP="0016361E">
      <w:pPr>
        <w:spacing w:after="0" w:line="276" w:lineRule="auto"/>
        <w:rPr>
          <w:sz w:val="24"/>
        </w:rPr>
      </w:pPr>
    </w:p>
    <w:p w14:paraId="2DE5BEB4" w14:textId="3855E1CE" w:rsidR="006B5A4D" w:rsidRPr="00A651E9" w:rsidRDefault="006B5A4D" w:rsidP="0016361E">
      <w:pPr>
        <w:pStyle w:val="Quotestyle1"/>
        <w:spacing w:before="0" w:after="0" w:line="276" w:lineRule="auto"/>
        <w:rPr>
          <w:b w:val="0"/>
          <w:bCs/>
        </w:rPr>
      </w:pPr>
      <w:r w:rsidRPr="00A651E9">
        <w:rPr>
          <w:b w:val="0"/>
          <w:bCs/>
        </w:rPr>
        <w:t xml:space="preserve">I literally applied the month after they made it essentially impossible for people under 36. There was the issue that my doctor had not written in my report that I was a complete write off. – Theodore White </w:t>
      </w:r>
    </w:p>
    <w:p w14:paraId="51C46E55" w14:textId="77777777" w:rsidR="007F4809" w:rsidRPr="0016361E" w:rsidRDefault="007F4809" w:rsidP="0016361E">
      <w:pPr>
        <w:pStyle w:val="PWDAbodycopy"/>
        <w:spacing w:after="0" w:line="276" w:lineRule="auto"/>
      </w:pPr>
    </w:p>
    <w:p w14:paraId="61D1DCC0" w14:textId="56FDBDEC" w:rsidR="006B5A4D" w:rsidRPr="0016361E" w:rsidRDefault="006B5A4D" w:rsidP="0016361E">
      <w:pPr>
        <w:spacing w:after="0" w:line="276" w:lineRule="auto"/>
        <w:rPr>
          <w:sz w:val="24"/>
        </w:rPr>
      </w:pPr>
      <w:r w:rsidRPr="0016361E">
        <w:rPr>
          <w:sz w:val="24"/>
        </w:rPr>
        <w:t>As discussed elsewhere in this submission and our DSP inquiry</w:t>
      </w:r>
      <w:r w:rsidR="00B04399">
        <w:rPr>
          <w:sz w:val="24"/>
        </w:rPr>
        <w:t xml:space="preserve"> submission</w:t>
      </w:r>
      <w:r w:rsidRPr="0016361E">
        <w:rPr>
          <w:sz w:val="24"/>
        </w:rPr>
        <w:t xml:space="preserve">, there are higher rates of poverty among people with disability. </w:t>
      </w:r>
    </w:p>
    <w:p w14:paraId="0A14216D" w14:textId="77777777" w:rsidR="007F4809" w:rsidRPr="0016361E" w:rsidRDefault="007F4809" w:rsidP="0016361E">
      <w:pPr>
        <w:spacing w:after="0" w:line="276" w:lineRule="auto"/>
        <w:rPr>
          <w:sz w:val="24"/>
        </w:rPr>
      </w:pPr>
    </w:p>
    <w:p w14:paraId="4B0EAF08" w14:textId="53D8BD42" w:rsidR="006B5A4D" w:rsidRPr="0016361E" w:rsidRDefault="006B5A4D" w:rsidP="0016361E">
      <w:pPr>
        <w:spacing w:after="0" w:line="276" w:lineRule="auto"/>
        <w:rPr>
          <w:sz w:val="24"/>
        </w:rPr>
      </w:pPr>
      <w:r w:rsidRPr="0016361E">
        <w:rPr>
          <w:sz w:val="24"/>
        </w:rPr>
        <w:t xml:space="preserve">About 250,000 people who are trapped on </w:t>
      </w:r>
      <w:r w:rsidR="00BE52A7">
        <w:rPr>
          <w:sz w:val="24"/>
        </w:rPr>
        <w:t>u</w:t>
      </w:r>
      <w:r w:rsidR="00C925C6">
        <w:rPr>
          <w:sz w:val="24"/>
        </w:rPr>
        <w:t>nemployment</w:t>
      </w:r>
      <w:r w:rsidRPr="0016361E">
        <w:rPr>
          <w:sz w:val="24"/>
        </w:rPr>
        <w:t xml:space="preserve"> payments are in DES, with another 240,000 people with disability in the </w:t>
      </w:r>
      <w:proofErr w:type="spellStart"/>
      <w:r w:rsidRPr="0016361E">
        <w:rPr>
          <w:sz w:val="24"/>
        </w:rPr>
        <w:t>jobactive</w:t>
      </w:r>
      <w:proofErr w:type="spellEnd"/>
      <w:r w:rsidRPr="0016361E">
        <w:rPr>
          <w:sz w:val="24"/>
        </w:rPr>
        <w:t xml:space="preserve"> program</w:t>
      </w:r>
      <w:r w:rsidR="00331F49" w:rsidRPr="0016361E">
        <w:rPr>
          <w:sz w:val="24"/>
        </w:rPr>
        <w:t>.</w:t>
      </w:r>
      <w:r w:rsidR="00331F49" w:rsidRPr="0016361E">
        <w:rPr>
          <w:rStyle w:val="FootnoteReference"/>
          <w:sz w:val="24"/>
        </w:rPr>
        <w:footnoteReference w:id="18"/>
      </w:r>
      <w:r w:rsidR="00F37034">
        <w:rPr>
          <w:sz w:val="24"/>
        </w:rPr>
        <w:t xml:space="preserve"> The </w:t>
      </w:r>
      <w:r w:rsidR="00606887">
        <w:rPr>
          <w:sz w:val="24"/>
        </w:rPr>
        <w:t xml:space="preserve">Government itself </w:t>
      </w:r>
      <w:r w:rsidR="00BF57A1">
        <w:rPr>
          <w:sz w:val="24"/>
        </w:rPr>
        <w:t xml:space="preserve">identifies </w:t>
      </w:r>
      <w:r w:rsidR="00927DBA">
        <w:rPr>
          <w:sz w:val="24"/>
        </w:rPr>
        <w:t xml:space="preserve">us as people with </w:t>
      </w:r>
      <w:proofErr w:type="gramStart"/>
      <w:r w:rsidR="00927DBA">
        <w:rPr>
          <w:sz w:val="24"/>
        </w:rPr>
        <w:t xml:space="preserve">disability, </w:t>
      </w:r>
      <w:r w:rsidR="00BF57A1">
        <w:rPr>
          <w:sz w:val="24"/>
        </w:rPr>
        <w:t>but</w:t>
      </w:r>
      <w:proofErr w:type="gramEnd"/>
      <w:r w:rsidR="00BF57A1">
        <w:rPr>
          <w:sz w:val="24"/>
        </w:rPr>
        <w:t xml:space="preserve"> </w:t>
      </w:r>
      <w:r w:rsidR="00A02877">
        <w:rPr>
          <w:sz w:val="24"/>
        </w:rPr>
        <w:t>puts up barriers to</w:t>
      </w:r>
      <w:r w:rsidR="00A92E58">
        <w:rPr>
          <w:sz w:val="24"/>
        </w:rPr>
        <w:t xml:space="preserve"> accessing </w:t>
      </w:r>
      <w:r w:rsidR="00C06429">
        <w:rPr>
          <w:sz w:val="24"/>
        </w:rPr>
        <w:t xml:space="preserve">the DSP. </w:t>
      </w:r>
    </w:p>
    <w:p w14:paraId="27A169A6" w14:textId="77777777" w:rsidR="007F4809" w:rsidRPr="0016361E" w:rsidRDefault="007F4809" w:rsidP="0016361E">
      <w:pPr>
        <w:spacing w:after="0" w:line="276" w:lineRule="auto"/>
        <w:rPr>
          <w:sz w:val="24"/>
        </w:rPr>
      </w:pPr>
    </w:p>
    <w:p w14:paraId="0D5D945C" w14:textId="5481BADB" w:rsidR="006B5A4D" w:rsidRPr="0016361E" w:rsidRDefault="006B5A4D" w:rsidP="0016361E">
      <w:pPr>
        <w:spacing w:after="0" w:line="276" w:lineRule="auto"/>
        <w:rPr>
          <w:sz w:val="24"/>
        </w:rPr>
      </w:pPr>
      <w:r w:rsidRPr="0016361E">
        <w:rPr>
          <w:sz w:val="24"/>
        </w:rPr>
        <w:t>Nearly half a million people are being forced to participate in counterproductive activities</w:t>
      </w:r>
      <w:r w:rsidR="00982C9B" w:rsidRPr="0016361E">
        <w:rPr>
          <w:rStyle w:val="FootnoteReference"/>
          <w:sz w:val="24"/>
        </w:rPr>
        <w:footnoteReference w:id="19"/>
      </w:r>
      <w:r w:rsidRPr="0016361E">
        <w:rPr>
          <w:sz w:val="24"/>
        </w:rPr>
        <w:t xml:space="preserve"> that can further destabilise them, with the added strain of trying to survive on payments that are half the poverty line. </w:t>
      </w:r>
    </w:p>
    <w:p w14:paraId="2BDAD735" w14:textId="77777777" w:rsidR="007F4809" w:rsidRPr="0016361E" w:rsidRDefault="007F4809" w:rsidP="0016361E">
      <w:pPr>
        <w:spacing w:after="0" w:line="276" w:lineRule="auto"/>
        <w:rPr>
          <w:sz w:val="24"/>
        </w:rPr>
      </w:pPr>
    </w:p>
    <w:p w14:paraId="5A1147B7" w14:textId="057EDC82" w:rsidR="006B5A4D" w:rsidRPr="0016361E" w:rsidRDefault="006B5A4D" w:rsidP="0016361E">
      <w:pPr>
        <w:spacing w:after="0" w:line="276" w:lineRule="auto"/>
        <w:rPr>
          <w:sz w:val="24"/>
        </w:rPr>
      </w:pPr>
      <w:r w:rsidRPr="0016361E">
        <w:rPr>
          <w:sz w:val="24"/>
        </w:rPr>
        <w:t xml:space="preserve">This means people are unable to access treatment and diagnosis for financial </w:t>
      </w:r>
      <w:proofErr w:type="gramStart"/>
      <w:r w:rsidRPr="0016361E">
        <w:rPr>
          <w:sz w:val="24"/>
        </w:rPr>
        <w:t>reasons, and</w:t>
      </w:r>
      <w:proofErr w:type="gramEnd"/>
      <w:r w:rsidRPr="0016361E">
        <w:rPr>
          <w:sz w:val="24"/>
        </w:rPr>
        <w:t xml:space="preserve"> are excluded purely on the basis that they do not have the means to become fully treated and diagnosed. </w:t>
      </w:r>
    </w:p>
    <w:p w14:paraId="6EDE08F1" w14:textId="77777777" w:rsidR="007F4809" w:rsidRPr="0016361E" w:rsidRDefault="007F4809" w:rsidP="0016361E">
      <w:pPr>
        <w:spacing w:after="0" w:line="276" w:lineRule="auto"/>
        <w:rPr>
          <w:sz w:val="24"/>
        </w:rPr>
      </w:pPr>
    </w:p>
    <w:p w14:paraId="63F91D75" w14:textId="34BD3C82" w:rsidR="006B5A4D" w:rsidRPr="00A651E9" w:rsidRDefault="006B5A4D" w:rsidP="0016361E">
      <w:pPr>
        <w:pStyle w:val="Quotestyle1"/>
        <w:spacing w:before="0" w:after="0" w:line="276" w:lineRule="auto"/>
        <w:rPr>
          <w:b w:val="0"/>
          <w:bCs/>
        </w:rPr>
      </w:pPr>
      <w:r w:rsidRPr="00A651E9">
        <w:rPr>
          <w:b w:val="0"/>
          <w:bCs/>
        </w:rPr>
        <w:lastRenderedPageBreak/>
        <w:t xml:space="preserve">My condition </w:t>
      </w:r>
      <w:r w:rsidRPr="00A651E9">
        <w:rPr>
          <w:rStyle w:val="Strong"/>
          <w:u w:val="single"/>
        </w:rPr>
        <w:t>cannot</w:t>
      </w:r>
      <w:r w:rsidRPr="00A651E9">
        <w:t xml:space="preserve"> </w:t>
      </w:r>
      <w:r w:rsidRPr="00A651E9">
        <w:rPr>
          <w:b w:val="0"/>
          <w:bCs/>
        </w:rPr>
        <w:t xml:space="preserve">be fully "diagnosed, treated and stabilised" but still prevents me from being able to work more than about 8 hours a week. </w:t>
      </w:r>
      <w:r w:rsidR="00F60D4D" w:rsidRPr="00A651E9">
        <w:rPr>
          <w:b w:val="0"/>
          <w:bCs/>
        </w:rPr>
        <w:br/>
      </w:r>
      <w:r w:rsidRPr="00A651E9">
        <w:rPr>
          <w:b w:val="0"/>
          <w:bCs/>
        </w:rPr>
        <w:t xml:space="preserve">They wanted me to do graded exercise therapy and cognitive behavioural therapy which are known to be harmful / ineffective treatments for </w:t>
      </w:r>
      <w:r w:rsidR="00F60D4D" w:rsidRPr="00A651E9">
        <w:rPr>
          <w:b w:val="0"/>
          <w:bCs/>
        </w:rPr>
        <w:br/>
      </w:r>
      <w:r w:rsidRPr="00A651E9">
        <w:rPr>
          <w:b w:val="0"/>
          <w:bCs/>
        </w:rPr>
        <w:t xml:space="preserve">ME/CFS. – name withheld </w:t>
      </w:r>
    </w:p>
    <w:p w14:paraId="350A6031" w14:textId="77777777" w:rsidR="007F4809" w:rsidRPr="0016361E" w:rsidRDefault="007F4809" w:rsidP="0016361E">
      <w:pPr>
        <w:spacing w:after="0" w:line="276" w:lineRule="auto"/>
        <w:rPr>
          <w:sz w:val="24"/>
        </w:rPr>
      </w:pPr>
    </w:p>
    <w:p w14:paraId="66EBF382" w14:textId="352343CD" w:rsidR="006B5A4D" w:rsidRPr="0016361E" w:rsidRDefault="006B5A4D" w:rsidP="0016361E">
      <w:pPr>
        <w:spacing w:after="0" w:line="276" w:lineRule="auto"/>
        <w:rPr>
          <w:sz w:val="24"/>
        </w:rPr>
      </w:pPr>
      <w:r w:rsidRPr="0016361E">
        <w:rPr>
          <w:sz w:val="24"/>
        </w:rPr>
        <w:t xml:space="preserve">Many </w:t>
      </w:r>
      <w:r w:rsidR="00CE4562">
        <w:rPr>
          <w:sz w:val="24"/>
        </w:rPr>
        <w:t xml:space="preserve">conditions that people with disability have </w:t>
      </w:r>
      <w:proofErr w:type="gramStart"/>
      <w:r w:rsidRPr="0016361E">
        <w:rPr>
          <w:sz w:val="24"/>
        </w:rPr>
        <w:t>are</w:t>
      </w:r>
      <w:proofErr w:type="gramEnd"/>
      <w:r w:rsidRPr="0016361E">
        <w:rPr>
          <w:sz w:val="24"/>
        </w:rPr>
        <w:t xml:space="preserve"> inherently “unstable”, and the health and conditions people with disability have can deteriorate over time. Requiring a person to be stabilised discriminates against people with disability based on what their conditions are. </w:t>
      </w:r>
    </w:p>
    <w:p w14:paraId="7B1BDC7F" w14:textId="77777777" w:rsidR="00A108F0" w:rsidRDefault="00A108F0" w:rsidP="00A108F0">
      <w:pPr>
        <w:pStyle w:val="Heading3"/>
        <w:spacing w:after="0" w:line="276" w:lineRule="auto"/>
        <w:rPr>
          <w:sz w:val="24"/>
          <w:szCs w:val="24"/>
        </w:rPr>
      </w:pPr>
      <w:bookmarkStart w:id="17" w:name="_Toc79000361"/>
      <w:bookmarkStart w:id="18" w:name="_Toc79317409"/>
    </w:p>
    <w:p w14:paraId="04E9B28C" w14:textId="7458546F" w:rsidR="006B5A4D" w:rsidRPr="0016361E" w:rsidRDefault="00A108F0" w:rsidP="00A108F0">
      <w:pPr>
        <w:pStyle w:val="Heading3"/>
        <w:numPr>
          <w:ilvl w:val="0"/>
          <w:numId w:val="34"/>
        </w:numPr>
        <w:spacing w:after="0" w:line="276" w:lineRule="auto"/>
        <w:rPr>
          <w:sz w:val="24"/>
          <w:szCs w:val="24"/>
        </w:rPr>
      </w:pPr>
      <w:r>
        <w:rPr>
          <w:sz w:val="24"/>
          <w:szCs w:val="24"/>
        </w:rPr>
        <w:t>I</w:t>
      </w:r>
      <w:r w:rsidR="006B5A4D" w:rsidRPr="0016361E">
        <w:rPr>
          <w:sz w:val="24"/>
          <w:szCs w:val="24"/>
        </w:rPr>
        <w:t>ntroduce a new Medicare line item</w:t>
      </w:r>
      <w:bookmarkEnd w:id="17"/>
      <w:bookmarkEnd w:id="18"/>
    </w:p>
    <w:p w14:paraId="1473630E" w14:textId="2F6A0667" w:rsidR="006B5A4D" w:rsidRPr="0016361E" w:rsidRDefault="006B5A4D" w:rsidP="0016361E">
      <w:pPr>
        <w:spacing w:after="0" w:line="276" w:lineRule="auto"/>
        <w:rPr>
          <w:sz w:val="24"/>
        </w:rPr>
      </w:pPr>
      <w:r w:rsidRPr="0016361E">
        <w:rPr>
          <w:sz w:val="24"/>
        </w:rPr>
        <w:t>The decreasing number of bulk billing doctors and healthcare that is only partially subsidised</w:t>
      </w:r>
      <w:r w:rsidR="00A108F0">
        <w:rPr>
          <w:sz w:val="24"/>
        </w:rPr>
        <w:t xml:space="preserve">, </w:t>
      </w:r>
      <w:r w:rsidRPr="0016361E">
        <w:rPr>
          <w:sz w:val="24"/>
        </w:rPr>
        <w:t xml:space="preserve">presents a barrier to people with disability accessing the medical care we need. This also makes it harder to get documentation that supports a DSP application. </w:t>
      </w:r>
    </w:p>
    <w:p w14:paraId="5924D696" w14:textId="77777777" w:rsidR="007F4809" w:rsidRPr="0016361E" w:rsidRDefault="007F4809" w:rsidP="0016361E">
      <w:pPr>
        <w:spacing w:after="0" w:line="276" w:lineRule="auto"/>
        <w:rPr>
          <w:sz w:val="24"/>
        </w:rPr>
      </w:pPr>
    </w:p>
    <w:p w14:paraId="29ABBA6C" w14:textId="77777777" w:rsidR="006B5A4D" w:rsidRPr="0016361E" w:rsidRDefault="006B5A4D" w:rsidP="0016361E">
      <w:pPr>
        <w:pStyle w:val="Quotestyle1"/>
        <w:spacing w:before="0" w:after="0" w:line="276" w:lineRule="auto"/>
      </w:pPr>
      <w:r w:rsidRPr="00A651E9">
        <w:rPr>
          <w:b w:val="0"/>
          <w:bCs/>
        </w:rPr>
        <w:t xml:space="preserve">I have wanted to reapply as l have now 2 more </w:t>
      </w:r>
      <w:proofErr w:type="gramStart"/>
      <w:r w:rsidRPr="00A651E9">
        <w:rPr>
          <w:b w:val="0"/>
          <w:bCs/>
        </w:rPr>
        <w:t>conditions, but</w:t>
      </w:r>
      <w:proofErr w:type="gramEnd"/>
      <w:r w:rsidRPr="00A651E9">
        <w:rPr>
          <w:b w:val="0"/>
          <w:bCs/>
        </w:rPr>
        <w:t xml:space="preserve"> am scarred by the former experience and am thinking they will just deny me again. I</w:t>
      </w:r>
      <w:r w:rsidRPr="0016361E">
        <w:t xml:space="preserve"> </w:t>
      </w:r>
      <w:r w:rsidRPr="00A651E9">
        <w:rPr>
          <w:b w:val="0"/>
          <w:bCs/>
        </w:rPr>
        <w:t>feel l need help to do it and they make it so hard. – Liz Gehrig</w:t>
      </w:r>
    </w:p>
    <w:p w14:paraId="313CF586" w14:textId="77777777" w:rsidR="00F60D4D" w:rsidRPr="0016361E" w:rsidRDefault="00F60D4D" w:rsidP="0016361E">
      <w:pPr>
        <w:spacing w:after="0" w:line="276" w:lineRule="auto"/>
        <w:rPr>
          <w:sz w:val="24"/>
        </w:rPr>
      </w:pPr>
    </w:p>
    <w:p w14:paraId="3C1B8CC3" w14:textId="461BBD60" w:rsidR="006B5A4D" w:rsidRPr="0016361E" w:rsidRDefault="006B5A4D" w:rsidP="0016361E">
      <w:pPr>
        <w:spacing w:after="0" w:line="276" w:lineRule="auto"/>
        <w:rPr>
          <w:sz w:val="24"/>
        </w:rPr>
      </w:pPr>
      <w:r w:rsidRPr="0016361E">
        <w:rPr>
          <w:sz w:val="24"/>
        </w:rPr>
        <w:t xml:space="preserve">Doctors and patients should be provided with this support so they can spend time discussing the patient’s needs and navigate the complex documentation requirements together. </w:t>
      </w:r>
    </w:p>
    <w:p w14:paraId="0114EA37" w14:textId="77777777" w:rsidR="007F4809" w:rsidRPr="0016361E" w:rsidRDefault="007F4809" w:rsidP="0016361E">
      <w:pPr>
        <w:spacing w:after="0" w:line="276" w:lineRule="auto"/>
        <w:rPr>
          <w:sz w:val="24"/>
        </w:rPr>
      </w:pPr>
    </w:p>
    <w:p w14:paraId="07F3F247" w14:textId="1A69E72C" w:rsidR="006B5A4D" w:rsidRPr="00A651E9" w:rsidRDefault="006B5A4D" w:rsidP="0016361E">
      <w:pPr>
        <w:pStyle w:val="Quotestyle1"/>
        <w:spacing w:before="0" w:after="0" w:line="276" w:lineRule="auto"/>
        <w:rPr>
          <w:b w:val="0"/>
          <w:bCs/>
        </w:rPr>
      </w:pPr>
      <w:r w:rsidRPr="00A651E9">
        <w:rPr>
          <w:b w:val="0"/>
          <w:bCs/>
        </w:rPr>
        <w:t xml:space="preserve">It took me several attempts. It was easier when I applied [than it is now], but still difficult. I found getting as much evidence from as many people as possible was … tedious, </w:t>
      </w:r>
      <w:proofErr w:type="gramStart"/>
      <w:r w:rsidRPr="00A651E9">
        <w:rPr>
          <w:b w:val="0"/>
          <w:bCs/>
        </w:rPr>
        <w:t>long</w:t>
      </w:r>
      <w:proofErr w:type="gramEnd"/>
      <w:r w:rsidRPr="00A651E9">
        <w:rPr>
          <w:b w:val="0"/>
          <w:bCs/>
        </w:rPr>
        <w:t xml:space="preserve"> and expensive to do. – name withheld</w:t>
      </w:r>
    </w:p>
    <w:p w14:paraId="6BD63662" w14:textId="77777777" w:rsidR="007F4809" w:rsidRPr="0016361E" w:rsidRDefault="007F4809" w:rsidP="0016361E">
      <w:pPr>
        <w:pStyle w:val="PWDAbodycopy"/>
        <w:spacing w:after="0" w:line="276" w:lineRule="auto"/>
      </w:pPr>
    </w:p>
    <w:p w14:paraId="34A254AD" w14:textId="13F14A2C" w:rsidR="006B5A4D" w:rsidRPr="0016361E" w:rsidRDefault="006B5A4D" w:rsidP="0016361E">
      <w:pPr>
        <w:spacing w:after="0" w:line="276" w:lineRule="auto"/>
        <w:rPr>
          <w:sz w:val="24"/>
        </w:rPr>
      </w:pPr>
      <w:r w:rsidRPr="0016361E">
        <w:rPr>
          <w:sz w:val="24"/>
        </w:rPr>
        <w:t xml:space="preserve">The Government should introduce a Medicare line item that ensures doctors have adequate time to work through the DSP application with their patient. This new line item should be fully bulk billed to avoid excluding people who cannot afford to pay any upfront costs.  </w:t>
      </w:r>
    </w:p>
    <w:p w14:paraId="2AB73FE5" w14:textId="77777777" w:rsidR="007F4809" w:rsidRPr="0016361E" w:rsidRDefault="007F4809" w:rsidP="0016361E">
      <w:pPr>
        <w:spacing w:after="0" w:line="276" w:lineRule="auto"/>
        <w:rPr>
          <w:sz w:val="24"/>
        </w:rPr>
      </w:pPr>
    </w:p>
    <w:p w14:paraId="5297443E" w14:textId="7749E9D2" w:rsidR="006B5A4D" w:rsidRPr="0016361E" w:rsidRDefault="00F6613B" w:rsidP="00A108F0">
      <w:pPr>
        <w:pStyle w:val="Heading3"/>
        <w:numPr>
          <w:ilvl w:val="0"/>
          <w:numId w:val="34"/>
        </w:numPr>
        <w:spacing w:after="0" w:line="276" w:lineRule="auto"/>
        <w:rPr>
          <w:sz w:val="24"/>
          <w:szCs w:val="24"/>
        </w:rPr>
      </w:pPr>
      <w:bookmarkStart w:id="19" w:name="_Toc79000362"/>
      <w:bookmarkStart w:id="20" w:name="_Toc79317410"/>
      <w:r>
        <w:rPr>
          <w:sz w:val="24"/>
          <w:szCs w:val="24"/>
        </w:rPr>
        <w:t>Provide a</w:t>
      </w:r>
      <w:r w:rsidR="006B5A4D" w:rsidRPr="0016361E">
        <w:rPr>
          <w:sz w:val="24"/>
          <w:szCs w:val="24"/>
        </w:rPr>
        <w:t>dditional support for treating professionals</w:t>
      </w:r>
      <w:bookmarkEnd w:id="19"/>
      <w:bookmarkEnd w:id="20"/>
      <w:r w:rsidR="006B5A4D" w:rsidRPr="0016361E">
        <w:rPr>
          <w:sz w:val="24"/>
          <w:szCs w:val="24"/>
        </w:rPr>
        <w:t xml:space="preserve"> </w:t>
      </w:r>
    </w:p>
    <w:p w14:paraId="1021DEBC" w14:textId="531AF9B9" w:rsidR="006B5A4D" w:rsidRPr="0016361E" w:rsidRDefault="006B5A4D" w:rsidP="0016361E">
      <w:pPr>
        <w:spacing w:after="0" w:line="276" w:lineRule="auto"/>
        <w:rPr>
          <w:sz w:val="24"/>
        </w:rPr>
      </w:pPr>
      <w:r w:rsidRPr="0016361E">
        <w:rPr>
          <w:sz w:val="24"/>
        </w:rPr>
        <w:t xml:space="preserve">Provide financial and other support to doctors to have adequate time and capacity to help people with disability to understand and fulfil the requirements of impairment tables. </w:t>
      </w:r>
    </w:p>
    <w:p w14:paraId="4CEB1DA0" w14:textId="77777777" w:rsidR="007F4809" w:rsidRPr="0016361E" w:rsidRDefault="007F4809" w:rsidP="0016361E">
      <w:pPr>
        <w:spacing w:after="0" w:line="276" w:lineRule="auto"/>
        <w:rPr>
          <w:sz w:val="24"/>
        </w:rPr>
      </w:pPr>
    </w:p>
    <w:p w14:paraId="7E6A8E76" w14:textId="5CCBFE4E" w:rsidR="006B5A4D" w:rsidRPr="00A651E9" w:rsidRDefault="006B5A4D" w:rsidP="0016361E">
      <w:pPr>
        <w:pStyle w:val="Quotestyle1"/>
        <w:spacing w:before="0" w:after="0" w:line="276" w:lineRule="auto"/>
        <w:rPr>
          <w:b w:val="0"/>
          <w:bCs/>
        </w:rPr>
      </w:pPr>
      <w:r w:rsidRPr="00A651E9">
        <w:rPr>
          <w:b w:val="0"/>
          <w:bCs/>
        </w:rPr>
        <w:t xml:space="preserve">It was rejected at the first step because my GP and I did not understand the 'nuances'. I provided plenty of medical evidence, but it was not the 'right' kind of evidence. My conditions do not neatly fit onto a </w:t>
      </w:r>
      <w:proofErr w:type="spellStart"/>
      <w:r w:rsidRPr="00A651E9">
        <w:rPr>
          <w:b w:val="0"/>
          <w:bCs/>
        </w:rPr>
        <w:t>centrelink</w:t>
      </w:r>
      <w:proofErr w:type="spellEnd"/>
      <w:r w:rsidRPr="00A651E9">
        <w:rPr>
          <w:b w:val="0"/>
          <w:bCs/>
        </w:rPr>
        <w:t xml:space="preserve"> form, so my GP asked them to contact her, they didn't. – name withheld</w:t>
      </w:r>
    </w:p>
    <w:p w14:paraId="18E7DEA4" w14:textId="77777777" w:rsidR="007F4809" w:rsidRPr="0016361E" w:rsidRDefault="007F4809" w:rsidP="0016361E">
      <w:pPr>
        <w:pStyle w:val="PWDAbodycopy"/>
        <w:spacing w:after="0" w:line="276" w:lineRule="auto"/>
      </w:pPr>
    </w:p>
    <w:p w14:paraId="58E83F99" w14:textId="1254E710" w:rsidR="006B5A4D" w:rsidRPr="0016361E" w:rsidRDefault="006B5A4D" w:rsidP="0016361E">
      <w:pPr>
        <w:spacing w:after="0" w:line="276" w:lineRule="auto"/>
        <w:rPr>
          <w:sz w:val="24"/>
        </w:rPr>
      </w:pPr>
      <w:r w:rsidRPr="0016361E">
        <w:rPr>
          <w:sz w:val="24"/>
        </w:rPr>
        <w:t xml:space="preserve">The impairment tables can't be applied consistently or equitably while there remain major differences and gaps in understanding among doctors about how the impairment tables affect people's DSP application. </w:t>
      </w:r>
    </w:p>
    <w:p w14:paraId="5E310E1A" w14:textId="77777777" w:rsidR="007F4809" w:rsidRPr="0016361E" w:rsidRDefault="007F4809" w:rsidP="0016361E">
      <w:pPr>
        <w:spacing w:after="0" w:line="276" w:lineRule="auto"/>
        <w:rPr>
          <w:sz w:val="24"/>
        </w:rPr>
      </w:pPr>
    </w:p>
    <w:p w14:paraId="60DCBECD" w14:textId="1590917E" w:rsidR="006B5A4D" w:rsidRPr="00A651E9" w:rsidRDefault="006B5A4D" w:rsidP="0016361E">
      <w:pPr>
        <w:pStyle w:val="Quotestyle1"/>
        <w:spacing w:before="0" w:after="0" w:line="276" w:lineRule="auto"/>
        <w:rPr>
          <w:b w:val="0"/>
          <w:bCs/>
        </w:rPr>
      </w:pPr>
      <w:r w:rsidRPr="00A651E9">
        <w:rPr>
          <w:b w:val="0"/>
          <w:bCs/>
        </w:rPr>
        <w:t xml:space="preserve">My current doctor supports me getting a pension but said, she doesn't like my chances as I can walk and talk my disabilities are not in the </w:t>
      </w:r>
      <w:proofErr w:type="gramStart"/>
      <w:r w:rsidRPr="00A651E9">
        <w:rPr>
          <w:b w:val="0"/>
          <w:bCs/>
        </w:rPr>
        <w:t>20 point</w:t>
      </w:r>
      <w:proofErr w:type="gramEnd"/>
      <w:r w:rsidRPr="00A651E9">
        <w:rPr>
          <w:b w:val="0"/>
          <w:bCs/>
        </w:rPr>
        <w:t xml:space="preserve"> assessment or too hard to prove. – name </w:t>
      </w:r>
      <w:r w:rsidR="00F60D4D" w:rsidRPr="00A651E9">
        <w:rPr>
          <w:b w:val="0"/>
          <w:bCs/>
        </w:rPr>
        <w:t>withheld</w:t>
      </w:r>
    </w:p>
    <w:p w14:paraId="0DB9BCA8" w14:textId="77777777" w:rsidR="007F4809" w:rsidRPr="0016361E" w:rsidRDefault="007F4809" w:rsidP="0016361E">
      <w:pPr>
        <w:pStyle w:val="PWDAbodycopy"/>
        <w:spacing w:after="0" w:line="276" w:lineRule="auto"/>
      </w:pPr>
    </w:p>
    <w:p w14:paraId="0F909FBC" w14:textId="29872B9C" w:rsidR="006B5A4D" w:rsidRPr="0016361E" w:rsidRDefault="006B5A4D" w:rsidP="0016361E">
      <w:pPr>
        <w:spacing w:after="0" w:line="276" w:lineRule="auto"/>
        <w:rPr>
          <w:sz w:val="24"/>
        </w:rPr>
      </w:pPr>
      <w:r w:rsidRPr="0016361E">
        <w:rPr>
          <w:sz w:val="24"/>
        </w:rPr>
        <w:t xml:space="preserve">The Government should equip doctors to understand how their decisions and inputs to an application for the DSP will affect their patient. </w:t>
      </w:r>
    </w:p>
    <w:p w14:paraId="41A0CA73" w14:textId="77777777" w:rsidR="007F4809" w:rsidRPr="0016361E" w:rsidRDefault="007F4809" w:rsidP="0016361E">
      <w:pPr>
        <w:spacing w:after="0" w:line="276" w:lineRule="auto"/>
        <w:rPr>
          <w:sz w:val="24"/>
        </w:rPr>
      </w:pPr>
    </w:p>
    <w:p w14:paraId="3A4C99EF" w14:textId="025474BC" w:rsidR="006B5A4D" w:rsidRPr="0016361E" w:rsidRDefault="006B5A4D" w:rsidP="0016361E">
      <w:pPr>
        <w:spacing w:after="0" w:line="276" w:lineRule="auto"/>
        <w:rPr>
          <w:sz w:val="24"/>
        </w:rPr>
      </w:pPr>
      <w:r w:rsidRPr="0016361E">
        <w:rPr>
          <w:sz w:val="24"/>
        </w:rPr>
        <w:t>In responses to our survey</w:t>
      </w:r>
      <w:r w:rsidR="00A108F0">
        <w:rPr>
          <w:sz w:val="24"/>
        </w:rPr>
        <w:t xml:space="preserve"> for this submission</w:t>
      </w:r>
      <w:r w:rsidRPr="0016361E">
        <w:rPr>
          <w:sz w:val="24"/>
        </w:rPr>
        <w:t xml:space="preserve">, some people attributed the success of their DSP application to having a doctor who thoroughly understood the process and documentation required. This should not be left to chance. </w:t>
      </w:r>
    </w:p>
    <w:p w14:paraId="2E60E96A" w14:textId="77777777" w:rsidR="00CC29E3" w:rsidRPr="0016361E" w:rsidRDefault="00CC29E3" w:rsidP="0016361E">
      <w:pPr>
        <w:spacing w:after="0" w:line="276" w:lineRule="auto"/>
        <w:rPr>
          <w:sz w:val="24"/>
        </w:rPr>
      </w:pPr>
    </w:p>
    <w:p w14:paraId="27BA26DD" w14:textId="50838241" w:rsidR="006B5A4D" w:rsidRPr="00A651E9" w:rsidRDefault="006B5A4D" w:rsidP="0016361E">
      <w:pPr>
        <w:pStyle w:val="Quotestyle1"/>
        <w:spacing w:before="0" w:after="0" w:line="276" w:lineRule="auto"/>
        <w:rPr>
          <w:b w:val="0"/>
          <w:bCs/>
        </w:rPr>
      </w:pPr>
      <w:r w:rsidRPr="00A651E9">
        <w:rPr>
          <w:b w:val="0"/>
          <w:bCs/>
        </w:rPr>
        <w:t xml:space="preserve">I had a very proactive and determined GP with extensive experience with mental health and disadvantage/homelessness. He was my “golden ticket”. One of my psychiatrists paid more attention to my history. – Melanie </w:t>
      </w:r>
    </w:p>
    <w:p w14:paraId="6028E7B4" w14:textId="77777777" w:rsidR="007F4809" w:rsidRPr="0016361E" w:rsidRDefault="007F4809" w:rsidP="0016361E">
      <w:pPr>
        <w:pStyle w:val="PWDAbodycopy"/>
        <w:spacing w:after="0" w:line="276" w:lineRule="auto"/>
      </w:pPr>
    </w:p>
    <w:p w14:paraId="2B71B93D" w14:textId="665DD2C4" w:rsidR="006B5A4D" w:rsidRPr="0016361E" w:rsidRDefault="006B5A4D" w:rsidP="0016361E">
      <w:pPr>
        <w:spacing w:after="0" w:line="276" w:lineRule="auto"/>
        <w:rPr>
          <w:sz w:val="24"/>
        </w:rPr>
      </w:pPr>
      <w:r w:rsidRPr="0016361E">
        <w:rPr>
          <w:sz w:val="24"/>
        </w:rPr>
        <w:t xml:space="preserve">Doctors should be resourced with training, clear and simple </w:t>
      </w:r>
      <w:r w:rsidR="00A108F0" w:rsidRPr="0016361E">
        <w:rPr>
          <w:sz w:val="24"/>
        </w:rPr>
        <w:t>guidelines,</w:t>
      </w:r>
      <w:r w:rsidRPr="0016361E">
        <w:rPr>
          <w:sz w:val="24"/>
        </w:rPr>
        <w:t xml:space="preserve"> and materials, and be adequately equipped to assist people with disability who need income support. </w:t>
      </w:r>
    </w:p>
    <w:p w14:paraId="71C07E7A" w14:textId="77777777" w:rsidR="007F4809" w:rsidRPr="0016361E" w:rsidRDefault="007F4809" w:rsidP="0016361E">
      <w:pPr>
        <w:spacing w:after="0" w:line="276" w:lineRule="auto"/>
        <w:rPr>
          <w:sz w:val="24"/>
        </w:rPr>
      </w:pPr>
    </w:p>
    <w:p w14:paraId="44DC218A" w14:textId="77777777" w:rsidR="006B5A4D" w:rsidRPr="0016361E" w:rsidRDefault="006B5A4D" w:rsidP="00A108F0">
      <w:pPr>
        <w:pStyle w:val="Heading3"/>
        <w:numPr>
          <w:ilvl w:val="0"/>
          <w:numId w:val="34"/>
        </w:numPr>
        <w:spacing w:after="0" w:line="276" w:lineRule="auto"/>
        <w:rPr>
          <w:sz w:val="24"/>
          <w:szCs w:val="24"/>
        </w:rPr>
      </w:pPr>
      <w:bookmarkStart w:id="21" w:name="_Toc79000363"/>
      <w:bookmarkStart w:id="22" w:name="_Toc79317411"/>
      <w:r w:rsidRPr="0016361E">
        <w:rPr>
          <w:sz w:val="24"/>
          <w:szCs w:val="24"/>
        </w:rPr>
        <w:t>Allow for further revision of the tables before the next sunset clause</w:t>
      </w:r>
      <w:bookmarkEnd w:id="21"/>
      <w:bookmarkEnd w:id="22"/>
      <w:r w:rsidRPr="0016361E">
        <w:rPr>
          <w:sz w:val="24"/>
          <w:szCs w:val="24"/>
        </w:rPr>
        <w:t xml:space="preserve"> </w:t>
      </w:r>
    </w:p>
    <w:p w14:paraId="2749375A" w14:textId="2C1B6F8D" w:rsidR="006B5A4D" w:rsidRPr="0016361E" w:rsidRDefault="006B5A4D" w:rsidP="0016361E">
      <w:pPr>
        <w:spacing w:after="0" w:line="276" w:lineRule="auto"/>
        <w:rPr>
          <w:sz w:val="24"/>
        </w:rPr>
      </w:pPr>
      <w:r w:rsidRPr="0016361E">
        <w:rPr>
          <w:sz w:val="24"/>
        </w:rPr>
        <w:t xml:space="preserve">It was unreasonable to allow this review to coincide with the </w:t>
      </w:r>
      <w:r w:rsidR="00A108F0">
        <w:rPr>
          <w:sz w:val="24"/>
        </w:rPr>
        <w:t>S</w:t>
      </w:r>
      <w:r w:rsidRPr="0016361E">
        <w:rPr>
          <w:sz w:val="24"/>
        </w:rPr>
        <w:t xml:space="preserve">enate </w:t>
      </w:r>
      <w:r w:rsidR="00A108F0">
        <w:rPr>
          <w:sz w:val="24"/>
        </w:rPr>
        <w:t>i</w:t>
      </w:r>
      <w:r w:rsidRPr="0016361E">
        <w:rPr>
          <w:sz w:val="24"/>
        </w:rPr>
        <w:t xml:space="preserve">nquiry into the purpose, </w:t>
      </w:r>
      <w:proofErr w:type="gramStart"/>
      <w:r w:rsidRPr="0016361E">
        <w:rPr>
          <w:sz w:val="24"/>
        </w:rPr>
        <w:t>intent</w:t>
      </w:r>
      <w:proofErr w:type="gramEnd"/>
      <w:r w:rsidRPr="0016361E">
        <w:rPr>
          <w:sz w:val="24"/>
        </w:rPr>
        <w:t xml:space="preserve"> and adequacy of the Disability Support Pension. This has limited</w:t>
      </w:r>
      <w:r w:rsidR="00A108F0">
        <w:rPr>
          <w:sz w:val="24"/>
        </w:rPr>
        <w:t xml:space="preserve"> the capacity of people with disability, our representative organisations such as PWDA, and advocates for change, </w:t>
      </w:r>
      <w:r w:rsidRPr="0016361E">
        <w:rPr>
          <w:sz w:val="24"/>
        </w:rPr>
        <w:t>to develop comprehensive recommendations about how the impairment tables should be improved.</w:t>
      </w:r>
    </w:p>
    <w:p w14:paraId="660E0D94" w14:textId="77777777" w:rsidR="007F4809" w:rsidRPr="0016361E" w:rsidRDefault="007F4809" w:rsidP="0016361E">
      <w:pPr>
        <w:spacing w:after="0" w:line="276" w:lineRule="auto"/>
        <w:rPr>
          <w:sz w:val="24"/>
        </w:rPr>
      </w:pPr>
    </w:p>
    <w:p w14:paraId="3EDD3B5B" w14:textId="0635FD1F" w:rsidR="006B5A4D" w:rsidRPr="0016361E" w:rsidRDefault="006B5A4D" w:rsidP="0016361E">
      <w:pPr>
        <w:spacing w:after="0" w:line="276" w:lineRule="auto"/>
        <w:rPr>
          <w:sz w:val="24"/>
        </w:rPr>
      </w:pPr>
      <w:r w:rsidRPr="0016361E">
        <w:rPr>
          <w:sz w:val="24"/>
        </w:rPr>
        <w:t xml:space="preserve">Even without </w:t>
      </w:r>
      <w:r w:rsidR="00A108F0">
        <w:rPr>
          <w:sz w:val="24"/>
        </w:rPr>
        <w:t>the concurrent Senate inquiry</w:t>
      </w:r>
      <w:r w:rsidRPr="0016361E">
        <w:rPr>
          <w:sz w:val="24"/>
        </w:rPr>
        <w:t xml:space="preserve">, the review timeframe is too short. There has not been enough time to allow for proper, widespread consultation with groups and people affected by the operation of the tables. </w:t>
      </w:r>
      <w:r w:rsidR="00A108F0">
        <w:rPr>
          <w:sz w:val="24"/>
        </w:rPr>
        <w:t>The survey PWDA did of our membership for this submission only touched the surface.</w:t>
      </w:r>
    </w:p>
    <w:p w14:paraId="630F0C5A" w14:textId="77777777" w:rsidR="007F4809" w:rsidRPr="0016361E" w:rsidRDefault="007F4809" w:rsidP="0016361E">
      <w:pPr>
        <w:spacing w:after="0" w:line="276" w:lineRule="auto"/>
        <w:rPr>
          <w:sz w:val="24"/>
        </w:rPr>
      </w:pPr>
    </w:p>
    <w:p w14:paraId="00FF1361" w14:textId="603C3526" w:rsidR="007F4809" w:rsidRPr="0016361E" w:rsidRDefault="006B5A4D" w:rsidP="0016361E">
      <w:pPr>
        <w:spacing w:after="0" w:line="276" w:lineRule="auto"/>
        <w:rPr>
          <w:sz w:val="24"/>
        </w:rPr>
      </w:pPr>
      <w:r w:rsidRPr="0016361E">
        <w:rPr>
          <w:sz w:val="24"/>
        </w:rPr>
        <w:t>People with disability have been included in consultations as an afterthought, and only after pressure from advocacy groups. These are the most important voices in any discussion of the policies that affect our access to support.</w:t>
      </w:r>
    </w:p>
    <w:p w14:paraId="483AECB9" w14:textId="0431AE79" w:rsidR="006B5A4D" w:rsidRPr="0016361E" w:rsidRDefault="006B5A4D" w:rsidP="0016361E">
      <w:pPr>
        <w:spacing w:after="0" w:line="276" w:lineRule="auto"/>
        <w:rPr>
          <w:sz w:val="24"/>
        </w:rPr>
      </w:pPr>
      <w:r w:rsidRPr="0016361E">
        <w:rPr>
          <w:sz w:val="24"/>
        </w:rPr>
        <w:t xml:space="preserve"> </w:t>
      </w:r>
    </w:p>
    <w:p w14:paraId="179846CF" w14:textId="54972549" w:rsidR="006B5A4D" w:rsidRPr="0016361E" w:rsidRDefault="006B5A4D" w:rsidP="0016361E">
      <w:pPr>
        <w:spacing w:after="0" w:line="276" w:lineRule="auto"/>
        <w:rPr>
          <w:sz w:val="24"/>
        </w:rPr>
      </w:pPr>
      <w:r w:rsidRPr="0016361E">
        <w:rPr>
          <w:sz w:val="24"/>
        </w:rPr>
        <w:lastRenderedPageBreak/>
        <w:t xml:space="preserve">Findings of the concurrent DSP inquiry will have great significance for the impairment tables policy. It will assess the consequences of the 2011 changes in the context of other reviews and changes made to the DSP in the past decade. </w:t>
      </w:r>
    </w:p>
    <w:p w14:paraId="457E5270" w14:textId="77777777" w:rsidR="007F4809" w:rsidRPr="0016361E" w:rsidRDefault="007F4809" w:rsidP="0016361E">
      <w:pPr>
        <w:spacing w:after="0" w:line="276" w:lineRule="auto"/>
        <w:rPr>
          <w:sz w:val="24"/>
        </w:rPr>
      </w:pPr>
    </w:p>
    <w:p w14:paraId="47E11F42" w14:textId="1A2D6DBA" w:rsidR="006B5A4D" w:rsidRPr="0016361E" w:rsidRDefault="006B5A4D" w:rsidP="0016361E">
      <w:pPr>
        <w:spacing w:after="0" w:line="276" w:lineRule="auto"/>
        <w:rPr>
          <w:sz w:val="24"/>
        </w:rPr>
      </w:pPr>
      <w:r w:rsidRPr="0016361E">
        <w:rPr>
          <w:sz w:val="24"/>
        </w:rPr>
        <w:t>PWDA endorses Anglicare’s position that the Government should extend the current legislative instrument by another year for proper consultation to take place and so that relevant findings from the DSP inquiry, which is due to report in November 2021 can be implemented.</w:t>
      </w:r>
    </w:p>
    <w:p w14:paraId="5BD746A5" w14:textId="77777777" w:rsidR="007F4809" w:rsidRPr="0016361E" w:rsidRDefault="007F4809" w:rsidP="0016361E">
      <w:pPr>
        <w:spacing w:after="0" w:line="276" w:lineRule="auto"/>
        <w:rPr>
          <w:sz w:val="24"/>
        </w:rPr>
      </w:pPr>
    </w:p>
    <w:p w14:paraId="2278F953" w14:textId="04E1B4D3" w:rsidR="006B5A4D" w:rsidRPr="0016361E" w:rsidRDefault="006B5A4D" w:rsidP="0016361E">
      <w:pPr>
        <w:spacing w:after="0" w:line="276" w:lineRule="auto"/>
        <w:rPr>
          <w:sz w:val="24"/>
        </w:rPr>
      </w:pPr>
      <w:r w:rsidRPr="0016361E">
        <w:rPr>
          <w:sz w:val="24"/>
        </w:rPr>
        <w:t>This time should also be used for more meaningful consultation with people who have been excluded from the DSP by the current operation of the impairment tables, whose views have thus far largely been</w:t>
      </w:r>
      <w:r w:rsidR="00A108F0">
        <w:rPr>
          <w:sz w:val="24"/>
        </w:rPr>
        <w:t xml:space="preserve"> regrettably</w:t>
      </w:r>
      <w:r w:rsidRPr="0016361E">
        <w:rPr>
          <w:sz w:val="24"/>
        </w:rPr>
        <w:t xml:space="preserve"> neglected in the </w:t>
      </w:r>
      <w:r w:rsidR="00A108F0">
        <w:rPr>
          <w:sz w:val="24"/>
        </w:rPr>
        <w:t>D</w:t>
      </w:r>
      <w:r w:rsidRPr="0016361E">
        <w:rPr>
          <w:sz w:val="24"/>
        </w:rPr>
        <w:t xml:space="preserve">epartment’s </w:t>
      </w:r>
      <w:r w:rsidR="00A108F0">
        <w:rPr>
          <w:sz w:val="24"/>
        </w:rPr>
        <w:t>approach to this review.</w:t>
      </w:r>
    </w:p>
    <w:p w14:paraId="51E3D57B" w14:textId="77777777" w:rsidR="007F4809" w:rsidRPr="0016361E" w:rsidRDefault="007F4809" w:rsidP="0016361E">
      <w:pPr>
        <w:spacing w:after="0" w:line="276" w:lineRule="auto"/>
        <w:rPr>
          <w:sz w:val="24"/>
        </w:rPr>
      </w:pPr>
    </w:p>
    <w:p w14:paraId="4F813A02" w14:textId="1175E857" w:rsidR="009E00A3" w:rsidRPr="0016361E" w:rsidRDefault="00386716" w:rsidP="0016361E">
      <w:pPr>
        <w:spacing w:after="0" w:line="276" w:lineRule="auto"/>
        <w:rPr>
          <w:sz w:val="24"/>
        </w:rPr>
      </w:pPr>
      <w:r w:rsidRPr="0016361E">
        <w:rPr>
          <w:sz w:val="24"/>
        </w:rPr>
        <w:t xml:space="preserve">When introducing amendments to move </w:t>
      </w:r>
      <w:r w:rsidR="00A108F0">
        <w:rPr>
          <w:sz w:val="24"/>
        </w:rPr>
        <w:t>impairment tables</w:t>
      </w:r>
      <w:r w:rsidR="001402CB" w:rsidRPr="0016361E">
        <w:rPr>
          <w:sz w:val="24"/>
        </w:rPr>
        <w:t xml:space="preserve"> </w:t>
      </w:r>
      <w:r w:rsidRPr="0016361E">
        <w:rPr>
          <w:sz w:val="24"/>
        </w:rPr>
        <w:t xml:space="preserve">out of </w:t>
      </w:r>
      <w:r w:rsidR="000815E6" w:rsidRPr="0016361E">
        <w:rPr>
          <w:sz w:val="24"/>
        </w:rPr>
        <w:t>the Social Security Act and into regulation</w:t>
      </w:r>
      <w:r w:rsidR="00A108F0">
        <w:rPr>
          <w:sz w:val="24"/>
        </w:rPr>
        <w:t xml:space="preserve"> a decade ago</w:t>
      </w:r>
      <w:r w:rsidR="000815E6" w:rsidRPr="0016361E">
        <w:rPr>
          <w:sz w:val="24"/>
        </w:rPr>
        <w:t xml:space="preserve">, the Government argued </w:t>
      </w:r>
      <w:r w:rsidR="00D60337" w:rsidRPr="0016361E">
        <w:rPr>
          <w:sz w:val="24"/>
        </w:rPr>
        <w:t xml:space="preserve">this would </w:t>
      </w:r>
      <w:r w:rsidR="009E00A3" w:rsidRPr="0016361E">
        <w:rPr>
          <w:sz w:val="24"/>
        </w:rPr>
        <w:t>‘enable the Impairment Tables to be updated regularly in response to developments in medical or rehabilitation practice’.</w:t>
      </w:r>
      <w:r w:rsidR="001402CB" w:rsidRPr="0016361E">
        <w:rPr>
          <w:rStyle w:val="FootnoteReference"/>
          <w:sz w:val="24"/>
        </w:rPr>
        <w:footnoteReference w:id="20"/>
      </w:r>
      <w:r w:rsidR="000815E6" w:rsidRPr="0016361E">
        <w:rPr>
          <w:sz w:val="24"/>
        </w:rPr>
        <w:t xml:space="preserve"> </w:t>
      </w:r>
    </w:p>
    <w:p w14:paraId="08867396" w14:textId="77777777" w:rsidR="009E00A3" w:rsidRPr="0016361E" w:rsidRDefault="009E00A3" w:rsidP="0016361E">
      <w:pPr>
        <w:spacing w:after="0" w:line="276" w:lineRule="auto"/>
        <w:rPr>
          <w:sz w:val="24"/>
        </w:rPr>
      </w:pPr>
    </w:p>
    <w:p w14:paraId="2BBEE63E" w14:textId="4364AE7B" w:rsidR="00D60337" w:rsidRPr="0016361E" w:rsidRDefault="00705375" w:rsidP="0016361E">
      <w:pPr>
        <w:spacing w:after="0" w:line="276" w:lineRule="auto"/>
        <w:rPr>
          <w:sz w:val="24"/>
        </w:rPr>
      </w:pPr>
      <w:r w:rsidRPr="0016361E">
        <w:rPr>
          <w:sz w:val="24"/>
        </w:rPr>
        <w:t xml:space="preserve">Ten years </w:t>
      </w:r>
      <w:r w:rsidR="00252BF5" w:rsidRPr="0016361E">
        <w:rPr>
          <w:sz w:val="24"/>
        </w:rPr>
        <w:t>on</w:t>
      </w:r>
      <w:r w:rsidR="00427A73" w:rsidRPr="0016361E">
        <w:rPr>
          <w:sz w:val="24"/>
        </w:rPr>
        <w:t xml:space="preserve"> </w:t>
      </w:r>
      <w:r w:rsidR="00BC1A19" w:rsidRPr="0016361E">
        <w:rPr>
          <w:sz w:val="24"/>
        </w:rPr>
        <w:t>and not one improvement has been made</w:t>
      </w:r>
      <w:r w:rsidR="00252BF5" w:rsidRPr="0016361E">
        <w:rPr>
          <w:sz w:val="24"/>
        </w:rPr>
        <w:t xml:space="preserve">. </w:t>
      </w:r>
    </w:p>
    <w:p w14:paraId="1BB607E9" w14:textId="77777777" w:rsidR="00D60337" w:rsidRPr="0016361E" w:rsidRDefault="00D60337" w:rsidP="0016361E">
      <w:pPr>
        <w:spacing w:after="0" w:line="276" w:lineRule="auto"/>
        <w:rPr>
          <w:sz w:val="24"/>
        </w:rPr>
      </w:pPr>
    </w:p>
    <w:p w14:paraId="0642C07E" w14:textId="7DCC577D" w:rsidR="007317FE" w:rsidRPr="0016361E" w:rsidRDefault="006B5A4D" w:rsidP="0016361E">
      <w:pPr>
        <w:spacing w:after="0" w:line="276" w:lineRule="auto"/>
        <w:rPr>
          <w:sz w:val="24"/>
        </w:rPr>
      </w:pPr>
      <w:r w:rsidRPr="0016361E">
        <w:rPr>
          <w:sz w:val="24"/>
        </w:rPr>
        <w:t xml:space="preserve">Regardless of the outcome of this </w:t>
      </w:r>
      <w:r w:rsidR="00BC1A19" w:rsidRPr="0016361E">
        <w:rPr>
          <w:sz w:val="24"/>
        </w:rPr>
        <w:t>process</w:t>
      </w:r>
      <w:r w:rsidRPr="0016361E">
        <w:rPr>
          <w:sz w:val="24"/>
        </w:rPr>
        <w:t>, the Government should not allow another ten years to pass before the next review of the tables.</w:t>
      </w:r>
    </w:p>
    <w:p w14:paraId="2505AD85" w14:textId="49DF53E6" w:rsidR="007F4809" w:rsidRPr="00EA2433" w:rsidRDefault="007F4809" w:rsidP="006B5A4D">
      <w:pPr>
        <w:spacing w:after="0" w:line="276" w:lineRule="auto"/>
        <w:sectPr w:rsidR="007F4809" w:rsidRPr="00EA2433" w:rsidSect="008E2BF3">
          <w:pgSz w:w="11906" w:h="16838" w:code="9"/>
          <w:pgMar w:top="1701" w:right="1134" w:bottom="1928" w:left="1134" w:header="284" w:footer="510" w:gutter="0"/>
          <w:cols w:space="708"/>
          <w:docGrid w:linePitch="360"/>
        </w:sectPr>
      </w:pPr>
    </w:p>
    <w:p w14:paraId="65DE808F" w14:textId="77777777" w:rsidR="00751197" w:rsidRPr="008646B6" w:rsidRDefault="00751197" w:rsidP="00751197">
      <w:pPr>
        <w:autoSpaceDE w:val="0"/>
        <w:autoSpaceDN w:val="0"/>
        <w:adjustRightInd w:val="0"/>
        <w:spacing w:after="0" w:line="240" w:lineRule="auto"/>
        <w:rPr>
          <w:rFonts w:cstheme="minorHAnsi"/>
          <w:color w:val="000000"/>
          <w:sz w:val="20"/>
          <w:szCs w:val="20"/>
        </w:rPr>
      </w:pPr>
      <w:r w:rsidRPr="008646B6">
        <w:rPr>
          <w:rFonts w:cstheme="minorHAnsi"/>
          <w:color w:val="000000"/>
          <w:sz w:val="20"/>
          <w:szCs w:val="20"/>
        </w:rPr>
        <w:lastRenderedPageBreak/>
        <w:t xml:space="preserve">For individual advocacy support contact the </w:t>
      </w:r>
      <w:proofErr w:type="spellStart"/>
      <w:r w:rsidRPr="008646B6">
        <w:rPr>
          <w:rFonts w:cstheme="minorHAnsi"/>
          <w:b/>
          <w:bCs/>
          <w:color w:val="000000"/>
          <w:sz w:val="20"/>
          <w:szCs w:val="20"/>
        </w:rPr>
        <w:t>Wayfinder</w:t>
      </w:r>
      <w:proofErr w:type="spellEnd"/>
      <w:r w:rsidRPr="008646B6">
        <w:rPr>
          <w:rFonts w:cstheme="minorHAnsi"/>
          <w:b/>
          <w:bCs/>
          <w:color w:val="000000"/>
          <w:sz w:val="20"/>
          <w:szCs w:val="20"/>
        </w:rPr>
        <w:t xml:space="preserve"> Hub </w:t>
      </w:r>
      <w:r w:rsidRPr="008646B6">
        <w:rPr>
          <w:rFonts w:cstheme="minorHAnsi"/>
          <w:color w:val="000000"/>
          <w:sz w:val="20"/>
          <w:szCs w:val="20"/>
        </w:rPr>
        <w:t>between 9 am and 5 pm (AEST/AEDT)</w:t>
      </w:r>
    </w:p>
    <w:p w14:paraId="23F6E576" w14:textId="77777777" w:rsidR="00751197" w:rsidRPr="008646B6" w:rsidRDefault="00751197" w:rsidP="00751197">
      <w:pPr>
        <w:autoSpaceDE w:val="0"/>
        <w:autoSpaceDN w:val="0"/>
        <w:adjustRightInd w:val="0"/>
        <w:spacing w:after="0" w:line="240" w:lineRule="auto"/>
        <w:rPr>
          <w:rFonts w:cstheme="minorHAnsi"/>
          <w:b/>
          <w:bCs/>
          <w:color w:val="000000"/>
          <w:sz w:val="20"/>
          <w:szCs w:val="20"/>
        </w:rPr>
      </w:pPr>
      <w:r w:rsidRPr="008646B6">
        <w:rPr>
          <w:rFonts w:cstheme="minorHAnsi"/>
          <w:color w:val="000000"/>
          <w:sz w:val="20"/>
          <w:szCs w:val="20"/>
        </w:rPr>
        <w:t xml:space="preserve">Monday to Friday via phone (toll free) on </w:t>
      </w:r>
      <w:r w:rsidRPr="008646B6">
        <w:rPr>
          <w:rFonts w:cstheme="minorHAnsi"/>
          <w:b/>
          <w:bCs/>
          <w:color w:val="000000"/>
          <w:sz w:val="20"/>
          <w:szCs w:val="20"/>
        </w:rPr>
        <w:t xml:space="preserve">1800 843 929 </w:t>
      </w:r>
      <w:r w:rsidRPr="008646B6">
        <w:rPr>
          <w:rFonts w:cstheme="minorHAnsi"/>
          <w:color w:val="000000"/>
          <w:sz w:val="20"/>
          <w:szCs w:val="20"/>
        </w:rPr>
        <w:t xml:space="preserve">or via email at </w:t>
      </w:r>
      <w:r w:rsidRPr="008646B6">
        <w:rPr>
          <w:rFonts w:cstheme="minorHAnsi"/>
          <w:color w:val="005497"/>
          <w:sz w:val="20"/>
          <w:szCs w:val="20"/>
        </w:rPr>
        <w:t>info@wayfinderhub.com.au</w:t>
      </w:r>
    </w:p>
    <w:p w14:paraId="51CDAED7" w14:textId="77777777" w:rsidR="00F55E89" w:rsidRDefault="00F55E89" w:rsidP="00751197">
      <w:pPr>
        <w:pStyle w:val="PWDAContacts"/>
        <w:rPr>
          <w:rFonts w:cstheme="minorHAnsi"/>
          <w:b/>
          <w:bCs/>
          <w:color w:val="000000"/>
          <w:szCs w:val="20"/>
        </w:rPr>
      </w:pPr>
    </w:p>
    <w:p w14:paraId="139F02D8" w14:textId="51EB4A17" w:rsidR="00F012F8" w:rsidRPr="007F4809" w:rsidRDefault="00751197" w:rsidP="00751197">
      <w:pPr>
        <w:pStyle w:val="PWDAContacts"/>
        <w:rPr>
          <w:rFonts w:cstheme="minorHAnsi"/>
          <w:b/>
          <w:bCs/>
          <w:color w:val="000000"/>
          <w:szCs w:val="20"/>
        </w:rPr>
      </w:pPr>
      <w:r w:rsidRPr="008646B6">
        <w:rPr>
          <w:rFonts w:cstheme="minorHAnsi"/>
          <w:b/>
          <w:bCs/>
          <w:color w:val="000000"/>
          <w:szCs w:val="20"/>
        </w:rPr>
        <w:t xml:space="preserve">Submission contact: </w:t>
      </w:r>
      <w:r>
        <w:rPr>
          <w:rFonts w:cstheme="minorHAnsi"/>
          <w:color w:val="000000"/>
          <w:szCs w:val="20"/>
        </w:rPr>
        <w:t xml:space="preserve">Giancarlo de Vera, Senior Manager of Policy: </w:t>
      </w:r>
      <w:hyperlink r:id="rId16" w:history="1">
        <w:r w:rsidRPr="00751197">
          <w:rPr>
            <w:rStyle w:val="Hyperlink"/>
            <w:rFonts w:cstheme="minorHAnsi"/>
            <w:b w:val="0"/>
            <w:bCs/>
            <w:szCs w:val="20"/>
          </w:rPr>
          <w:t>giancarlod@pwd.org.au</w:t>
        </w:r>
      </w:hyperlink>
      <w:r w:rsidRPr="00751197">
        <w:rPr>
          <w:rFonts w:cstheme="minorHAnsi"/>
          <w:b/>
          <w:bCs/>
          <w:color w:val="000000"/>
          <w:szCs w:val="20"/>
        </w:rPr>
        <w:t xml:space="preserve"> </w:t>
      </w:r>
    </w:p>
    <w:sectPr w:rsidR="00F012F8" w:rsidRPr="007F4809" w:rsidSect="00C02BFC">
      <w:headerReference w:type="even" r:id="rId17"/>
      <w:headerReference w:type="default" r:id="rId18"/>
      <w:headerReference w:type="first" r:id="rId19"/>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8792" w14:textId="77777777" w:rsidR="00740142" w:rsidRDefault="00740142" w:rsidP="00F1283C">
      <w:pPr>
        <w:spacing w:after="0" w:line="240" w:lineRule="auto"/>
      </w:pPr>
      <w:r>
        <w:separator/>
      </w:r>
    </w:p>
  </w:endnote>
  <w:endnote w:type="continuationSeparator" w:id="0">
    <w:p w14:paraId="0DAFA43E" w14:textId="77777777" w:rsidR="00740142" w:rsidRDefault="00740142" w:rsidP="00F1283C">
      <w:pPr>
        <w:spacing w:after="0" w:line="240" w:lineRule="auto"/>
      </w:pPr>
      <w:r>
        <w:continuationSeparator/>
      </w:r>
    </w:p>
  </w:endnote>
  <w:endnote w:type="continuationNotice" w:id="1">
    <w:p w14:paraId="7D9A1195" w14:textId="77777777" w:rsidR="00740142" w:rsidRDefault="00740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EBAF" w14:textId="77777777" w:rsidR="0049226B" w:rsidRDefault="0049226B" w:rsidP="00F1283C">
    <w:pPr>
      <w:pStyle w:val="Footer"/>
      <w:tabs>
        <w:tab w:val="clear" w:pos="4680"/>
        <w:tab w:val="clear" w:pos="9360"/>
        <w:tab w:val="right" w:pos="8505"/>
        <w:tab w:val="right" w:pos="9639"/>
      </w:tabs>
    </w:pPr>
    <w:r>
      <w:rPr>
        <w:noProof/>
        <w:lang w:eastAsia="en-AU"/>
      </w:rPr>
      <w:drawing>
        <wp:inline distT="0" distB="0" distL="0" distR="0" wp14:anchorId="4074C15C" wp14:editId="5A2ABFE3">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Pr="000A3A30">
      <w:rPr>
        <w:b/>
        <w:bCs/>
      </w:rPr>
      <w:tab/>
    </w:r>
    <w:r>
      <w:fldChar w:fldCharType="begin"/>
    </w:r>
    <w:r>
      <w:instrText xml:space="preserve"> PAGE   \* MERGEFORMAT </w:instrText>
    </w:r>
    <w:r>
      <w:fldChar w:fldCharType="separate"/>
    </w:r>
    <w:r w:rsidR="003C6883">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DB80" w14:textId="77777777" w:rsidR="00740142" w:rsidRDefault="00740142" w:rsidP="00F1283C">
      <w:pPr>
        <w:spacing w:after="0" w:line="240" w:lineRule="auto"/>
      </w:pPr>
      <w:r>
        <w:separator/>
      </w:r>
    </w:p>
  </w:footnote>
  <w:footnote w:type="continuationSeparator" w:id="0">
    <w:p w14:paraId="5AFB1901" w14:textId="77777777" w:rsidR="00740142" w:rsidRDefault="00740142" w:rsidP="00F1283C">
      <w:pPr>
        <w:spacing w:after="0" w:line="240" w:lineRule="auto"/>
      </w:pPr>
      <w:r>
        <w:continuationSeparator/>
      </w:r>
    </w:p>
  </w:footnote>
  <w:footnote w:type="continuationNotice" w:id="1">
    <w:p w14:paraId="572F3D9E" w14:textId="77777777" w:rsidR="00740142" w:rsidRDefault="00740142">
      <w:pPr>
        <w:spacing w:after="0" w:line="240" w:lineRule="auto"/>
      </w:pPr>
    </w:p>
  </w:footnote>
  <w:footnote w:id="2">
    <w:p w14:paraId="7D319200" w14:textId="284C0B67" w:rsidR="00BA0F8A" w:rsidRPr="00FC010D" w:rsidRDefault="00BA0F8A" w:rsidP="00BA0F8A">
      <w:pPr>
        <w:pStyle w:val="FootnoteText"/>
        <w:rPr>
          <w:sz w:val="17"/>
          <w:szCs w:val="17"/>
        </w:rPr>
      </w:pPr>
      <w:r w:rsidRPr="00FC010D">
        <w:rPr>
          <w:rStyle w:val="FootnoteReference"/>
          <w:sz w:val="17"/>
          <w:szCs w:val="17"/>
        </w:rPr>
        <w:footnoteRef/>
      </w:r>
      <w:r w:rsidRPr="00FC010D">
        <w:rPr>
          <w:sz w:val="17"/>
          <w:szCs w:val="17"/>
        </w:rPr>
        <w:t xml:space="preserve"> </w:t>
      </w:r>
      <w:r w:rsidR="00F371E4" w:rsidRPr="00FC010D">
        <w:rPr>
          <w:sz w:val="17"/>
          <w:szCs w:val="17"/>
        </w:rPr>
        <w:fldChar w:fldCharType="begin"/>
      </w:r>
      <w:r w:rsidR="00531DB4" w:rsidRPr="00FC010D">
        <w:rPr>
          <w:sz w:val="17"/>
          <w:szCs w:val="17"/>
        </w:rPr>
        <w:instrText xml:space="preserve"> ADDIN ZOTERO_ITEM CSL_CITATION {"citationID":"YncGOwOI","properties":{"formattedCitation":"Jim M. Bowler and others, \\uc0\\u8216{}The Moyjil Site, South-West Victoria, Australia: Fire and Environment in a 120,000-Year Coastal Midden \\uc0\\u8212{} Nature or People?\\uc0\\u8217{}, {\\i{}Proceedings of the Royal Society of Victoria}, 130/2 (2019), 71\\uc0\\u8211{}93 &lt;https://www.publish.csiro.au/rs/rs18007&gt; [accessed 7 August 2021].","plainCitation":"Jim M. Bowler and others, ‘The Moyjil Site, South-West Victoria, Australia: Fire and Environment in a 120,000-Year Coastal Midden — Nature or People?’, Proceedings of the Royal Society of Victoria, 130/2 (2019), 71–93 &lt;https://www.publish.csiro.au/rs/rs18007&gt; [accessed 7 August 2021].","noteIndex":1},"citationItems":[{"id":611,"uris":["http://zotero.org/groups/4280303/items/VWJCN7Z9"],"uri":["http://zotero.org/groups/4280303/items/VWJCN7Z9"],"itemData":{"id":611,"type":"article-journal","abstract":"At Moyjil (Point Ritchie), a cliffed site at the mouth of the Hopkins River at Warrnambool, south-eastern Australia, an erosional disconformity of Last Interglacial age on both a rock stack and the adjacent headland represents a surface of possible human occupation. Shells of edible marine molluscs occur on the disconformity, together with a distinctive population of transported stones derived from a calcrete of MIS 7 age and bearing variable dark grey to near-black colouration suggestive of fire. Experimental fire produced similar thermal alteration of calcrete. A strong correlation exists between intensity and depth of dark staining on one hand and increased magnetic susceptibility on the other. Thermal luminescence analyses of blackened stones provide ages in the MIS 5e range, 100–130 ka, consistent with independent stratigraphic evidence and contemporaneous with the age of the surface on which they lie. The distribution of fire-darkened stones is inconsistent with wildfire effects. Two hearth-like features closely associated with the disconformity provide further indications of potential human agency. The data are consistent with the suggestion of human presence at Warrnambool during the Last Interglacial.","container-title":"Proceedings of the Royal Society of Victoria","DOI":"10.1071/rs18007","ISSN":"2204-1362","issue":"2","journalAbbreviation":"Proc. R. Soc. Vic.","language":"en","note":"publisher: CSIRO PUBLISHING","page":"71-93","source":"www.publish.csiro.au","title":"The Moyjil site, south-west Victoria, Australia: fire and environment in a 120,000-year coastal midden — nature or people?","title-short":"The Moyjil site, south-west Victoria, Australia","URL":"https://www.publish.csiro.au/rs/rs18007","volume":"130","author":[{"family":"Bowler","given":"Jim M."},{"family":"Price","given":"David M."},{"family":"Sherwood","given":"John E."},{"family":"Carey","given":"Stephen P."}],"accessed":{"date-parts":[["2021",8,7]]},"issued":{"date-parts":[["2019"]]}}}],"schema":"https://github.com/citation-style-language/schema/raw/master/csl-citation.json"} </w:instrText>
      </w:r>
      <w:r w:rsidR="00F371E4" w:rsidRPr="00FC010D">
        <w:rPr>
          <w:sz w:val="17"/>
          <w:szCs w:val="17"/>
        </w:rPr>
        <w:fldChar w:fldCharType="separate"/>
      </w:r>
      <w:r w:rsidR="00531DB4" w:rsidRPr="00FC010D">
        <w:rPr>
          <w:rFonts w:ascii="Arial" w:cs="Arial"/>
          <w:sz w:val="17"/>
          <w:szCs w:val="17"/>
          <w:lang w:val="en-GB"/>
        </w:rPr>
        <w:t xml:space="preserve">Jim M. Bowler and others, ‘The Moyjil Site, South-West Victoria, Australia: Fire and Environment in a 120,000-Year Coastal Midden — Nature or People?’, </w:t>
      </w:r>
      <w:r w:rsidR="00531DB4" w:rsidRPr="00FC010D">
        <w:rPr>
          <w:rFonts w:ascii="Arial" w:cs="Arial"/>
          <w:i/>
          <w:iCs/>
          <w:sz w:val="17"/>
          <w:szCs w:val="17"/>
          <w:lang w:val="en-GB"/>
        </w:rPr>
        <w:t>Proceedings of the Royal Society of Victoria</w:t>
      </w:r>
      <w:r w:rsidR="00531DB4" w:rsidRPr="00FC010D">
        <w:rPr>
          <w:rFonts w:ascii="Arial" w:cs="Arial"/>
          <w:sz w:val="17"/>
          <w:szCs w:val="17"/>
          <w:lang w:val="en-GB"/>
        </w:rPr>
        <w:t>, 130/2 (2019), 71–93</w:t>
      </w:r>
      <w:r w:rsidR="00D72634" w:rsidRPr="00FC010D">
        <w:rPr>
          <w:rFonts w:ascii="Arial" w:cs="Arial"/>
          <w:sz w:val="17"/>
          <w:szCs w:val="17"/>
          <w:lang w:val="en-GB"/>
        </w:rPr>
        <w:t>,</w:t>
      </w:r>
      <w:r w:rsidR="00531DB4" w:rsidRPr="00FC010D">
        <w:rPr>
          <w:rFonts w:ascii="Arial" w:cs="Arial"/>
          <w:sz w:val="17"/>
          <w:szCs w:val="17"/>
          <w:lang w:val="en-GB"/>
        </w:rPr>
        <w:t xml:space="preserve"> https://www.publish.csiro.au/rs/rs18007</w:t>
      </w:r>
      <w:r w:rsidR="00D72634" w:rsidRPr="00FC010D">
        <w:rPr>
          <w:rFonts w:ascii="Arial" w:cs="Arial"/>
          <w:sz w:val="17"/>
          <w:szCs w:val="17"/>
          <w:lang w:val="en-GB"/>
        </w:rPr>
        <w:t>,</w:t>
      </w:r>
      <w:r w:rsidR="00531DB4" w:rsidRPr="00FC010D">
        <w:rPr>
          <w:rFonts w:ascii="Arial" w:cs="Arial"/>
          <w:sz w:val="17"/>
          <w:szCs w:val="17"/>
          <w:lang w:val="en-GB"/>
        </w:rPr>
        <w:t xml:space="preserve"> accessed 7 August 2021.</w:t>
      </w:r>
      <w:r w:rsidR="00F371E4" w:rsidRPr="00FC010D">
        <w:rPr>
          <w:sz w:val="17"/>
          <w:szCs w:val="17"/>
        </w:rPr>
        <w:fldChar w:fldCharType="end"/>
      </w:r>
    </w:p>
  </w:footnote>
  <w:footnote w:id="3">
    <w:p w14:paraId="36F0C9D0" w14:textId="21FB4E0B" w:rsidR="0073721E" w:rsidRPr="00FC010D" w:rsidRDefault="0073721E">
      <w:pPr>
        <w:pStyle w:val="FootnoteText"/>
        <w:rPr>
          <w:sz w:val="17"/>
          <w:szCs w:val="17"/>
        </w:rPr>
      </w:pPr>
      <w:r w:rsidRPr="00FC010D">
        <w:rPr>
          <w:rStyle w:val="FootnoteReference"/>
          <w:sz w:val="17"/>
          <w:szCs w:val="17"/>
        </w:rPr>
        <w:footnoteRef/>
      </w:r>
      <w:r w:rsidRPr="00FC010D">
        <w:rPr>
          <w:sz w:val="17"/>
          <w:szCs w:val="17"/>
        </w:rPr>
        <w:t xml:space="preserve"> </w:t>
      </w:r>
      <w:r w:rsidR="0028178B" w:rsidRPr="00FC010D">
        <w:rPr>
          <w:sz w:val="17"/>
          <w:szCs w:val="17"/>
        </w:rPr>
        <w:fldChar w:fldCharType="begin"/>
      </w:r>
      <w:r w:rsidR="00531DB4" w:rsidRPr="00FC010D">
        <w:rPr>
          <w:sz w:val="17"/>
          <w:szCs w:val="17"/>
        </w:rPr>
        <w:instrText xml:space="preserve"> ADDIN ZOTERO_ITEM CSL_CITATION {"citationID":"ikuafSp3","properties":{"formattedCitation":"Norman Hermant, \\uc0\\u8216{}Centrelink Rejected Mandy\\uc0\\u8217{}s Case for a Disability Pension Twice, Then She Fought Back\\uc0\\u8217{}, {\\i{}ABC News}, 11 September 2019 &lt;https://www.abc.net.au/news/2019-09-12/disability-support-pension-applicants-diverted-to-newstart/11486164&gt; [accessed 7 August 2021].","plainCitation":"Norman Hermant, ‘Centrelink Rejected Mandy’s Case for a Disability Pension Twice, Then She Fought Back’, ABC News, 11 September 2019 &lt;https://www.abc.net.au/news/2019-09-12/disability-support-pension-applicants-diverted-to-newstart/11486164&gt; [accessed 7 August 2021].","noteIndex":2},"citationItems":[{"id":606,"uris":["http://zotero.org/groups/4280303/items/E93GK5RW"],"uri":["http://zotero.org/groups/4280303/items/E93GK5RW"],"itemData":{"id":606,"type":"article-newspaper","abstract":"A record number of people with complex disabilities and illnesses are surviving on Newstart payments after being denied the more generous disability support pension.","container-title":"ABC News","language":"en-AU","source":"www.abc.net.au","title":"Centrelink rejected Mandy's case for a disability pension twice, then she fought back","URL":"https://www.abc.net.au/news/2019-09-12/disability-support-pension-applicants-diverted-to-newstart/11486164","author":[{"family":"Hermant","given":"Norman"}],"accessed":{"date-parts":[["2021",8,7]]},"issued":{"date-parts":[["2019",9,11]]}}}],"schema":"https://github.com/citation-style-language/schema/raw/master/csl-citation.json"} </w:instrText>
      </w:r>
      <w:r w:rsidR="0028178B" w:rsidRPr="00FC010D">
        <w:rPr>
          <w:sz w:val="17"/>
          <w:szCs w:val="17"/>
        </w:rPr>
        <w:fldChar w:fldCharType="separate"/>
      </w:r>
      <w:r w:rsidR="00531DB4" w:rsidRPr="00FC010D">
        <w:rPr>
          <w:rFonts w:ascii="Arial" w:cs="Arial"/>
          <w:sz w:val="17"/>
          <w:szCs w:val="17"/>
          <w:lang w:val="en-GB"/>
        </w:rPr>
        <w:t xml:space="preserve">Norman Hermant, ‘Centrelink Rejected Mandy’s Case for a Disability Pension Twice, Then She Fought Back’, </w:t>
      </w:r>
      <w:r w:rsidR="00531DB4" w:rsidRPr="00FC010D">
        <w:rPr>
          <w:rFonts w:ascii="Arial" w:cs="Arial"/>
          <w:i/>
          <w:iCs/>
          <w:sz w:val="17"/>
          <w:szCs w:val="17"/>
          <w:lang w:val="en-GB"/>
        </w:rPr>
        <w:t>ABC News</w:t>
      </w:r>
      <w:r w:rsidR="00531DB4" w:rsidRPr="00FC010D">
        <w:rPr>
          <w:rFonts w:ascii="Arial" w:cs="Arial"/>
          <w:sz w:val="17"/>
          <w:szCs w:val="17"/>
          <w:lang w:val="en-GB"/>
        </w:rPr>
        <w:t>, 11 September 2019</w:t>
      </w:r>
      <w:r w:rsidR="00D72634" w:rsidRPr="00FC010D">
        <w:rPr>
          <w:rFonts w:ascii="Arial" w:cs="Arial"/>
          <w:sz w:val="17"/>
          <w:szCs w:val="17"/>
          <w:lang w:val="en-GB"/>
        </w:rPr>
        <w:t>,</w:t>
      </w:r>
      <w:r w:rsidR="00531DB4" w:rsidRPr="00FC010D">
        <w:rPr>
          <w:rFonts w:ascii="Arial" w:cs="Arial"/>
          <w:sz w:val="17"/>
          <w:szCs w:val="17"/>
          <w:lang w:val="en-GB"/>
        </w:rPr>
        <w:t xml:space="preserve"> https://www.abc.net.au/news/2019-09-12/disability-support-pension-applicants-diverted-to-newstart/11486164</w:t>
      </w:r>
      <w:r w:rsidR="00D72634" w:rsidRPr="00FC010D">
        <w:rPr>
          <w:rFonts w:ascii="Arial" w:cs="Arial"/>
          <w:sz w:val="17"/>
          <w:szCs w:val="17"/>
          <w:lang w:val="en-GB"/>
        </w:rPr>
        <w:t>,</w:t>
      </w:r>
      <w:r w:rsidR="00531DB4" w:rsidRPr="00FC010D">
        <w:rPr>
          <w:rFonts w:ascii="Arial" w:cs="Arial"/>
          <w:sz w:val="17"/>
          <w:szCs w:val="17"/>
          <w:lang w:val="en-GB"/>
        </w:rPr>
        <w:t xml:space="preserve"> accessed 7 August 2021.</w:t>
      </w:r>
      <w:r w:rsidR="0028178B" w:rsidRPr="00FC010D">
        <w:rPr>
          <w:sz w:val="17"/>
          <w:szCs w:val="17"/>
        </w:rPr>
        <w:fldChar w:fldCharType="end"/>
      </w:r>
    </w:p>
  </w:footnote>
  <w:footnote w:id="4">
    <w:p w14:paraId="09060E34" w14:textId="1F7916A6" w:rsidR="00E96EF5" w:rsidRPr="00FC010D" w:rsidRDefault="00E96EF5">
      <w:pPr>
        <w:pStyle w:val="FootnoteText"/>
        <w:rPr>
          <w:sz w:val="17"/>
          <w:szCs w:val="17"/>
        </w:rPr>
      </w:pPr>
      <w:r w:rsidRPr="00FC010D">
        <w:rPr>
          <w:rStyle w:val="FootnoteReference"/>
          <w:sz w:val="17"/>
          <w:szCs w:val="17"/>
        </w:rPr>
        <w:footnoteRef/>
      </w:r>
      <w:r w:rsidRPr="00FC010D">
        <w:rPr>
          <w:sz w:val="17"/>
          <w:szCs w:val="17"/>
        </w:rPr>
        <w:t xml:space="preserve"> </w:t>
      </w:r>
      <w:r w:rsidRPr="00FC010D">
        <w:rPr>
          <w:sz w:val="17"/>
          <w:szCs w:val="17"/>
        </w:rPr>
        <w:fldChar w:fldCharType="begin"/>
      </w:r>
      <w:r w:rsidR="00531DB4" w:rsidRPr="00FC010D">
        <w:rPr>
          <w:sz w:val="17"/>
          <w:szCs w:val="17"/>
        </w:rPr>
        <w:instrText xml:space="preserve"> ADDIN ZOTERO_ITEM CSL_CITATION {"citationID":"o4No8jgy","properties":{"formattedCitation":"Parliamentary Budget Office, {\\i{}JobSeeker Payment: Understanding Economic and Policy Trends Affecting Commonwealth Expenditure} (Canberra, 30 September 2020), Australia &lt;https://www.aph.gov.au/About_Parliament/Parliamentary_Departments/Parliamentary_Budget_Office/Publications/Research_reports/JobSeeker_Payment&gt; [accessed 8 August 2021].","plainCitation":"Parliamentary Budget Office, JobSeeker Payment: Understanding Economic and Policy Trends Affecting Commonwealth Expenditure (Canberra, 30 September 2020), Australia &lt;https://www.aph.gov.au/About_Parliament/Parliamentary_Departments/Parliamentary_Budget_Office/Publications/Research_reports/JobSeeker_Payment&gt; [accessed 8 August 2021].","noteIndex":3},"citationItems":[{"id":614,"uris":["http://zotero.org/groups/4280303/items/HFLMZUVN"],"uri":["http://zotero.org/groups/4280303/items/HFLMZUVN"],"itemData":{"id":614,"type":"report","abstract":"JobSeeker Payment: Understanding economic and policy trends affecting Commonwealth expenditure","event-place":"Canberra","language":"en-AU","note":"archive_location: Australia\nLast Modified: 2021-04-27\npublisher: corporateName=Commonwealth Parliament; address=Parliament House, Canberra, ACT, 2600; contact=+61 2 6277 7111","number":"03/2020","publisher":"Parliamentary Budget Office","publisher-place":"Canberra","title":"JobSeeker Payment: Understanding economic and policy trends affecting Commonwealth expenditure","title-short":"JobSeeker Payment","URL":"https://www.aph.gov.au/About_Parliament/Parliamentary_Departments/Parliamentary_Budget_Office/Publications/Research_reports/JobSeeker_Payment","author":[{"family":"Parliamentary Budget Office","given":""}],"accessed":{"date-parts":[["2021",8,8]]},"issued":{"date-parts":[["2020",9,30]]}}}],"schema":"https://github.com/citation-style-language/schema/raw/master/csl-citation.json"} </w:instrText>
      </w:r>
      <w:r w:rsidRPr="00FC010D">
        <w:rPr>
          <w:sz w:val="17"/>
          <w:szCs w:val="17"/>
        </w:rPr>
        <w:fldChar w:fldCharType="separate"/>
      </w:r>
      <w:r w:rsidR="00531DB4" w:rsidRPr="00FC010D">
        <w:rPr>
          <w:rFonts w:ascii="Arial" w:cs="Arial"/>
          <w:sz w:val="17"/>
          <w:szCs w:val="17"/>
          <w:lang w:val="en-GB"/>
        </w:rPr>
        <w:t xml:space="preserve">Parliamentary Budget Office, </w:t>
      </w:r>
      <w:r w:rsidR="00531DB4" w:rsidRPr="00FC010D">
        <w:rPr>
          <w:rFonts w:ascii="Arial" w:cs="Arial"/>
          <w:i/>
          <w:iCs/>
          <w:sz w:val="17"/>
          <w:szCs w:val="17"/>
          <w:lang w:val="en-GB"/>
        </w:rPr>
        <w:t>JobSeeker Payment: Understanding Economic and Policy Trends Affecting Commonwealth Expenditure</w:t>
      </w:r>
      <w:r w:rsidR="00531DB4" w:rsidRPr="00FC010D">
        <w:rPr>
          <w:rFonts w:ascii="Arial" w:cs="Arial"/>
          <w:sz w:val="17"/>
          <w:szCs w:val="17"/>
          <w:lang w:val="en-GB"/>
        </w:rPr>
        <w:t xml:space="preserve">, 30 September 2020, </w:t>
      </w:r>
      <w:r w:rsidR="00A0104D" w:rsidRPr="00FC010D">
        <w:rPr>
          <w:rFonts w:ascii="Arial" w:cs="Arial"/>
          <w:sz w:val="17"/>
          <w:szCs w:val="17"/>
          <w:lang w:val="en-GB"/>
        </w:rPr>
        <w:t xml:space="preserve">Canberra, </w:t>
      </w:r>
      <w:r w:rsidR="00531DB4" w:rsidRPr="00FC010D">
        <w:rPr>
          <w:rFonts w:ascii="Arial" w:cs="Arial"/>
          <w:sz w:val="17"/>
          <w:szCs w:val="17"/>
          <w:lang w:val="en-GB"/>
        </w:rPr>
        <w:t>https://www.aph.gov.au/About_Parliament/Parliamentary_Departments/Parliamentary_Budget_Office/Publications/Research_reports/JobSeeker_Payment</w:t>
      </w:r>
      <w:r w:rsidR="0086030A" w:rsidRPr="00FC010D">
        <w:rPr>
          <w:rFonts w:ascii="Arial" w:cs="Arial"/>
          <w:sz w:val="17"/>
          <w:szCs w:val="17"/>
          <w:lang w:val="en-GB"/>
        </w:rPr>
        <w:t>,</w:t>
      </w:r>
      <w:r w:rsidR="00531DB4" w:rsidRPr="00FC010D">
        <w:rPr>
          <w:rFonts w:ascii="Arial" w:cs="Arial"/>
          <w:sz w:val="17"/>
          <w:szCs w:val="17"/>
          <w:lang w:val="en-GB"/>
        </w:rPr>
        <w:t xml:space="preserve"> accessed 8 August 2021.</w:t>
      </w:r>
      <w:r w:rsidRPr="00FC010D">
        <w:rPr>
          <w:sz w:val="17"/>
          <w:szCs w:val="17"/>
        </w:rPr>
        <w:fldChar w:fldCharType="end"/>
      </w:r>
    </w:p>
  </w:footnote>
  <w:footnote w:id="5">
    <w:p w14:paraId="279871A6" w14:textId="6DC2D011" w:rsidR="00A0313D" w:rsidRPr="00FC010D" w:rsidRDefault="004A3A6E">
      <w:pPr>
        <w:pStyle w:val="FootnoteText"/>
        <w:rPr>
          <w:sz w:val="17"/>
          <w:szCs w:val="17"/>
        </w:rPr>
      </w:pPr>
      <w:r w:rsidRPr="00FC010D">
        <w:rPr>
          <w:rStyle w:val="FootnoteReference"/>
          <w:sz w:val="17"/>
          <w:szCs w:val="17"/>
        </w:rPr>
        <w:footnoteRef/>
      </w:r>
      <w:r w:rsidRPr="00FC010D">
        <w:rPr>
          <w:sz w:val="17"/>
          <w:szCs w:val="17"/>
        </w:rPr>
        <w:t xml:space="preserve"> </w:t>
      </w:r>
      <w:r w:rsidR="00A0313D" w:rsidRPr="00FC010D">
        <w:rPr>
          <w:sz w:val="17"/>
          <w:szCs w:val="17"/>
        </w:rPr>
        <w:fldChar w:fldCharType="begin"/>
      </w:r>
      <w:r w:rsidR="00393552" w:rsidRPr="00FC010D">
        <w:rPr>
          <w:sz w:val="17"/>
          <w:szCs w:val="17"/>
        </w:rPr>
        <w:instrText xml:space="preserve"> ADDIN ZOTERO_ITEM CSL_CITATION {"citationID":"Gs7XYrGu","properties":{"formattedCitation":"Hermant, \\uc0\\u8216{}Centrelink Rejected Mandy\\uc0\\u8217{}s Case for a Disability Pension Twice, Then She Fought Back\\uc0\\u8217{}.","plainCitation":"Hermant, ‘Centrelink Rejected Mandy’s Case for a Disability Pension Twice, Then She Fought Back’.","noteIndex":4},"citationItems":[{"id":606,"uris":["http://zotero.org/groups/4280303/items/E93GK5RW"],"uri":["http://zotero.org/groups/4280303/items/E93GK5RW"],"itemData":{"id":606,"type":"article-newspaper","abstract":"A record number of people with complex disabilities and illnesses are surviving on Newstart payments after being denied the more generous disability support pension.","container-title":"ABC News","language":"en-AU","source":"www.abc.net.au","title":"Centrelink rejected Mandy's case for a disability pension twice, then she fought back","URL":"https://www.abc.net.au/news/2019-09-12/disability-support-pension-applicants-diverted-to-newstart/11486164","author":[{"family":"Hermant","given":"Norman"}],"accessed":{"date-parts":[["2021",8,7]]},"issued":{"date-parts":[["2019",9,11]]}}}],"schema":"https://github.com/citation-style-language/schema/raw/master/csl-citation.json"} </w:instrText>
      </w:r>
      <w:r w:rsidR="00A0313D" w:rsidRPr="00FC010D">
        <w:rPr>
          <w:sz w:val="17"/>
          <w:szCs w:val="17"/>
        </w:rPr>
        <w:fldChar w:fldCharType="separate"/>
      </w:r>
      <w:r w:rsidR="00531DB4" w:rsidRPr="00FC010D">
        <w:rPr>
          <w:rFonts w:ascii="Arial" w:cs="Arial"/>
          <w:sz w:val="17"/>
          <w:szCs w:val="17"/>
          <w:lang w:val="en-GB"/>
        </w:rPr>
        <w:t>Hermant, ‘Centrelink Rejected Mandy’s Case for a Disability Pension Twice, Then She Fought Back’.</w:t>
      </w:r>
      <w:r w:rsidR="00A0313D" w:rsidRPr="00FC010D">
        <w:rPr>
          <w:sz w:val="17"/>
          <w:szCs w:val="17"/>
        </w:rPr>
        <w:fldChar w:fldCharType="end"/>
      </w:r>
    </w:p>
  </w:footnote>
  <w:footnote w:id="6">
    <w:p w14:paraId="68C06F44" w14:textId="6282886F" w:rsidR="00712D79" w:rsidRPr="00FC010D" w:rsidRDefault="00712D79">
      <w:pPr>
        <w:pStyle w:val="FootnoteText"/>
        <w:rPr>
          <w:sz w:val="17"/>
          <w:szCs w:val="17"/>
        </w:rPr>
      </w:pPr>
      <w:r w:rsidRPr="00FC010D">
        <w:rPr>
          <w:rStyle w:val="FootnoteReference"/>
          <w:sz w:val="17"/>
          <w:szCs w:val="17"/>
        </w:rPr>
        <w:footnoteRef/>
      </w:r>
      <w:r w:rsidRPr="00FC010D">
        <w:rPr>
          <w:sz w:val="17"/>
          <w:szCs w:val="17"/>
        </w:rPr>
        <w:t xml:space="preserve"> </w:t>
      </w:r>
      <w:r w:rsidRPr="00FC010D">
        <w:rPr>
          <w:sz w:val="17"/>
          <w:szCs w:val="17"/>
        </w:rPr>
        <w:fldChar w:fldCharType="begin"/>
      </w:r>
      <w:r w:rsidR="00531DB4" w:rsidRPr="00FC010D">
        <w:rPr>
          <w:sz w:val="17"/>
          <w:szCs w:val="17"/>
        </w:rPr>
        <w:instrText xml:space="preserve"> ADDIN ZOTERO_ITEM CSL_CITATION {"citationID":"sEVUoA77","properties":{"formattedCitation":"Parliamentary Budget Office, {\\i{}JobSeeker Payment}.","plainCitation":"Parliamentary Budget Office, JobSeeker Payment.","noteIndex":5},"citationItems":[{"id":614,"uris":["http://zotero.org/groups/4280303/items/HFLMZUVN"],"uri":["http://zotero.org/groups/4280303/items/HFLMZUVN"],"itemData":{"id":614,"type":"report","abstract":"JobSeeker Payment: Understanding economic and policy trends affecting Commonwealth expenditure","event-place":"Canberra","language":"en-AU","note":"archive_location: Australia\nLast Modified: 2021-04-27\npublisher: corporateName=Commonwealth Parliament; address=Parliament House, Canberra, ACT, 2600; contact=+61 2 6277 7111","number":"03/2020","publisher":"Parliamentary Budget Office","publisher-place":"Canberra","title":"JobSeeker Payment: Understanding economic and policy trends affecting Commonwealth expenditure","title-short":"JobSeeker Payment","URL":"https://www.aph.gov.au/About_Parliament/Parliamentary_Departments/Parliamentary_Budget_Office/Publications/Research_reports/JobSeeker_Payment","author":[{"family":"Parliamentary Budget Office","given":""}],"accessed":{"date-parts":[["2021",8,8]]},"issued":{"date-parts":[["2020",9,30]]}}}],"schema":"https://github.com/citation-style-language/schema/raw/master/csl-citation.json"} </w:instrText>
      </w:r>
      <w:r w:rsidRPr="00FC010D">
        <w:rPr>
          <w:sz w:val="17"/>
          <w:szCs w:val="17"/>
        </w:rPr>
        <w:fldChar w:fldCharType="separate"/>
      </w:r>
      <w:r w:rsidR="00531DB4" w:rsidRPr="00FC010D">
        <w:rPr>
          <w:rFonts w:ascii="Arial" w:cs="Arial"/>
          <w:sz w:val="17"/>
          <w:szCs w:val="17"/>
          <w:lang w:val="en-GB"/>
        </w:rPr>
        <w:t xml:space="preserve">Parliamentary Budget Office, </w:t>
      </w:r>
      <w:r w:rsidR="00531DB4" w:rsidRPr="00FC010D">
        <w:rPr>
          <w:rFonts w:ascii="Arial" w:cs="Arial"/>
          <w:i/>
          <w:iCs/>
          <w:sz w:val="17"/>
          <w:szCs w:val="17"/>
          <w:lang w:val="en-GB"/>
        </w:rPr>
        <w:t>JobSeeker Payment</w:t>
      </w:r>
      <w:r w:rsidR="00531DB4" w:rsidRPr="00FC010D">
        <w:rPr>
          <w:rFonts w:ascii="Arial" w:cs="Arial"/>
          <w:sz w:val="17"/>
          <w:szCs w:val="17"/>
          <w:lang w:val="en-GB"/>
        </w:rPr>
        <w:t>.</w:t>
      </w:r>
      <w:r w:rsidRPr="00FC010D">
        <w:rPr>
          <w:sz w:val="17"/>
          <w:szCs w:val="17"/>
        </w:rPr>
        <w:fldChar w:fldCharType="end"/>
      </w:r>
    </w:p>
  </w:footnote>
  <w:footnote w:id="7">
    <w:p w14:paraId="42140199" w14:textId="3360192B" w:rsidR="007A177A" w:rsidRPr="00FC010D" w:rsidRDefault="007A177A" w:rsidP="007A177A">
      <w:pPr>
        <w:pStyle w:val="FootnoteText"/>
        <w:rPr>
          <w:sz w:val="17"/>
          <w:szCs w:val="17"/>
        </w:rPr>
      </w:pPr>
      <w:r w:rsidRPr="00FC010D">
        <w:rPr>
          <w:rStyle w:val="FootnoteReference"/>
          <w:sz w:val="17"/>
          <w:szCs w:val="17"/>
        </w:rPr>
        <w:footnoteRef/>
      </w:r>
      <w:r w:rsidR="004D7DC5" w:rsidRPr="00FC010D">
        <w:rPr>
          <w:sz w:val="17"/>
          <w:szCs w:val="17"/>
          <w:lang w:val="en-GB"/>
        </w:rPr>
        <w:t xml:space="preserve"> Department of Education Skills and Employment, ‘Caseload 2010-2011’ [dataset], </w:t>
      </w:r>
      <w:r w:rsidR="004D7DC5" w:rsidRPr="00FC010D">
        <w:rPr>
          <w:i/>
          <w:iCs/>
          <w:sz w:val="17"/>
          <w:szCs w:val="17"/>
          <w:lang w:val="en-GB"/>
        </w:rPr>
        <w:t>Job Services Australia Data,</w:t>
      </w:r>
      <w:r w:rsidR="004D7DC5" w:rsidRPr="00FC010D">
        <w:rPr>
          <w:sz w:val="17"/>
          <w:szCs w:val="17"/>
          <w:lang w:val="en-GB"/>
        </w:rPr>
        <w:t xml:space="preserve"> 13 July 2016, data.gov.au, Canberra, https://data.gov.au/data/dataset/job-services-australia-data, accessed 8 August 2021.</w:t>
      </w:r>
    </w:p>
  </w:footnote>
  <w:footnote w:id="8">
    <w:p w14:paraId="41ED7A5E" w14:textId="577D0636" w:rsidR="00FB561B" w:rsidRPr="00FC010D" w:rsidRDefault="00FB561B">
      <w:pPr>
        <w:pStyle w:val="FootnoteText"/>
        <w:rPr>
          <w:bCs/>
          <w:sz w:val="17"/>
          <w:szCs w:val="17"/>
        </w:rPr>
      </w:pPr>
      <w:r w:rsidRPr="00FC010D">
        <w:rPr>
          <w:rStyle w:val="FootnoteReference"/>
          <w:sz w:val="17"/>
          <w:szCs w:val="17"/>
        </w:rPr>
        <w:footnoteRef/>
      </w:r>
      <w:r w:rsidRPr="00FC010D">
        <w:rPr>
          <w:sz w:val="17"/>
          <w:szCs w:val="17"/>
        </w:rPr>
        <w:t xml:space="preserve"> </w:t>
      </w:r>
      <w:r w:rsidR="00351A9C" w:rsidRPr="00FC010D">
        <w:rPr>
          <w:sz w:val="17"/>
          <w:szCs w:val="17"/>
          <w:lang w:val="en-GB"/>
        </w:rPr>
        <w:t xml:space="preserve">Department of Education Skills and Employment, ‘jobactive and Transition to Work (TtW) Data - June 2021’ [dataset], </w:t>
      </w:r>
      <w:r w:rsidR="00351A9C" w:rsidRPr="00FC010D">
        <w:rPr>
          <w:i/>
          <w:iCs/>
          <w:sz w:val="17"/>
          <w:szCs w:val="17"/>
          <w:lang w:val="en-GB"/>
        </w:rPr>
        <w:t>jobactive and Transition to Work (TtW) Provider Caseload by Selected Cohorts</w:t>
      </w:r>
      <w:r w:rsidR="00351A9C" w:rsidRPr="00FC010D">
        <w:rPr>
          <w:sz w:val="17"/>
          <w:szCs w:val="17"/>
          <w:lang w:val="en-GB"/>
        </w:rPr>
        <w:t xml:space="preserve">, 4 August 2021, Labour Market Information Portal, Canberra, </w:t>
      </w:r>
      <w:r w:rsidR="00351A9C" w:rsidRPr="00FC010D">
        <w:rPr>
          <w:bCs/>
          <w:sz w:val="17"/>
          <w:szCs w:val="17"/>
          <w:lang w:val="en-GB"/>
        </w:rPr>
        <w:t>https://lmip.gov.au/default.aspx?LMIP/Downloads/EmploymentRegion, accessed 8 August 2021.</w:t>
      </w:r>
    </w:p>
  </w:footnote>
  <w:footnote w:id="9">
    <w:p w14:paraId="2AEA5F79" w14:textId="2C038782" w:rsidR="008828AA" w:rsidRPr="00FC010D" w:rsidRDefault="008828AA" w:rsidP="00E264BF">
      <w:pPr>
        <w:pStyle w:val="FootnoteText"/>
        <w:rPr>
          <w:sz w:val="17"/>
          <w:szCs w:val="17"/>
        </w:rPr>
      </w:pPr>
      <w:r w:rsidRPr="00FC010D">
        <w:rPr>
          <w:rStyle w:val="FootnoteReference"/>
          <w:sz w:val="17"/>
          <w:szCs w:val="17"/>
        </w:rPr>
        <w:footnoteRef/>
      </w:r>
      <w:r w:rsidRPr="00FC010D">
        <w:rPr>
          <w:sz w:val="17"/>
          <w:szCs w:val="17"/>
        </w:rPr>
        <w:t xml:space="preserve"> </w:t>
      </w:r>
      <w:r w:rsidR="00E264BF" w:rsidRPr="00FC010D">
        <w:rPr>
          <w:sz w:val="17"/>
          <w:szCs w:val="17"/>
          <w:lang w:val="en-GB"/>
        </w:rPr>
        <w:t xml:space="preserve">Department of Social Services, ‘DES Data 30 June 2021’ [dataset], </w:t>
      </w:r>
      <w:r w:rsidR="00E264BF" w:rsidRPr="00FC010D">
        <w:rPr>
          <w:i/>
          <w:iCs/>
          <w:sz w:val="17"/>
          <w:szCs w:val="17"/>
          <w:lang w:val="en-GB"/>
        </w:rPr>
        <w:t>DES Monthly Data</w:t>
      </w:r>
      <w:r w:rsidR="00E264BF" w:rsidRPr="00FC010D">
        <w:rPr>
          <w:sz w:val="17"/>
          <w:szCs w:val="17"/>
          <w:lang w:val="en-GB"/>
        </w:rPr>
        <w:t xml:space="preserve">, 6 July 2021, Labour Market Information Portal, Canberra, </w:t>
      </w:r>
      <w:r w:rsidR="00E264BF" w:rsidRPr="00FC010D">
        <w:rPr>
          <w:bCs/>
          <w:sz w:val="17"/>
          <w:szCs w:val="17"/>
          <w:lang w:val="en-GB"/>
        </w:rPr>
        <w:t xml:space="preserve">https://lmip.gov.au/default.aspx?LMIP/Downloads/DisabilityEmploymentServicesData/MonthlyData, </w:t>
      </w:r>
      <w:r w:rsidR="00E264BF" w:rsidRPr="00FC010D">
        <w:rPr>
          <w:sz w:val="17"/>
          <w:szCs w:val="17"/>
          <w:lang w:val="en-GB"/>
        </w:rPr>
        <w:t>accessed 8 August 2021</w:t>
      </w:r>
      <w:r w:rsidRPr="00FC010D">
        <w:rPr>
          <w:sz w:val="17"/>
          <w:szCs w:val="17"/>
        </w:rPr>
        <w:t>.</w:t>
      </w:r>
    </w:p>
  </w:footnote>
  <w:footnote w:id="10">
    <w:p w14:paraId="5DDD6CE2" w14:textId="74711D2F" w:rsidR="004D7AF9" w:rsidRPr="00FC010D" w:rsidRDefault="004D7AF9">
      <w:pPr>
        <w:pStyle w:val="FootnoteText"/>
        <w:rPr>
          <w:sz w:val="17"/>
          <w:szCs w:val="17"/>
        </w:rPr>
      </w:pPr>
      <w:r w:rsidRPr="00FC010D">
        <w:rPr>
          <w:rStyle w:val="FootnoteReference"/>
          <w:sz w:val="17"/>
          <w:szCs w:val="17"/>
        </w:rPr>
        <w:footnoteRef/>
      </w:r>
      <w:r w:rsidRPr="00FC010D">
        <w:rPr>
          <w:sz w:val="17"/>
          <w:szCs w:val="17"/>
        </w:rPr>
        <w:t xml:space="preserve"> </w:t>
      </w:r>
      <w:r w:rsidR="0093700D" w:rsidRPr="00FC010D">
        <w:rPr>
          <w:sz w:val="17"/>
          <w:szCs w:val="17"/>
        </w:rPr>
        <w:fldChar w:fldCharType="begin"/>
      </w:r>
      <w:r w:rsidR="0093700D" w:rsidRPr="00FC010D">
        <w:rPr>
          <w:sz w:val="17"/>
          <w:szCs w:val="17"/>
        </w:rPr>
        <w:instrText xml:space="preserve"> ADDIN ZOTERO_ITEM CSL_CITATION {"citationID":"uEvibNQG","properties":{"formattedCitation":"Royal Commission into Violence, Abuse, Neglect and Exploitation of People with Disability, {\\i{}Issues Paper: Overview of Responses to the Employment Issues Paper} (Canberra, March 2021) &lt;https://disability.royalcommission.gov.au/publications/employment&gt; [accessed 8 August 2021].","plainCitation":"Royal Commission into Violence, Abuse, Neglect and Exploitation of People with Disability, Issues Paper: Overview of Responses to the Employment Issues Paper (Canberra, March 2021) &lt;https://disability.royalcommission.gov.au/publications/employment&gt; [accessed 8 August 2021].","noteIndex":9},"citationItems":[{"id":628,"uris":["http://zotero.org/groups/4280303/items/VZN8U46W"],"uri":["http://zotero.org/groups/4280303/items/VZN8U46W"],"itemData":{"id":628,"type":"report","abstract":"Our latest issues paper is looking at the experiences of people with disability in employment.","event-place":"Canberra","genre":"Issues paper","language":"en","publisher":"Royal Commission into Violence, Abuse, Neglect and Exploitation of People with Disability","publisher-place":"Canberra","title":"Issues paper: Overview of responses to the Employment issues paper","URL":"https://disability.royalcommission.gov.au/publications/employment","author":[{"family":"Royal Commission into Violence, Abuse, Neglect and Exploitation of People with Disability","given":""}],"accessed":{"date-parts":[["2021",8,8]]},"issued":{"date-parts":[["2021",3]]}}}],"schema":"https://github.com/citation-style-language/schema/raw/master/csl-citation.json"} </w:instrText>
      </w:r>
      <w:r w:rsidR="0093700D" w:rsidRPr="00FC010D">
        <w:rPr>
          <w:sz w:val="17"/>
          <w:szCs w:val="17"/>
        </w:rPr>
        <w:fldChar w:fldCharType="separate"/>
      </w:r>
      <w:r w:rsidR="0093700D" w:rsidRPr="00FC010D">
        <w:rPr>
          <w:rFonts w:ascii="Arial" w:cs="Arial"/>
          <w:sz w:val="17"/>
          <w:szCs w:val="17"/>
          <w:lang w:val="en-GB"/>
        </w:rPr>
        <w:t xml:space="preserve">Royal Commission into Violence, Abuse, Neglect and Exploitation of People with Disability, </w:t>
      </w:r>
      <w:r w:rsidR="0093700D" w:rsidRPr="00FC010D">
        <w:rPr>
          <w:rFonts w:ascii="Arial" w:cs="Arial"/>
          <w:i/>
          <w:iCs/>
          <w:sz w:val="17"/>
          <w:szCs w:val="17"/>
          <w:lang w:val="en-GB"/>
        </w:rPr>
        <w:t>Issues Paper: Overview of Responses to the Employment Issues Paper</w:t>
      </w:r>
      <w:r w:rsidR="0093700D" w:rsidRPr="00FC010D">
        <w:rPr>
          <w:rFonts w:ascii="Arial" w:cs="Arial"/>
          <w:sz w:val="17"/>
          <w:szCs w:val="17"/>
          <w:lang w:val="en-GB"/>
        </w:rPr>
        <w:t>, March 2021, https://disability.royalcommission.gov.au/publications/employment, accessed 8 August 2021</w:t>
      </w:r>
      <w:r w:rsidR="0093700D" w:rsidRPr="00FC010D">
        <w:rPr>
          <w:sz w:val="17"/>
          <w:szCs w:val="17"/>
        </w:rPr>
        <w:fldChar w:fldCharType="end"/>
      </w:r>
      <w:r w:rsidR="00E74AC8">
        <w:rPr>
          <w:sz w:val="17"/>
          <w:szCs w:val="17"/>
        </w:rPr>
        <w:t xml:space="preserve"> See also</w:t>
      </w:r>
      <w:r w:rsidR="0093700D">
        <w:rPr>
          <w:sz w:val="17"/>
          <w:szCs w:val="17"/>
        </w:rPr>
        <w:t xml:space="preserve"> </w:t>
      </w:r>
      <w:r w:rsidR="0093700D" w:rsidRPr="00FC010D">
        <w:rPr>
          <w:sz w:val="17"/>
          <w:szCs w:val="17"/>
        </w:rPr>
        <w:fldChar w:fldCharType="begin"/>
      </w:r>
      <w:r w:rsidR="0093700D" w:rsidRPr="00FC010D">
        <w:rPr>
          <w:sz w:val="17"/>
          <w:szCs w:val="17"/>
        </w:rPr>
        <w:instrText xml:space="preserve"> ADDIN ZOTERO_ITEM CSL_CITATION {"citationID":"A5vIAKPK","properties":{"formattedCitation":"Ruud Gerards and Riccardo Welters, \\uc0\\u8216{}Does Eliminating Benefit Eligibility Requirements Improve Unemployed Job Search and Labour Market Outcomes?\\uc0\\u8217{}, {\\i{}Applied Economics Letters}, 2021, 1\\uc0\\u8211{}4 &lt;https://doi.org/10.1080/13504851.2021.1927960&gt; [accessed 28 May 2021].","plainCitation":"Ruud Gerards and Riccardo Welters, ‘Does Eliminating Benefit Eligibility Requirements Improve Unemployed Job Search and Labour Market Outcomes?’, Applied Economics Letters, 2021, 1–4 &lt;https://doi.org/10.1080/13504851.2021.1927960&gt; [accessed 28 May 2021].","noteIndex":10},"citationItems":[{"id":309,"uris":["http://zotero.org/groups/4000882/items/YHINCUHK"],"uri":["http://zotero.org/groups/4000882/items/YHINCUHK"],"itemData":{"id":309,"type":"article-journal","abstract":"Benefit eligibility requirements intend to incentivize the unemployed to find work more quickly. Our results, in an Australian context, suggest that those subjected to benefit eligibility requirements, despite searching at least as hard, take longer to find employment. Moreover, they spend less time in employment in the first twelve months and, if employed, have jobs with lower wages and fewer hours compared to otherwise similar unemployed without benefit eligibility requirements. Our findings are consistent with cognitive theories that emphasize that benefit eligibility requirements externalize job search motivation and increase stress, both of which reduce employment search effectiveness.","container-title":"Applied Economics Letters","DOI":"10.1080/13504851.2021.1927960","ISSN":"1350-4851","note":"publisher: Routledge\n_eprint: https://doi.org/10.1080/13504851.2021.1927960","page":"1-4","source":"Taylor and Francis+NEJM","title":"Does eliminating benefit eligibility requirements improve unemployed job search and labour market outcomes?","URL":"https://doi.org/10.1080/13504851.2021.1927960","author":[{"family":"Gerards","given":"Ruud"},{"family":"Welters","given":"Riccardo"}],"accessed":{"date-parts":[["2021",5,28]]},"issued":{"date-parts":[["2021",5,23]]}}}],"schema":"https://github.com/citation-style-language/schema/raw/master/csl-citation.json"} </w:instrText>
      </w:r>
      <w:r w:rsidR="0093700D" w:rsidRPr="00FC010D">
        <w:rPr>
          <w:sz w:val="17"/>
          <w:szCs w:val="17"/>
        </w:rPr>
        <w:fldChar w:fldCharType="separate"/>
      </w:r>
      <w:r w:rsidR="0093700D" w:rsidRPr="00FC010D">
        <w:rPr>
          <w:rFonts w:ascii="Arial" w:cs="Arial"/>
          <w:sz w:val="17"/>
          <w:szCs w:val="17"/>
          <w:lang w:val="en-GB"/>
        </w:rPr>
        <w:t xml:space="preserve">Ruud Gerards and Riccardo Welters, ‘Does Eliminating Benefit Eligibility Requirements Improve Unemployed Job Search and Labour Market Outcomes?’, </w:t>
      </w:r>
      <w:r w:rsidR="0093700D" w:rsidRPr="00FC010D">
        <w:rPr>
          <w:rFonts w:ascii="Arial" w:cs="Arial"/>
          <w:i/>
          <w:iCs/>
          <w:sz w:val="17"/>
          <w:szCs w:val="17"/>
          <w:lang w:val="en-GB"/>
        </w:rPr>
        <w:t>Applied Economics Letters</w:t>
      </w:r>
      <w:r w:rsidR="0093700D" w:rsidRPr="00FC010D">
        <w:rPr>
          <w:rFonts w:ascii="Arial" w:cs="Arial"/>
          <w:sz w:val="17"/>
          <w:szCs w:val="17"/>
          <w:lang w:val="en-GB"/>
        </w:rPr>
        <w:t>, 2021, 1–4 https://doi.org/10.1080/13504851.2021.1927960, accessed 28 May 2021.</w:t>
      </w:r>
      <w:r w:rsidR="0093700D" w:rsidRPr="00FC010D">
        <w:rPr>
          <w:sz w:val="17"/>
          <w:szCs w:val="17"/>
        </w:rPr>
        <w:fldChar w:fldCharType="end"/>
      </w:r>
    </w:p>
  </w:footnote>
  <w:footnote w:id="11">
    <w:p w14:paraId="5C6A1AE9" w14:textId="7EF579F3" w:rsidR="00CA5FEB" w:rsidRPr="00FC010D" w:rsidRDefault="00CA5FEB">
      <w:pPr>
        <w:pStyle w:val="FootnoteText"/>
        <w:rPr>
          <w:sz w:val="17"/>
          <w:szCs w:val="17"/>
        </w:rPr>
      </w:pPr>
      <w:r w:rsidRPr="00FC010D">
        <w:rPr>
          <w:rStyle w:val="FootnoteReference"/>
          <w:sz w:val="17"/>
          <w:szCs w:val="17"/>
        </w:rPr>
        <w:footnoteRef/>
      </w:r>
      <w:r w:rsidRPr="00FC010D">
        <w:rPr>
          <w:sz w:val="17"/>
          <w:szCs w:val="17"/>
        </w:rPr>
        <w:t xml:space="preserve"> </w:t>
      </w:r>
      <w:r w:rsidRPr="00FC010D">
        <w:rPr>
          <w:sz w:val="17"/>
          <w:szCs w:val="17"/>
        </w:rPr>
        <w:fldChar w:fldCharType="begin"/>
      </w:r>
      <w:r w:rsidR="00531DB4" w:rsidRPr="00FC010D">
        <w:rPr>
          <w:sz w:val="17"/>
          <w:szCs w:val="17"/>
        </w:rPr>
        <w:instrText xml:space="preserve"> ADDIN ZOTERO_ITEM CSL_CITATION {"citationID":"ncVuEROi","properties":{"formattedCitation":"Parliamentary Budget Office, {\\i{}JobSeeker Payment}.","plainCitation":"Parliamentary Budget Office, JobSeeker Payment.","noteIndex":11},"citationItems":[{"id":614,"uris":["http://zotero.org/groups/4280303/items/HFLMZUVN"],"uri":["http://zotero.org/groups/4280303/items/HFLMZUVN"],"itemData":{"id":614,"type":"report","abstract":"JobSeeker Payment: Understanding economic and policy trends affecting Commonwealth expenditure","event-place":"Canberra","language":"en-AU","note":"archive_location: Australia\nLast Modified: 2021-04-27\npublisher: corporateName=Commonwealth Parliament; address=Parliament House, Canberra, ACT, 2600; contact=+61 2 6277 7111","number":"03/2020","publisher":"Parliamentary Budget Office","publisher-place":"Canberra","title":"JobSeeker Payment: Understanding economic and policy trends affecting Commonwealth expenditure","title-short":"JobSeeker Payment","URL":"https://www.aph.gov.au/About_Parliament/Parliamentary_Departments/Parliamentary_Budget_Office/Publications/Research_reports/JobSeeker_Payment","author":[{"family":"Parliamentary Budget Office","given":""}],"accessed":{"date-parts":[["2021",8,8]]},"issued":{"date-parts":[["2020",9,30]]}}}],"schema":"https://github.com/citation-style-language/schema/raw/master/csl-citation.json"} </w:instrText>
      </w:r>
      <w:r w:rsidRPr="00FC010D">
        <w:rPr>
          <w:sz w:val="17"/>
          <w:szCs w:val="17"/>
        </w:rPr>
        <w:fldChar w:fldCharType="separate"/>
      </w:r>
      <w:r w:rsidR="00531DB4" w:rsidRPr="00FC010D">
        <w:rPr>
          <w:rFonts w:ascii="Arial" w:cs="Arial"/>
          <w:sz w:val="17"/>
          <w:szCs w:val="17"/>
          <w:lang w:val="en-GB"/>
        </w:rPr>
        <w:t xml:space="preserve">Parliamentary Budget Office, </w:t>
      </w:r>
      <w:r w:rsidR="00531DB4" w:rsidRPr="00FC010D">
        <w:rPr>
          <w:rFonts w:ascii="Arial" w:cs="Arial"/>
          <w:i/>
          <w:iCs/>
          <w:sz w:val="17"/>
          <w:szCs w:val="17"/>
          <w:lang w:val="en-GB"/>
        </w:rPr>
        <w:t>JobSeeker Payment</w:t>
      </w:r>
      <w:r w:rsidR="00531DB4" w:rsidRPr="00FC010D">
        <w:rPr>
          <w:rFonts w:ascii="Arial" w:cs="Arial"/>
          <w:sz w:val="17"/>
          <w:szCs w:val="17"/>
          <w:lang w:val="en-GB"/>
        </w:rPr>
        <w:t>.</w:t>
      </w:r>
      <w:r w:rsidRPr="00FC010D">
        <w:rPr>
          <w:sz w:val="17"/>
          <w:szCs w:val="17"/>
        </w:rPr>
        <w:fldChar w:fldCharType="end"/>
      </w:r>
    </w:p>
  </w:footnote>
  <w:footnote w:id="12">
    <w:p w14:paraId="73B9F0ED" w14:textId="2EA59E63" w:rsidR="00D0740F" w:rsidRPr="00FC010D" w:rsidRDefault="00D0740F">
      <w:pPr>
        <w:pStyle w:val="FootnoteText"/>
        <w:rPr>
          <w:sz w:val="17"/>
          <w:szCs w:val="17"/>
        </w:rPr>
      </w:pPr>
      <w:r w:rsidRPr="00FC010D">
        <w:rPr>
          <w:rStyle w:val="FootnoteReference"/>
          <w:sz w:val="17"/>
          <w:szCs w:val="17"/>
        </w:rPr>
        <w:footnoteRef/>
      </w:r>
      <w:r w:rsidRPr="00FC010D">
        <w:rPr>
          <w:sz w:val="17"/>
          <w:szCs w:val="17"/>
        </w:rPr>
        <w:t xml:space="preserve"> </w:t>
      </w:r>
      <w:r w:rsidR="005B71E2" w:rsidRPr="00FC010D">
        <w:rPr>
          <w:sz w:val="17"/>
          <w:szCs w:val="17"/>
          <w:lang w:val="en-GB"/>
        </w:rPr>
        <w:t xml:space="preserve">Office of The Hon Jenny Macklin MP, Minister for Disability Reform, </w:t>
      </w:r>
      <w:r w:rsidR="005B71E2" w:rsidRPr="00FC010D">
        <w:rPr>
          <w:i/>
          <w:iCs/>
          <w:sz w:val="17"/>
          <w:szCs w:val="17"/>
          <w:lang w:val="en-GB"/>
        </w:rPr>
        <w:t>Updated Impairment Tables for Disability Support Pensioners</w:t>
      </w:r>
      <w:r w:rsidR="005B71E2" w:rsidRPr="00FC010D">
        <w:rPr>
          <w:sz w:val="17"/>
          <w:szCs w:val="17"/>
          <w:lang w:val="en-GB"/>
        </w:rPr>
        <w:t xml:space="preserve"> [media release], 1 January 2012, Australian Government, </w:t>
      </w:r>
      <w:r w:rsidR="00126C3F" w:rsidRPr="00FC010D">
        <w:rPr>
          <w:sz w:val="17"/>
          <w:szCs w:val="17"/>
          <w:lang w:val="en-GB"/>
        </w:rPr>
        <w:t xml:space="preserve">Canberra, </w:t>
      </w:r>
      <w:r w:rsidR="005B71E2" w:rsidRPr="00FC010D">
        <w:rPr>
          <w:bCs/>
          <w:sz w:val="17"/>
          <w:szCs w:val="17"/>
          <w:lang w:val="en-GB"/>
        </w:rPr>
        <w:t>https://formerministers.dss.gov.au/13610/updated-impairment-tables-for-disability-support-pensioners/,</w:t>
      </w:r>
      <w:r w:rsidR="005B71E2" w:rsidRPr="00FC010D">
        <w:rPr>
          <w:sz w:val="17"/>
          <w:szCs w:val="17"/>
          <w:lang w:val="en-GB"/>
        </w:rPr>
        <w:t xml:space="preserve"> accessed 8 August 2021</w:t>
      </w:r>
      <w:r w:rsidRPr="00FC010D">
        <w:rPr>
          <w:sz w:val="17"/>
          <w:szCs w:val="17"/>
          <w:lang w:val="en-GB"/>
        </w:rPr>
        <w:t>.</w:t>
      </w:r>
    </w:p>
  </w:footnote>
  <w:footnote w:id="13">
    <w:p w14:paraId="6C8A92AC" w14:textId="77777777" w:rsidR="00B61F7C" w:rsidRPr="00FC010D" w:rsidRDefault="00B61F7C" w:rsidP="00B61F7C">
      <w:pPr>
        <w:pStyle w:val="FootnoteText"/>
        <w:rPr>
          <w:sz w:val="17"/>
          <w:szCs w:val="17"/>
        </w:rPr>
      </w:pPr>
      <w:r w:rsidRPr="00FC010D">
        <w:rPr>
          <w:rStyle w:val="FootnoteReference"/>
          <w:sz w:val="17"/>
          <w:szCs w:val="17"/>
        </w:rPr>
        <w:footnoteRef/>
      </w:r>
      <w:r w:rsidRPr="00FC010D">
        <w:rPr>
          <w:sz w:val="17"/>
          <w:szCs w:val="17"/>
        </w:rPr>
        <w:t xml:space="preserve"> Dale Daniels and others, </w:t>
      </w:r>
      <w:r w:rsidRPr="00FC010D">
        <w:rPr>
          <w:i/>
          <w:iCs/>
          <w:sz w:val="17"/>
          <w:szCs w:val="17"/>
        </w:rPr>
        <w:t>Social Security and Other Legislation Amendment Bill 2011</w:t>
      </w:r>
      <w:r w:rsidRPr="00FC010D">
        <w:rPr>
          <w:sz w:val="17"/>
          <w:szCs w:val="17"/>
        </w:rPr>
        <w:t>, Bills Digest no. 37 2011–12, 23 August 2011, Parliamentary Library, Canberra, https://www.aph.gov.au/Parliamentary_Business/Bills_Legislation/bd/bd1112a/12bd037#_ftn2, accessed 8 August 2021.</w:t>
      </w:r>
    </w:p>
  </w:footnote>
  <w:footnote w:id="14">
    <w:p w14:paraId="65EE1673" w14:textId="275396BA" w:rsidR="00FC0194" w:rsidRPr="00FC010D" w:rsidRDefault="00FC0194">
      <w:pPr>
        <w:pStyle w:val="FootnoteText"/>
        <w:rPr>
          <w:sz w:val="17"/>
          <w:szCs w:val="17"/>
        </w:rPr>
      </w:pPr>
      <w:r w:rsidRPr="00FC010D">
        <w:rPr>
          <w:rStyle w:val="FootnoteReference"/>
          <w:sz w:val="17"/>
          <w:szCs w:val="17"/>
        </w:rPr>
        <w:footnoteRef/>
      </w:r>
      <w:r w:rsidRPr="00FC010D">
        <w:rPr>
          <w:sz w:val="17"/>
          <w:szCs w:val="17"/>
        </w:rPr>
        <w:t xml:space="preserve"> </w:t>
      </w:r>
      <w:r w:rsidRPr="00FC010D">
        <w:rPr>
          <w:sz w:val="17"/>
          <w:szCs w:val="17"/>
        </w:rPr>
        <w:fldChar w:fldCharType="begin"/>
      </w:r>
      <w:r w:rsidR="00531DB4" w:rsidRPr="00FC010D">
        <w:rPr>
          <w:sz w:val="17"/>
          <w:szCs w:val="17"/>
        </w:rPr>
        <w:instrText xml:space="preserve"> ADDIN ZOTERO_ITEM CSL_CITATION {"citationID":"FABdZnwM","properties":{"formattedCitation":"Don Arthur, {\\i{}JobSeeker Payment: A Quick Guide}, Research Paper Series, 2019\\uc0\\u8211{}20 (Canberra, 13 March 2020), Australia &lt;https://www.aph.gov.au/About_Parliament/Parliamentary_Departments/Parliamentary_Library/pubs/rp/rp1920/Quick_Guides/JobSeekerPayment&gt; [accessed 8 August 2021].","plainCitation":"Don Arthur, JobSeeker Payment: A Quick Guide, Research Paper Series, 2019–20 (Canberra, 13 March 2020), Australia &lt;https://www.aph.gov.au/About_Parliament/Parliamentary_Departments/Parliamentary_Library/pubs/rp/rp1920/Quick_Guides/JobSeekerPayment&gt; [accessed 8 August 2021].","noteIndex":13},"citationItems":[{"id":634,"uris":["http://zotero.org/groups/4280303/items/M9Q8LET4"],"uri":["http://zotero.org/groups/4280303/items/M9Q8LET4"],"itemData":{"id":634,"type":"report","abstract":"JobSeeker Payment: a quick guide","collection-title":"Research Paper Series, 2019–20","event-place":"Canberra","genre":"text","language":"en-AU","note":"archive_location: Australia\nLast Modified: 2020-06-16\npublisher: corporateName=Commonwealth Parliament; address=Parliament House, Canberra, ACT, 2600; contact=+61 2 6277 7111","publisher":"Parliamentary Library","publisher-place":"Canberra","title":"JobSeeker Payment: a quick guide","title-short":"JobSeeker Payment","URL":"https://www.aph.gov.au/About_Parliament/Parliamentary_Departments/Parliamentary_Library/pubs/rp/rp1920/Quick_Guides/JobSeekerPayment","author":[{"family":"Arthur","given":"Don"}],"accessed":{"date-parts":[["2021",8,8]]},"issued":{"date-parts":[["2020",3,13]]}}}],"schema":"https://github.com/citation-style-language/schema/raw/master/csl-citation.json"} </w:instrText>
      </w:r>
      <w:r w:rsidRPr="00FC010D">
        <w:rPr>
          <w:sz w:val="17"/>
          <w:szCs w:val="17"/>
        </w:rPr>
        <w:fldChar w:fldCharType="separate"/>
      </w:r>
      <w:r w:rsidR="00531DB4" w:rsidRPr="00FC010D">
        <w:rPr>
          <w:rFonts w:ascii="Arial" w:cs="Arial"/>
          <w:sz w:val="17"/>
          <w:szCs w:val="17"/>
          <w:lang w:val="en-GB"/>
        </w:rPr>
        <w:t xml:space="preserve">Don Arthur, </w:t>
      </w:r>
      <w:r w:rsidR="00531DB4" w:rsidRPr="00FC010D">
        <w:rPr>
          <w:rFonts w:ascii="Arial" w:cs="Arial"/>
          <w:i/>
          <w:iCs/>
          <w:sz w:val="17"/>
          <w:szCs w:val="17"/>
          <w:lang w:val="en-GB"/>
        </w:rPr>
        <w:t>JobSeeker Payment: A Quick Guide</w:t>
      </w:r>
      <w:r w:rsidR="00531DB4" w:rsidRPr="00FC010D">
        <w:rPr>
          <w:rFonts w:ascii="Arial" w:cs="Arial"/>
          <w:sz w:val="17"/>
          <w:szCs w:val="17"/>
          <w:lang w:val="en-GB"/>
        </w:rPr>
        <w:t>, Research Paper Series, 2019–20, 13 March 2020,</w:t>
      </w:r>
      <w:r w:rsidR="00126C3F" w:rsidRPr="00FC010D">
        <w:rPr>
          <w:rFonts w:ascii="Arial" w:cs="Arial"/>
          <w:sz w:val="17"/>
          <w:szCs w:val="17"/>
          <w:lang w:val="en-GB"/>
        </w:rPr>
        <w:t xml:space="preserve"> </w:t>
      </w:r>
      <w:r w:rsidR="005B71E2" w:rsidRPr="00FC010D">
        <w:rPr>
          <w:rFonts w:ascii="Arial" w:cs="Arial"/>
          <w:sz w:val="17"/>
          <w:szCs w:val="17"/>
          <w:lang w:val="en-GB"/>
        </w:rPr>
        <w:t>Parliamentary Library</w:t>
      </w:r>
      <w:r w:rsidR="00126C3F" w:rsidRPr="00FC010D">
        <w:rPr>
          <w:rFonts w:ascii="Arial" w:cs="Arial"/>
          <w:sz w:val="17"/>
          <w:szCs w:val="17"/>
          <w:lang w:val="en-GB"/>
        </w:rPr>
        <w:t>, Canberra</w:t>
      </w:r>
      <w:r w:rsidR="005B71E2" w:rsidRPr="00FC010D">
        <w:rPr>
          <w:rFonts w:ascii="Arial" w:cs="Arial"/>
          <w:sz w:val="17"/>
          <w:szCs w:val="17"/>
          <w:lang w:val="en-GB"/>
        </w:rPr>
        <w:t xml:space="preserve">, </w:t>
      </w:r>
      <w:r w:rsidR="00531DB4" w:rsidRPr="00FC010D">
        <w:rPr>
          <w:rFonts w:ascii="Arial" w:cs="Arial"/>
          <w:sz w:val="17"/>
          <w:szCs w:val="17"/>
          <w:lang w:val="en-GB"/>
        </w:rPr>
        <w:t>https://www.aph.gov.au/About_Parliament/Parliamentary_Departments/Parliamentary_Library/pubs/rp/rp1920/Quick_Guides/JobSeekerPayment</w:t>
      </w:r>
      <w:r w:rsidR="00B17776" w:rsidRPr="00FC010D">
        <w:rPr>
          <w:rFonts w:ascii="Arial" w:cs="Arial"/>
          <w:sz w:val="17"/>
          <w:szCs w:val="17"/>
          <w:lang w:val="en-GB"/>
        </w:rPr>
        <w:t xml:space="preserve">, </w:t>
      </w:r>
      <w:r w:rsidR="00531DB4" w:rsidRPr="00FC010D">
        <w:rPr>
          <w:rFonts w:ascii="Arial" w:cs="Arial"/>
          <w:sz w:val="17"/>
          <w:szCs w:val="17"/>
          <w:lang w:val="en-GB"/>
        </w:rPr>
        <w:t>accessed 8 August 2021.</w:t>
      </w:r>
      <w:r w:rsidRPr="00FC010D">
        <w:rPr>
          <w:sz w:val="17"/>
          <w:szCs w:val="17"/>
        </w:rPr>
        <w:fldChar w:fldCharType="end"/>
      </w:r>
    </w:p>
  </w:footnote>
  <w:footnote w:id="15">
    <w:p w14:paraId="5FB91B08" w14:textId="37EE9A35" w:rsidR="009519FB" w:rsidRPr="00FC010D" w:rsidRDefault="009519FB">
      <w:pPr>
        <w:pStyle w:val="FootnoteText"/>
        <w:rPr>
          <w:sz w:val="17"/>
          <w:szCs w:val="17"/>
        </w:rPr>
      </w:pPr>
      <w:r w:rsidRPr="00FC010D">
        <w:rPr>
          <w:rStyle w:val="FootnoteReference"/>
          <w:sz w:val="17"/>
          <w:szCs w:val="17"/>
        </w:rPr>
        <w:footnoteRef/>
      </w:r>
      <w:r w:rsidRPr="00FC010D">
        <w:rPr>
          <w:sz w:val="17"/>
          <w:szCs w:val="17"/>
        </w:rPr>
        <w:t xml:space="preserve"> </w:t>
      </w:r>
      <w:r w:rsidRPr="00FC010D">
        <w:rPr>
          <w:sz w:val="17"/>
          <w:szCs w:val="17"/>
        </w:rPr>
        <w:fldChar w:fldCharType="begin"/>
      </w:r>
      <w:r w:rsidR="00531DB4" w:rsidRPr="00FC010D">
        <w:rPr>
          <w:sz w:val="17"/>
          <w:szCs w:val="17"/>
        </w:rPr>
        <w:instrText xml:space="preserve"> ADDIN ZOTERO_ITEM CSL_CITATION {"citationID":"4lvKT3Hv","properties":{"formattedCitation":"Parliamentary Budget Office, {\\i{}Disability Support Pension \\uc0\\u8211{} Historical and Projected Trends} (Canberra, 20 February 2018), Australia &lt;https://www.aph.gov.au/About_Parliament/Parliamentary_Departments/Parliamentary_Budget_Office/Publications/Research_reports/Disability_support_pension_Historical_and_projected_trends&gt; [accessed 8 August 2021].","plainCitation":"Parliamentary Budget Office, Disability Support Pension – Historical and Projected Trends (Canberra, 20 February 2018), Australia &lt;https://www.aph.gov.au/About_Parliament/Parliamentary_Departments/Parliamentary_Budget_Office/Publications/Research_reports/Disability_support_pension_Historical_and_projected_trends&gt; [accessed 8 August 2021].","noteIndex":14},"citationItems":[{"id":637,"uris":["http://zotero.org/groups/4280303/items/P3ED85EY"],"uri":["http://zotero.org/groups/4280303/items/P3ED85EY"],"itemData":{"id":637,"type":"report","abstract":"The Disability Support Pension (DSP) represents a large component of social security spending for the Australian government.  This report examines the factors underlying the recent decline in DSP expenditure, highlighting the impacts of changes in government policy.  It uses analysis of historical trends to update projections of DSP expenditure over the next decade.  The report also examines a number of DSP expenditure projection scenarios over the medium term.","event-place":"Canberra","genre":"text","language":"en-AU","note":"archive_location: Australia\nLast Modified: 2021-04-27\npublisher: corporateName=Commonwealth Parliament; address=Parliament House, Canberra, ACT, 2600; contact=+61 2 6277 7111","number":"01/2018","publisher":"Parliamentary Budget Office","publisher-place":"Canberra","title":"Disability Support Pension – Historical and projected trends","URL":"https://www.aph.gov.au/About_Parliament/Parliamentary_Departments/Parliamentary_Budget_Office/Publications/Research_reports/Disability_support_pension_Historical_and_projected_trends","author":[{"family":"Parliamentary Budget Office","given":""}],"accessed":{"date-parts":[["2021",8,8]]},"issued":{"date-parts":[["2018",2,20]]}}}],"schema":"https://github.com/citation-style-language/schema/raw/master/csl-citation.json"} </w:instrText>
      </w:r>
      <w:r w:rsidRPr="00FC010D">
        <w:rPr>
          <w:sz w:val="17"/>
          <w:szCs w:val="17"/>
        </w:rPr>
        <w:fldChar w:fldCharType="separate"/>
      </w:r>
      <w:r w:rsidR="00531DB4" w:rsidRPr="00FC010D">
        <w:rPr>
          <w:rFonts w:ascii="Arial" w:cs="Arial"/>
          <w:sz w:val="17"/>
          <w:szCs w:val="17"/>
          <w:lang w:val="en-GB"/>
        </w:rPr>
        <w:t xml:space="preserve">Parliamentary Budget Office, </w:t>
      </w:r>
      <w:r w:rsidR="00531DB4" w:rsidRPr="00FC010D">
        <w:rPr>
          <w:rFonts w:ascii="Arial" w:cs="Arial"/>
          <w:i/>
          <w:iCs/>
          <w:sz w:val="17"/>
          <w:szCs w:val="17"/>
          <w:lang w:val="en-GB"/>
        </w:rPr>
        <w:t>Disability Support Pension – Historical and Projected Trends</w:t>
      </w:r>
      <w:r w:rsidR="00531DB4" w:rsidRPr="00FC010D">
        <w:rPr>
          <w:rFonts w:ascii="Arial" w:cs="Arial"/>
          <w:sz w:val="17"/>
          <w:szCs w:val="17"/>
          <w:lang w:val="en-GB"/>
        </w:rPr>
        <w:t xml:space="preserve">, 20 February 2018) </w:t>
      </w:r>
      <w:r w:rsidR="00286092" w:rsidRPr="00FC010D">
        <w:rPr>
          <w:rFonts w:ascii="Arial" w:cs="Arial"/>
          <w:sz w:val="17"/>
          <w:szCs w:val="17"/>
          <w:lang w:val="en-GB"/>
        </w:rPr>
        <w:t xml:space="preserve">Canberra, </w:t>
      </w:r>
      <w:r w:rsidR="00531DB4" w:rsidRPr="00FC010D">
        <w:rPr>
          <w:rFonts w:ascii="Arial" w:cs="Arial"/>
          <w:sz w:val="17"/>
          <w:szCs w:val="17"/>
          <w:lang w:val="en-GB"/>
        </w:rPr>
        <w:t>https://www.aph.gov.au/About_Parliament/Parliamentary_Departments/Parliamentary_Budget_Office/Publications/Research_reports/Disability_support_pension_Historical_and_projected_trends</w:t>
      </w:r>
      <w:r w:rsidR="00286092" w:rsidRPr="00FC010D">
        <w:rPr>
          <w:rFonts w:ascii="Arial" w:cs="Arial"/>
          <w:sz w:val="17"/>
          <w:szCs w:val="17"/>
          <w:lang w:val="en-GB"/>
        </w:rPr>
        <w:t xml:space="preserve">, </w:t>
      </w:r>
      <w:r w:rsidR="00531DB4" w:rsidRPr="00FC010D">
        <w:rPr>
          <w:rFonts w:ascii="Arial" w:cs="Arial"/>
          <w:sz w:val="17"/>
          <w:szCs w:val="17"/>
          <w:lang w:val="en-GB"/>
        </w:rPr>
        <w:t>accessed 8 August 2021.</w:t>
      </w:r>
      <w:r w:rsidRPr="00FC010D">
        <w:rPr>
          <w:sz w:val="17"/>
          <w:szCs w:val="17"/>
        </w:rPr>
        <w:fldChar w:fldCharType="end"/>
      </w:r>
    </w:p>
  </w:footnote>
  <w:footnote w:id="16">
    <w:p w14:paraId="3548533A" w14:textId="5F906557" w:rsidR="00032DDD" w:rsidRPr="00FC010D" w:rsidRDefault="00032DDD">
      <w:pPr>
        <w:pStyle w:val="FootnoteText"/>
        <w:rPr>
          <w:sz w:val="17"/>
          <w:szCs w:val="17"/>
        </w:rPr>
      </w:pPr>
      <w:r w:rsidRPr="00FC010D">
        <w:rPr>
          <w:rStyle w:val="FootnoteReference"/>
          <w:sz w:val="17"/>
          <w:szCs w:val="17"/>
        </w:rPr>
        <w:footnoteRef/>
      </w:r>
      <w:r w:rsidRPr="00FC010D">
        <w:rPr>
          <w:sz w:val="17"/>
          <w:szCs w:val="17"/>
        </w:rPr>
        <w:t xml:space="preserve"> </w:t>
      </w:r>
      <w:r w:rsidRPr="00FC010D">
        <w:rPr>
          <w:sz w:val="17"/>
          <w:szCs w:val="17"/>
        </w:rPr>
        <w:fldChar w:fldCharType="begin"/>
      </w:r>
      <w:r w:rsidR="00531DB4" w:rsidRPr="00FC010D">
        <w:rPr>
          <w:sz w:val="17"/>
          <w:szCs w:val="17"/>
        </w:rPr>
        <w:instrText xml:space="preserve"> ADDIN ZOTERO_ITEM CSL_CITATION {"citationID":"6LdX1GPW","properties":{"formattedCitation":"Department of Social Services, {\\i{}Disability Support Pension (DSP) Impairment Tables Review \\uc0\\u8211{} Issues Paper} (Canberra, May 2021) &lt;https://engage.dss.gov.au/review-of-the-disability-support-pension-dsp-impairment-tables/disability-support-pension-dsp-impairment-tables-review-issues-paper/&gt; [accessed 8 August 2021].","plainCitation":"Department of Social Services, Disability Support Pension (DSP) Impairment Tables Review – Issues Paper (Canberra, May 2021) &lt;https://engage.dss.gov.au/review-of-the-disability-support-pension-dsp-impairment-tables/disability-support-pension-dsp-impairment-tables-review-issues-paper/&gt; [accessed 8 August 2021].","noteIndex":15},"citationItems":[{"id":640,"uris":["http://zotero.org/groups/4280303/items/IXDGJ52N"],"uri":["http://zotero.org/groups/4280303/items/IXDGJ52N"],"itemData":{"id":640,"type":"report","abstract":"The Impairment Tables Review Issues Paper aims to prompt discussion and feedback on the legislative instrument containing the Impairment Tables used to assess DSP claims.\n\nThe Issues Paper gives background to the review and issues that have been previously raised. The Paper is one part of the consultation process. Formal participation in the review process can be done through the guided questionnaire on the engage website, or by sending a written submission to the department.","event-place":"Canberra","genre":"Issues paper","number":"DSS 2511","publisher":"Department of Social Services","publisher-place":"Canberra","title":"Disability Support Pension (DSP) Impairment Tables Review – Issues Paper","URL":"https://engage.dss.gov.au/review-of-the-disability-support-pension-dsp-impairment-tables/disability-support-pension-dsp-impairment-tables-review-issues-paper/","author":[{"family":"Department of Social Services","given":""}],"accessed":{"date-parts":[["2021",8,8]]},"issued":{"date-parts":[["2021",5]]}}}],"schema":"https://github.com/citation-style-language/schema/raw/master/csl-citation.json"} </w:instrText>
      </w:r>
      <w:r w:rsidRPr="00FC010D">
        <w:rPr>
          <w:sz w:val="17"/>
          <w:szCs w:val="17"/>
        </w:rPr>
        <w:fldChar w:fldCharType="separate"/>
      </w:r>
      <w:r w:rsidR="00531DB4" w:rsidRPr="00FC010D">
        <w:rPr>
          <w:rFonts w:ascii="Arial" w:cs="Arial"/>
          <w:sz w:val="17"/>
          <w:szCs w:val="17"/>
          <w:lang w:val="en-GB"/>
        </w:rPr>
        <w:t xml:space="preserve">Department of Social Services, </w:t>
      </w:r>
      <w:r w:rsidR="00531DB4" w:rsidRPr="00FC010D">
        <w:rPr>
          <w:rFonts w:ascii="Arial" w:cs="Arial"/>
          <w:i/>
          <w:iCs/>
          <w:sz w:val="17"/>
          <w:szCs w:val="17"/>
          <w:lang w:val="en-GB"/>
        </w:rPr>
        <w:t xml:space="preserve">Disability Support Pension (DSP) Impairment Tables Review – Issues </w:t>
      </w:r>
      <w:r w:rsidR="00531DB4" w:rsidRPr="00FC010D">
        <w:rPr>
          <w:rFonts w:ascii="Arial" w:cs="Arial"/>
          <w:sz w:val="17"/>
          <w:szCs w:val="17"/>
          <w:lang w:val="en-GB"/>
        </w:rPr>
        <w:t>https://engage.dss.gov.au/review-of-the-disability-support-pension-dsp-impairment-tables/disability-support-pension-dsp-impairment-tables-review-issues-paper/</w:t>
      </w:r>
      <w:r w:rsidR="00150871" w:rsidRPr="00FC010D">
        <w:rPr>
          <w:rFonts w:ascii="Arial" w:cs="Arial"/>
          <w:sz w:val="17"/>
          <w:szCs w:val="17"/>
          <w:lang w:val="en-GB"/>
        </w:rPr>
        <w:t xml:space="preserve">, </w:t>
      </w:r>
      <w:r w:rsidR="00531DB4" w:rsidRPr="00FC010D">
        <w:rPr>
          <w:rFonts w:ascii="Arial" w:cs="Arial"/>
          <w:sz w:val="17"/>
          <w:szCs w:val="17"/>
          <w:lang w:val="en-GB"/>
        </w:rPr>
        <w:t>accessed 8 August 2021.</w:t>
      </w:r>
      <w:r w:rsidRPr="00FC010D">
        <w:rPr>
          <w:sz w:val="17"/>
          <w:szCs w:val="17"/>
        </w:rPr>
        <w:fldChar w:fldCharType="end"/>
      </w:r>
    </w:p>
  </w:footnote>
  <w:footnote w:id="17">
    <w:p w14:paraId="16EBAA71" w14:textId="3E6B75D1" w:rsidR="00735851" w:rsidRPr="00FC010D" w:rsidRDefault="00735851">
      <w:pPr>
        <w:pStyle w:val="FootnoteText"/>
        <w:rPr>
          <w:sz w:val="17"/>
          <w:szCs w:val="17"/>
        </w:rPr>
      </w:pPr>
      <w:r w:rsidRPr="00FC010D">
        <w:rPr>
          <w:rStyle w:val="FootnoteReference"/>
          <w:sz w:val="17"/>
          <w:szCs w:val="17"/>
        </w:rPr>
        <w:footnoteRef/>
      </w:r>
      <w:r w:rsidRPr="00FC010D">
        <w:rPr>
          <w:sz w:val="17"/>
          <w:szCs w:val="17"/>
        </w:rPr>
        <w:t xml:space="preserve"> </w:t>
      </w:r>
      <w:r w:rsidRPr="00FC010D">
        <w:rPr>
          <w:sz w:val="17"/>
          <w:szCs w:val="17"/>
        </w:rPr>
        <w:fldChar w:fldCharType="begin"/>
      </w:r>
      <w:r w:rsidR="00531DB4" w:rsidRPr="00FC010D">
        <w:rPr>
          <w:sz w:val="17"/>
          <w:szCs w:val="17"/>
        </w:rPr>
        <w:instrText xml:space="preserve"> ADDIN ZOTERO_ITEM CSL_CITATION {"citationID":"ROXgfuPv","properties":{"formattedCitation":"Kate Finch, {\\i{}Social Services and Other Legislation Amendment (2014 Budget Measures No. 1) Bill 2014 and Social Services and Other Legislation Amendment (2014 Budget Measures No. 2) Bill 2014} (Sydney, July 2014) &lt;https://pwd.org.au/resources/library/submissions/submission-archive-2014/&gt; [accessed 8 August 2021].","plainCitation":"Kate Finch, Social Services and Other Legislation Amendment (2014 Budget Measures No. 1) Bill 2014 and Social Services and Other Legislation Amendment (2014 Budget Measures No. 2) Bill 2014 (Sydney, July 2014) &lt;https://pwd.org.au/resources/library/submissions/submission-archive-2014/&gt; [accessed 8 August 2021].","noteIndex":16},"citationItems":[{"id":643,"uris":["http://zotero.org/groups/4280303/items/HD9SUPZX"],"uri":["http://zotero.org/groups/4280303/items/HD9SUPZX"],"itemData":{"id":643,"type":"report","abstract":"Nearly one in two people with disability in Australia already live in or near poverty. Throughout this submission PWDA explains how measures implemented through this budget will impact disproportionately on those already suffering financial hardship, compounded by the numerous systemic and societal barriers people with disability face every day.","event-place":"Sydney","genre":"Parliamentary submission","language":"en-AU","publisher":"People with Disability Australia","publisher-place":"Sydney","title":"Social Services and Other Legislation Amendment (2014 Budget Measures No. 1) Bill 2014 and Social Services and Other Legislation Amendment (2014 Budget Measures No. 2) Bill 2014","URL":"https://pwd.org.au/resources/library/submissions/submission-archive-2014/","author":[{"family":"Finch","given":"Kate"}],"accessed":{"date-parts":[["2021",8,8]]},"issued":{"date-parts":[["2014",7]]}}}],"schema":"https://github.com/citation-style-language/schema/raw/master/csl-citation.json"} </w:instrText>
      </w:r>
      <w:r w:rsidRPr="00FC010D">
        <w:rPr>
          <w:sz w:val="17"/>
          <w:szCs w:val="17"/>
        </w:rPr>
        <w:fldChar w:fldCharType="separate"/>
      </w:r>
      <w:r w:rsidR="00531DB4" w:rsidRPr="00FC010D">
        <w:rPr>
          <w:rFonts w:ascii="Arial" w:cs="Arial"/>
          <w:sz w:val="17"/>
          <w:szCs w:val="17"/>
          <w:lang w:val="en-GB"/>
        </w:rPr>
        <w:t xml:space="preserve">Kate Finch, </w:t>
      </w:r>
      <w:r w:rsidR="000D51BD" w:rsidRPr="000D51BD">
        <w:rPr>
          <w:rFonts w:ascii="Arial" w:cs="Arial"/>
          <w:sz w:val="17"/>
          <w:szCs w:val="17"/>
          <w:lang w:val="en-GB"/>
        </w:rPr>
        <w:t>Social Services and Other Legislation Amendment (2014 Budget Measures No. 1) Bill 2014 and Social Services and Other Legislation Amendment (2014 Budget Measures No. 2) Bill 2014</w:t>
      </w:r>
      <w:r w:rsidR="00C85DF1">
        <w:rPr>
          <w:rFonts w:ascii="Arial" w:cs="Arial"/>
          <w:sz w:val="17"/>
          <w:szCs w:val="17"/>
          <w:lang w:val="en-GB"/>
        </w:rPr>
        <w:t xml:space="preserve"> [submission]</w:t>
      </w:r>
      <w:r w:rsidR="000D51BD">
        <w:rPr>
          <w:rFonts w:ascii="Arial" w:cs="Arial"/>
          <w:sz w:val="17"/>
          <w:szCs w:val="17"/>
          <w:lang w:val="en-GB"/>
        </w:rPr>
        <w:t>,</w:t>
      </w:r>
      <w:r w:rsidR="00AF2AB6">
        <w:rPr>
          <w:rFonts w:ascii="Arial" w:cs="Arial"/>
          <w:sz w:val="17"/>
          <w:szCs w:val="17"/>
          <w:lang w:val="en-GB"/>
        </w:rPr>
        <w:t xml:space="preserve"> </w:t>
      </w:r>
      <w:r w:rsidR="00461E8D">
        <w:rPr>
          <w:rFonts w:ascii="Arial" w:cs="Arial"/>
          <w:sz w:val="17"/>
          <w:szCs w:val="17"/>
          <w:lang w:val="en-GB"/>
        </w:rPr>
        <w:t>July 2014, People with Disability Australia, Sydney,</w:t>
      </w:r>
      <w:r w:rsidR="00AF2AB6">
        <w:rPr>
          <w:rFonts w:ascii="Arial" w:cs="Arial"/>
          <w:sz w:val="17"/>
          <w:szCs w:val="17"/>
          <w:lang w:val="en-GB"/>
        </w:rPr>
        <w:t xml:space="preserve"> </w:t>
      </w:r>
      <w:r w:rsidR="00AF2AB6" w:rsidRPr="00AF2AB6">
        <w:rPr>
          <w:rFonts w:ascii="Arial" w:cs="Arial"/>
          <w:sz w:val="17"/>
          <w:szCs w:val="17"/>
          <w:lang w:val="en-GB"/>
        </w:rPr>
        <w:t>https://pwd.org.au/resources/library/submissions/submission-archive-2014/</w:t>
      </w:r>
      <w:r w:rsidR="00AF2AB6">
        <w:rPr>
          <w:rFonts w:ascii="Arial" w:cs="Arial"/>
          <w:sz w:val="17"/>
          <w:szCs w:val="17"/>
          <w:lang w:val="en-GB"/>
        </w:rPr>
        <w:t>,</w:t>
      </w:r>
      <w:r w:rsidR="000D51BD">
        <w:rPr>
          <w:rFonts w:ascii="Arial" w:cs="Arial"/>
          <w:sz w:val="17"/>
          <w:szCs w:val="17"/>
          <w:lang w:val="en-GB"/>
        </w:rPr>
        <w:t xml:space="preserve"> accessed</w:t>
      </w:r>
      <w:r w:rsidR="00531DB4" w:rsidRPr="00FC010D">
        <w:rPr>
          <w:rFonts w:ascii="Arial" w:cs="Arial"/>
          <w:sz w:val="17"/>
          <w:szCs w:val="17"/>
          <w:lang w:val="en-GB"/>
        </w:rPr>
        <w:t xml:space="preserve"> 8 August 2021</w:t>
      </w:r>
      <w:r w:rsidRPr="00FC010D">
        <w:rPr>
          <w:sz w:val="17"/>
          <w:szCs w:val="17"/>
        </w:rPr>
        <w:fldChar w:fldCharType="end"/>
      </w:r>
      <w:r w:rsidR="000D51BD">
        <w:rPr>
          <w:sz w:val="17"/>
          <w:szCs w:val="17"/>
        </w:rPr>
        <w:t>.</w:t>
      </w:r>
    </w:p>
  </w:footnote>
  <w:footnote w:id="18">
    <w:p w14:paraId="29C23D98" w14:textId="11B97139" w:rsidR="00331F49" w:rsidRPr="00FC010D" w:rsidRDefault="00331F49" w:rsidP="00331F49">
      <w:pPr>
        <w:pStyle w:val="FootnoteText"/>
        <w:rPr>
          <w:sz w:val="17"/>
          <w:szCs w:val="17"/>
        </w:rPr>
      </w:pPr>
      <w:r w:rsidRPr="00FC010D">
        <w:rPr>
          <w:rStyle w:val="FootnoteReference"/>
          <w:sz w:val="17"/>
          <w:szCs w:val="17"/>
        </w:rPr>
        <w:footnoteRef/>
      </w:r>
      <w:r w:rsidRPr="00FC010D">
        <w:rPr>
          <w:sz w:val="17"/>
          <w:szCs w:val="17"/>
        </w:rPr>
        <w:t xml:space="preserve"> </w:t>
      </w:r>
      <w:r w:rsidR="00691F69" w:rsidRPr="00FC010D">
        <w:rPr>
          <w:sz w:val="17"/>
          <w:szCs w:val="17"/>
          <w:lang w:val="en-GB"/>
        </w:rPr>
        <w:t>Department of Social Services</w:t>
      </w:r>
      <w:r w:rsidRPr="00FC010D">
        <w:rPr>
          <w:sz w:val="17"/>
          <w:szCs w:val="17"/>
        </w:rPr>
        <w:t xml:space="preserve">, </w:t>
      </w:r>
      <w:r w:rsidRPr="00FC010D">
        <w:rPr>
          <w:i/>
          <w:iCs/>
          <w:sz w:val="17"/>
          <w:szCs w:val="17"/>
        </w:rPr>
        <w:t>DES Monthly Data</w:t>
      </w:r>
      <w:r w:rsidR="00A41152" w:rsidRPr="00FC010D">
        <w:rPr>
          <w:sz w:val="17"/>
          <w:szCs w:val="17"/>
        </w:rPr>
        <w:t xml:space="preserve">; </w:t>
      </w:r>
      <w:r w:rsidR="00691F69" w:rsidRPr="00FC010D">
        <w:rPr>
          <w:sz w:val="17"/>
          <w:szCs w:val="17"/>
          <w:lang w:val="en-GB"/>
        </w:rPr>
        <w:t>Department of Education Skills and Employment</w:t>
      </w:r>
      <w:r w:rsidR="00A41152" w:rsidRPr="00FC010D">
        <w:rPr>
          <w:sz w:val="17"/>
          <w:szCs w:val="17"/>
        </w:rPr>
        <w:t xml:space="preserve">, </w:t>
      </w:r>
      <w:r w:rsidR="00A41152" w:rsidRPr="00FC010D">
        <w:rPr>
          <w:i/>
          <w:iCs/>
          <w:sz w:val="17"/>
          <w:szCs w:val="17"/>
        </w:rPr>
        <w:t>jobactive and Transition to Work (TtW) Provider Caseload</w:t>
      </w:r>
    </w:p>
  </w:footnote>
  <w:footnote w:id="19">
    <w:p w14:paraId="0FEA4F9C" w14:textId="09861C53" w:rsidR="00982C9B" w:rsidRPr="00FC010D" w:rsidRDefault="00982C9B">
      <w:pPr>
        <w:pStyle w:val="FootnoteText"/>
        <w:rPr>
          <w:sz w:val="17"/>
          <w:szCs w:val="17"/>
        </w:rPr>
      </w:pPr>
      <w:r w:rsidRPr="00FC010D">
        <w:rPr>
          <w:rStyle w:val="FootnoteReference"/>
          <w:sz w:val="17"/>
          <w:szCs w:val="17"/>
        </w:rPr>
        <w:footnoteRef/>
      </w:r>
      <w:r w:rsidRPr="00FC010D">
        <w:rPr>
          <w:sz w:val="17"/>
          <w:szCs w:val="17"/>
        </w:rPr>
        <w:t xml:space="preserve"> </w:t>
      </w:r>
      <w:r w:rsidRPr="00FC010D">
        <w:rPr>
          <w:sz w:val="17"/>
          <w:szCs w:val="17"/>
        </w:rPr>
        <w:fldChar w:fldCharType="begin"/>
      </w:r>
      <w:r w:rsidR="00531DB4" w:rsidRPr="00FC010D">
        <w:rPr>
          <w:sz w:val="17"/>
          <w:szCs w:val="17"/>
        </w:rPr>
        <w:instrText xml:space="preserve"> ADDIN ZOTERO_ITEM CSL_CITATION {"citationID":"TY9dglGr","properties":{"formattedCitation":"Gerards and Welters, \\uc0\\u8216{}Does Eliminating Benefit Eligibility Requirements Improve Unemployed Job Search and Labour Market Outcomes?\\uc0\\u8217{}, 1\\uc0\\u8211{}4.","plainCitation":"Gerards and Welters, ‘Does Eliminating Benefit Eligibility Requirements Improve Unemployed Job Search and Labour Market Outcomes?’, 1–4.","noteIndex":18},"citationItems":[{"id":309,"uris":["http://zotero.org/groups/4000882/items/YHINCUHK"],"uri":["http://zotero.org/groups/4000882/items/YHINCUHK"],"itemData":{"id":309,"type":"article-journal","abstract":"Benefit eligibility requirements intend to incentivize the unemployed to find work more quickly. Our results, in an Australian context, suggest that those subjected to benefit eligibility requirements, despite searching at least as hard, take longer to find employment. Moreover, they spend less time in employment in the first twelve months and, if employed, have jobs with lower wages and fewer hours compared to otherwise similar unemployed without benefit eligibility requirements. Our findings are consistent with cognitive theories that emphasize that benefit eligibility requirements externalize job search motivation and increase stress, both of which reduce employment search effectiveness.","container-title":"Applied Economics Letters","DOI":"10.1080/13504851.2021.1927960","ISSN":"1350-4851","note":"publisher: Routledge\n_eprint: https://doi.org/10.1080/13504851.2021.1927960","page":"1-4","source":"Taylor and Francis+NEJM","title":"Does eliminating benefit eligibility requirements improve unemployed job search and labour market outcomes?","URL":"https://doi.org/10.1080/13504851.2021.1927960","author":[{"family":"Gerards","given":"Ruud"},{"family":"Welters","given":"Riccardo"}],"accessed":{"date-parts":[["2021",5,28]]},"issued":{"date-parts":[["2021",5,23]]}}}],"schema":"https://github.com/citation-style-language/schema/raw/master/csl-citation.json"} </w:instrText>
      </w:r>
      <w:r w:rsidRPr="00FC010D">
        <w:rPr>
          <w:sz w:val="17"/>
          <w:szCs w:val="17"/>
        </w:rPr>
        <w:fldChar w:fldCharType="separate"/>
      </w:r>
      <w:r w:rsidR="00531DB4" w:rsidRPr="00FC010D">
        <w:rPr>
          <w:rFonts w:ascii="Arial" w:cs="Arial"/>
          <w:sz w:val="17"/>
          <w:szCs w:val="17"/>
          <w:lang w:val="en-GB"/>
        </w:rPr>
        <w:t>Gerards and Welters, ‘Does Eliminating Benefit Eligibility Requirements Improve Unemployed Job Search and Labour Market Outcomes?’, 1–4.</w:t>
      </w:r>
      <w:r w:rsidRPr="00FC010D">
        <w:rPr>
          <w:sz w:val="17"/>
          <w:szCs w:val="17"/>
        </w:rPr>
        <w:fldChar w:fldCharType="end"/>
      </w:r>
    </w:p>
  </w:footnote>
  <w:footnote w:id="20">
    <w:p w14:paraId="3DD02F97" w14:textId="41687C33" w:rsidR="001402CB" w:rsidRDefault="001402CB">
      <w:pPr>
        <w:pStyle w:val="FootnoteText"/>
      </w:pPr>
      <w:r w:rsidRPr="00FC010D">
        <w:rPr>
          <w:rStyle w:val="FootnoteReference"/>
          <w:sz w:val="17"/>
          <w:szCs w:val="17"/>
        </w:rPr>
        <w:footnoteRef/>
      </w:r>
      <w:r w:rsidRPr="00FC010D">
        <w:rPr>
          <w:sz w:val="17"/>
          <w:szCs w:val="17"/>
        </w:rPr>
        <w:t xml:space="preserve"> </w:t>
      </w:r>
      <w:r w:rsidR="003B0A39" w:rsidRPr="00FC010D">
        <w:rPr>
          <w:sz w:val="17"/>
          <w:szCs w:val="17"/>
        </w:rPr>
        <w:t xml:space="preserve">Explanatory Memorandum, </w:t>
      </w:r>
      <w:r w:rsidR="003B0A39" w:rsidRPr="00FC010D">
        <w:rPr>
          <w:i/>
          <w:iCs/>
          <w:sz w:val="17"/>
          <w:szCs w:val="17"/>
        </w:rPr>
        <w:t>Social Security and Other Legislation Amendment Bill 2011</w:t>
      </w:r>
      <w:r w:rsidR="007E235D" w:rsidRPr="00FC010D">
        <w:rPr>
          <w:sz w:val="17"/>
          <w:szCs w:val="17"/>
        </w:rPr>
        <w:t>,</w:t>
      </w:r>
      <w:r w:rsidRPr="00FC010D">
        <w:rPr>
          <w:sz w:val="17"/>
          <w:szCs w:val="17"/>
        </w:rPr>
        <w:t xml:space="preserve"> </w:t>
      </w:r>
      <w:r w:rsidR="006113C7" w:rsidRPr="00FC010D">
        <w:rPr>
          <w:sz w:val="17"/>
          <w:szCs w:val="17"/>
        </w:rPr>
        <w:t xml:space="preserve">https://www.aph.gov.au/Parliamentary_Business/Bills_Legislation/Bills_Search_Results/Result?bId=r4628, </w:t>
      </w:r>
      <w:r w:rsidR="0047385C" w:rsidRPr="00FC010D">
        <w:rPr>
          <w:sz w:val="17"/>
          <w:szCs w:val="17"/>
        </w:rPr>
        <w:t>accessed 8 August 2021</w:t>
      </w:r>
      <w:r w:rsidR="006113C7" w:rsidRPr="00FC010D">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64E6" w14:textId="418FDBA6" w:rsidR="0049226B" w:rsidRDefault="0049226B">
    <w:pPr>
      <w:pStyle w:val="Header"/>
    </w:pPr>
    <w:r>
      <w:rPr>
        <w:noProof/>
        <w:lang w:eastAsia="en-AU"/>
      </w:rPr>
      <w:drawing>
        <wp:anchor distT="0" distB="0" distL="114300" distR="114300" simplePos="0" relativeHeight="251656704" behindDoc="0" locked="1" layoutInCell="1" allowOverlap="1" wp14:anchorId="75DE10F4" wp14:editId="633D445E">
          <wp:simplePos x="716280" y="18288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1902" w14:textId="77777777" w:rsidR="0049226B" w:rsidRDefault="00492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CFC8" w14:textId="515D1081" w:rsidR="0049226B" w:rsidRDefault="004922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2D65" w14:textId="77777777" w:rsidR="0049226B" w:rsidRDefault="004922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4B06" w14:textId="77777777" w:rsidR="0049226B" w:rsidRDefault="004922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1573" w14:textId="77777777" w:rsidR="0049226B" w:rsidRDefault="0049226B" w:rsidP="00C02BFC">
    <w:pPr>
      <w:pStyle w:val="Header"/>
    </w:pPr>
    <w:r>
      <w:rPr>
        <w:noProof/>
        <w:lang w:eastAsia="en-AU"/>
      </w:rPr>
      <w:drawing>
        <wp:anchor distT="0" distB="0" distL="114300" distR="114300" simplePos="0" relativeHeight="251657728" behindDoc="0" locked="1" layoutInCell="1" allowOverlap="1" wp14:anchorId="35103CA9" wp14:editId="4AF3E707">
          <wp:simplePos x="716280" y="182880"/>
          <wp:positionH relativeFrom="page">
            <wp:align>left</wp:align>
          </wp:positionH>
          <wp:positionV relativeFrom="page">
            <wp:align>top</wp:align>
          </wp:positionV>
          <wp:extent cx="7559675" cy="1069086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2F4DBE8F" w14:textId="77777777" w:rsidR="0049226B" w:rsidRDefault="004922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4D35" w14:textId="77777777" w:rsidR="0049226B" w:rsidRDefault="00492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2B3"/>
    <w:multiLevelType w:val="multilevel"/>
    <w:tmpl w:val="7EA618F4"/>
    <w:lvl w:ilvl="0">
      <w:start w:val="1"/>
      <w:numFmt w:val="decimal"/>
      <w:lvlText w:val="%1."/>
      <w:lvlJc w:val="left"/>
      <w:pPr>
        <w:ind w:left="1080" w:hanging="72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7223D7"/>
    <w:multiLevelType w:val="hybridMultilevel"/>
    <w:tmpl w:val="42A6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FA7318C"/>
    <w:multiLevelType w:val="hybridMultilevel"/>
    <w:tmpl w:val="70D621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802B06"/>
    <w:multiLevelType w:val="hybridMultilevel"/>
    <w:tmpl w:val="97423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F3EF5"/>
    <w:multiLevelType w:val="hybridMultilevel"/>
    <w:tmpl w:val="C7328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873497"/>
    <w:multiLevelType w:val="multilevel"/>
    <w:tmpl w:val="3F002D38"/>
    <w:name w:val="PWDA_Bullets2"/>
    <w:numStyleLink w:val="PWDABullets"/>
  </w:abstractNum>
  <w:abstractNum w:abstractNumId="7"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8" w15:restartNumberingAfterBreak="0">
    <w:nsid w:val="2962485B"/>
    <w:multiLevelType w:val="hybridMultilevel"/>
    <w:tmpl w:val="0AA6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D90400"/>
    <w:multiLevelType w:val="hybridMultilevel"/>
    <w:tmpl w:val="5238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5512D1"/>
    <w:multiLevelType w:val="hybridMultilevel"/>
    <w:tmpl w:val="0ED0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36C44"/>
    <w:multiLevelType w:val="hybridMultilevel"/>
    <w:tmpl w:val="BBBA72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F943A0"/>
    <w:multiLevelType w:val="hybridMultilevel"/>
    <w:tmpl w:val="48D0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1D3F49"/>
    <w:multiLevelType w:val="multilevel"/>
    <w:tmpl w:val="B93838D4"/>
    <w:lvl w:ilvl="0">
      <w:start w:val="1"/>
      <w:numFmt w:val="decimal"/>
      <w:suff w:val="nothing"/>
      <w:lvlText w:val="%1 "/>
      <w:lvlJc w:val="left"/>
      <w:pPr>
        <w:ind w:left="709" w:hanging="709"/>
      </w:pPr>
      <w:rPr>
        <w:rFonts w:ascii="Helvetica Neue" w:hAnsi="Helvetica Neue" w:hint="default"/>
        <w:b/>
        <w:i w:val="0"/>
      </w:rPr>
    </w:lvl>
    <w:lvl w:ilvl="1">
      <w:start w:val="1"/>
      <w:numFmt w:val="decimal"/>
      <w:suff w:val="nothing"/>
      <w:lvlText w:val="%1.%2 "/>
      <w:lvlJc w:val="left"/>
      <w:pPr>
        <w:ind w:left="0" w:firstLine="0"/>
      </w:pPr>
      <w:rPr>
        <w:rFonts w:ascii="Helvetica Neue" w:hAnsi="Helvetica Neue"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Restart w:val="1"/>
      <w:pStyle w:val="Captionfigure"/>
      <w:suff w:val="space"/>
      <w:lvlText w:val="Figure %1.%8"/>
      <w:lvlJc w:val="left"/>
      <w:pPr>
        <w:ind w:left="0" w:firstLine="0"/>
      </w:pPr>
      <w:rPr>
        <w:rFonts w:ascii="Helvetica Neue Medium" w:hAnsi="Helvetica Neue Medium" w:hint="default"/>
        <w:b w:val="0"/>
        <w:i w:val="0"/>
      </w:rPr>
    </w:lvl>
    <w:lvl w:ilvl="8">
      <w:start w:val="1"/>
      <w:numFmt w:val="decimal"/>
      <w:lvlRestart w:val="1"/>
      <w:pStyle w:val="Captiontable"/>
      <w:suff w:val="space"/>
      <w:lvlText w:val="Table %1.%9"/>
      <w:lvlJc w:val="left"/>
      <w:pPr>
        <w:ind w:left="0" w:firstLine="0"/>
      </w:pPr>
      <w:rPr>
        <w:rFonts w:ascii="Helvetica Neue Medium" w:hAnsi="Helvetica Neue Medium" w:hint="default"/>
        <w:b w:val="0"/>
        <w:i w:val="0"/>
      </w:rPr>
    </w:lvl>
  </w:abstractNum>
  <w:abstractNum w:abstractNumId="14" w15:restartNumberingAfterBreak="0">
    <w:nsid w:val="5299748D"/>
    <w:multiLevelType w:val="hybridMultilevel"/>
    <w:tmpl w:val="2CC85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434797"/>
    <w:multiLevelType w:val="hybridMultilevel"/>
    <w:tmpl w:val="60749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053D78"/>
    <w:multiLevelType w:val="hybridMultilevel"/>
    <w:tmpl w:val="CEE4A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1646E0"/>
    <w:multiLevelType w:val="hybridMultilevel"/>
    <w:tmpl w:val="A3B6EDF8"/>
    <w:lvl w:ilvl="0" w:tplc="AAA295A0">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244D83"/>
    <w:multiLevelType w:val="hybridMultilevel"/>
    <w:tmpl w:val="50C05268"/>
    <w:lvl w:ilvl="0" w:tplc="D31C8404">
      <w:start w:val="1"/>
      <w:numFmt w:val="bullet"/>
      <w:pStyle w:val="PWDAbulletlis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9" w15:restartNumberingAfterBreak="0">
    <w:nsid w:val="5E302AD4"/>
    <w:multiLevelType w:val="hybridMultilevel"/>
    <w:tmpl w:val="EA4E63C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130393E"/>
    <w:multiLevelType w:val="hybridMultilevel"/>
    <w:tmpl w:val="AF503F3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27A376A"/>
    <w:multiLevelType w:val="hybridMultilevel"/>
    <w:tmpl w:val="57502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BA38D6"/>
    <w:multiLevelType w:val="multilevel"/>
    <w:tmpl w:val="7EA618F4"/>
    <w:lvl w:ilvl="0">
      <w:start w:val="1"/>
      <w:numFmt w:val="decimal"/>
      <w:lvlText w:val="%1."/>
      <w:lvlJc w:val="left"/>
      <w:pPr>
        <w:ind w:left="1080" w:hanging="72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83C064A"/>
    <w:multiLevelType w:val="hybridMultilevel"/>
    <w:tmpl w:val="2B8E2A6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65B2BD2A">
      <w:start w:val="3"/>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612CC"/>
    <w:multiLevelType w:val="hybridMultilevel"/>
    <w:tmpl w:val="A9549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0912B9"/>
    <w:multiLevelType w:val="hybridMultilevel"/>
    <w:tmpl w:val="A38A8992"/>
    <w:lvl w:ilvl="0" w:tplc="2D6E576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2A1B58"/>
    <w:multiLevelType w:val="hybridMultilevel"/>
    <w:tmpl w:val="4CC0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F75104"/>
    <w:multiLevelType w:val="hybridMultilevel"/>
    <w:tmpl w:val="BBDE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009AF"/>
    <w:multiLevelType w:val="hybridMultilevel"/>
    <w:tmpl w:val="73FE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1F3873"/>
    <w:multiLevelType w:val="hybridMultilevel"/>
    <w:tmpl w:val="1A384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336C49"/>
    <w:multiLevelType w:val="hybridMultilevel"/>
    <w:tmpl w:val="EE80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C1A52"/>
    <w:multiLevelType w:val="hybridMultilevel"/>
    <w:tmpl w:val="BF187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5D20B0"/>
    <w:multiLevelType w:val="hybridMultilevel"/>
    <w:tmpl w:val="E006C7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26"/>
  </w:num>
  <w:num w:numId="5">
    <w:abstractNumId w:val="25"/>
  </w:num>
  <w:num w:numId="6">
    <w:abstractNumId w:val="1"/>
  </w:num>
  <w:num w:numId="7">
    <w:abstractNumId w:val="4"/>
  </w:num>
  <w:num w:numId="8">
    <w:abstractNumId w:val="21"/>
  </w:num>
  <w:num w:numId="9">
    <w:abstractNumId w:val="8"/>
  </w:num>
  <w:num w:numId="10">
    <w:abstractNumId w:val="0"/>
  </w:num>
  <w:num w:numId="11">
    <w:abstractNumId w:val="23"/>
  </w:num>
  <w:num w:numId="12">
    <w:abstractNumId w:val="28"/>
  </w:num>
  <w:num w:numId="13">
    <w:abstractNumId w:val="15"/>
  </w:num>
  <w:num w:numId="14">
    <w:abstractNumId w:val="30"/>
  </w:num>
  <w:num w:numId="15">
    <w:abstractNumId w:val="24"/>
  </w:num>
  <w:num w:numId="16">
    <w:abstractNumId w:val="10"/>
  </w:num>
  <w:num w:numId="17">
    <w:abstractNumId w:val="17"/>
  </w:num>
  <w:num w:numId="18">
    <w:abstractNumId w:val="18"/>
  </w:num>
  <w:num w:numId="19">
    <w:abstractNumId w:val="12"/>
  </w:num>
  <w:num w:numId="20">
    <w:abstractNumId w:val="5"/>
  </w:num>
  <w:num w:numId="21">
    <w:abstractNumId w:val="29"/>
  </w:num>
  <w:num w:numId="22">
    <w:abstractNumId w:val="31"/>
  </w:num>
  <w:num w:numId="23">
    <w:abstractNumId w:val="16"/>
  </w:num>
  <w:num w:numId="24">
    <w:abstractNumId w:val="9"/>
  </w:num>
  <w:num w:numId="25">
    <w:abstractNumId w:val="14"/>
  </w:num>
  <w:num w:numId="26">
    <w:abstractNumId w:val="20"/>
  </w:num>
  <w:num w:numId="27">
    <w:abstractNumId w:val="27"/>
  </w:num>
  <w:num w:numId="28">
    <w:abstractNumId w:val="19"/>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1"/>
  </w:num>
  <w:num w:numId="33">
    <w:abstractNumId w:val="32"/>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0B"/>
    <w:rsid w:val="00002006"/>
    <w:rsid w:val="000038D4"/>
    <w:rsid w:val="00006F47"/>
    <w:rsid w:val="000103B8"/>
    <w:rsid w:val="00016B2D"/>
    <w:rsid w:val="00022528"/>
    <w:rsid w:val="000264AD"/>
    <w:rsid w:val="000309EE"/>
    <w:rsid w:val="00032DDD"/>
    <w:rsid w:val="0003685B"/>
    <w:rsid w:val="00037057"/>
    <w:rsid w:val="0003750C"/>
    <w:rsid w:val="00040B98"/>
    <w:rsid w:val="00044355"/>
    <w:rsid w:val="000468DB"/>
    <w:rsid w:val="00054C18"/>
    <w:rsid w:val="00055526"/>
    <w:rsid w:val="00056940"/>
    <w:rsid w:val="00056C97"/>
    <w:rsid w:val="000605C5"/>
    <w:rsid w:val="00060BDA"/>
    <w:rsid w:val="000671D0"/>
    <w:rsid w:val="00067415"/>
    <w:rsid w:val="00074350"/>
    <w:rsid w:val="00075387"/>
    <w:rsid w:val="0007648D"/>
    <w:rsid w:val="00080252"/>
    <w:rsid w:val="000815E6"/>
    <w:rsid w:val="00081D40"/>
    <w:rsid w:val="000846A6"/>
    <w:rsid w:val="00087019"/>
    <w:rsid w:val="00087AA7"/>
    <w:rsid w:val="00087E84"/>
    <w:rsid w:val="00090DCD"/>
    <w:rsid w:val="00091DDD"/>
    <w:rsid w:val="0009260C"/>
    <w:rsid w:val="000940ED"/>
    <w:rsid w:val="000952BC"/>
    <w:rsid w:val="000A2324"/>
    <w:rsid w:val="000A2869"/>
    <w:rsid w:val="000A3A30"/>
    <w:rsid w:val="000A3FBE"/>
    <w:rsid w:val="000A53F5"/>
    <w:rsid w:val="000A6600"/>
    <w:rsid w:val="000A6CFA"/>
    <w:rsid w:val="000A7777"/>
    <w:rsid w:val="000B1836"/>
    <w:rsid w:val="000C01F5"/>
    <w:rsid w:val="000C5AA2"/>
    <w:rsid w:val="000C5C7E"/>
    <w:rsid w:val="000C64EE"/>
    <w:rsid w:val="000C684E"/>
    <w:rsid w:val="000C6D3B"/>
    <w:rsid w:val="000D0227"/>
    <w:rsid w:val="000D1969"/>
    <w:rsid w:val="000D2313"/>
    <w:rsid w:val="000D51BD"/>
    <w:rsid w:val="000E2A47"/>
    <w:rsid w:val="000E500B"/>
    <w:rsid w:val="000E5AFC"/>
    <w:rsid w:val="000E68E4"/>
    <w:rsid w:val="000E7A04"/>
    <w:rsid w:val="000F3B59"/>
    <w:rsid w:val="000F56CF"/>
    <w:rsid w:val="0010258D"/>
    <w:rsid w:val="00106A2C"/>
    <w:rsid w:val="001113AF"/>
    <w:rsid w:val="00112FC8"/>
    <w:rsid w:val="00113041"/>
    <w:rsid w:val="00114ECC"/>
    <w:rsid w:val="00115237"/>
    <w:rsid w:val="0011578A"/>
    <w:rsid w:val="00122EA2"/>
    <w:rsid w:val="001234CE"/>
    <w:rsid w:val="00124544"/>
    <w:rsid w:val="00125672"/>
    <w:rsid w:val="00126298"/>
    <w:rsid w:val="00126C3F"/>
    <w:rsid w:val="00126F37"/>
    <w:rsid w:val="00130DAB"/>
    <w:rsid w:val="001310CA"/>
    <w:rsid w:val="00131156"/>
    <w:rsid w:val="001315EC"/>
    <w:rsid w:val="001402CB"/>
    <w:rsid w:val="00140780"/>
    <w:rsid w:val="001466F1"/>
    <w:rsid w:val="00150871"/>
    <w:rsid w:val="00156775"/>
    <w:rsid w:val="00161687"/>
    <w:rsid w:val="0016361E"/>
    <w:rsid w:val="001658A4"/>
    <w:rsid w:val="00165D88"/>
    <w:rsid w:val="00166103"/>
    <w:rsid w:val="00166CDD"/>
    <w:rsid w:val="00167807"/>
    <w:rsid w:val="00170EAD"/>
    <w:rsid w:val="00171449"/>
    <w:rsid w:val="00171E37"/>
    <w:rsid w:val="00172823"/>
    <w:rsid w:val="001734A2"/>
    <w:rsid w:val="001775E5"/>
    <w:rsid w:val="00180E2B"/>
    <w:rsid w:val="00184C9C"/>
    <w:rsid w:val="00193421"/>
    <w:rsid w:val="00194CDA"/>
    <w:rsid w:val="00195591"/>
    <w:rsid w:val="00196DC4"/>
    <w:rsid w:val="001A1A09"/>
    <w:rsid w:val="001A4BA0"/>
    <w:rsid w:val="001A59C6"/>
    <w:rsid w:val="001A67EB"/>
    <w:rsid w:val="001A71A4"/>
    <w:rsid w:val="001B1BDB"/>
    <w:rsid w:val="001B2370"/>
    <w:rsid w:val="001C1805"/>
    <w:rsid w:val="001C2C48"/>
    <w:rsid w:val="001C5818"/>
    <w:rsid w:val="001D460B"/>
    <w:rsid w:val="001E0398"/>
    <w:rsid w:val="001E0825"/>
    <w:rsid w:val="001E6FA7"/>
    <w:rsid w:val="001F565B"/>
    <w:rsid w:val="001F599F"/>
    <w:rsid w:val="001F5A1C"/>
    <w:rsid w:val="002013DA"/>
    <w:rsid w:val="002069A9"/>
    <w:rsid w:val="0020713E"/>
    <w:rsid w:val="00207BFB"/>
    <w:rsid w:val="00210725"/>
    <w:rsid w:val="00212CFB"/>
    <w:rsid w:val="0021360B"/>
    <w:rsid w:val="00214AC9"/>
    <w:rsid w:val="00215B1D"/>
    <w:rsid w:val="00220153"/>
    <w:rsid w:val="002210B4"/>
    <w:rsid w:val="00221A68"/>
    <w:rsid w:val="0022388D"/>
    <w:rsid w:val="002238AF"/>
    <w:rsid w:val="002261B5"/>
    <w:rsid w:val="00226EEA"/>
    <w:rsid w:val="002279A3"/>
    <w:rsid w:val="00233B4D"/>
    <w:rsid w:val="002348EA"/>
    <w:rsid w:val="0023660E"/>
    <w:rsid w:val="0024028B"/>
    <w:rsid w:val="00240F5F"/>
    <w:rsid w:val="00252BF5"/>
    <w:rsid w:val="002576EF"/>
    <w:rsid w:val="002608F1"/>
    <w:rsid w:val="002627D4"/>
    <w:rsid w:val="002628BF"/>
    <w:rsid w:val="00264732"/>
    <w:rsid w:val="00266D67"/>
    <w:rsid w:val="002672FC"/>
    <w:rsid w:val="0027137F"/>
    <w:rsid w:val="00274961"/>
    <w:rsid w:val="00274AB4"/>
    <w:rsid w:val="002769C3"/>
    <w:rsid w:val="0028026D"/>
    <w:rsid w:val="0028178B"/>
    <w:rsid w:val="0028449E"/>
    <w:rsid w:val="00286092"/>
    <w:rsid w:val="00286ED3"/>
    <w:rsid w:val="0029475F"/>
    <w:rsid w:val="00295D6B"/>
    <w:rsid w:val="0029778E"/>
    <w:rsid w:val="002A3007"/>
    <w:rsid w:val="002A50F9"/>
    <w:rsid w:val="002A5DE1"/>
    <w:rsid w:val="002A67D7"/>
    <w:rsid w:val="002B16A3"/>
    <w:rsid w:val="002B33AA"/>
    <w:rsid w:val="002B46B1"/>
    <w:rsid w:val="002B7C9C"/>
    <w:rsid w:val="002C7F4D"/>
    <w:rsid w:val="002D11FD"/>
    <w:rsid w:val="002D1B50"/>
    <w:rsid w:val="002D3687"/>
    <w:rsid w:val="002D48EF"/>
    <w:rsid w:val="002E5A7B"/>
    <w:rsid w:val="002E5F5D"/>
    <w:rsid w:val="002E7E4C"/>
    <w:rsid w:val="002F3120"/>
    <w:rsid w:val="002F35C3"/>
    <w:rsid w:val="002F3B7F"/>
    <w:rsid w:val="00307836"/>
    <w:rsid w:val="0031020E"/>
    <w:rsid w:val="0031191D"/>
    <w:rsid w:val="00312633"/>
    <w:rsid w:val="00316AE6"/>
    <w:rsid w:val="00317B55"/>
    <w:rsid w:val="00321126"/>
    <w:rsid w:val="003309F9"/>
    <w:rsid w:val="003310FA"/>
    <w:rsid w:val="00331F49"/>
    <w:rsid w:val="00332826"/>
    <w:rsid w:val="003400EB"/>
    <w:rsid w:val="00340313"/>
    <w:rsid w:val="00341966"/>
    <w:rsid w:val="003427A4"/>
    <w:rsid w:val="00342F01"/>
    <w:rsid w:val="00343DC8"/>
    <w:rsid w:val="00344DB5"/>
    <w:rsid w:val="00350E67"/>
    <w:rsid w:val="00351A9C"/>
    <w:rsid w:val="00353E0D"/>
    <w:rsid w:val="00354144"/>
    <w:rsid w:val="00362DFC"/>
    <w:rsid w:val="00366186"/>
    <w:rsid w:val="003672A4"/>
    <w:rsid w:val="00370BE8"/>
    <w:rsid w:val="0037350D"/>
    <w:rsid w:val="00373DE5"/>
    <w:rsid w:val="0037480D"/>
    <w:rsid w:val="00382149"/>
    <w:rsid w:val="00383047"/>
    <w:rsid w:val="0038308E"/>
    <w:rsid w:val="0038351D"/>
    <w:rsid w:val="00386716"/>
    <w:rsid w:val="003879BB"/>
    <w:rsid w:val="00387A6B"/>
    <w:rsid w:val="003916AD"/>
    <w:rsid w:val="00392B6A"/>
    <w:rsid w:val="00393552"/>
    <w:rsid w:val="003961FB"/>
    <w:rsid w:val="00396F17"/>
    <w:rsid w:val="003A01B3"/>
    <w:rsid w:val="003A0229"/>
    <w:rsid w:val="003A039C"/>
    <w:rsid w:val="003A1759"/>
    <w:rsid w:val="003A4DAD"/>
    <w:rsid w:val="003B0A39"/>
    <w:rsid w:val="003B6A00"/>
    <w:rsid w:val="003B7461"/>
    <w:rsid w:val="003C0BF2"/>
    <w:rsid w:val="003C225A"/>
    <w:rsid w:val="003C23E9"/>
    <w:rsid w:val="003C61A7"/>
    <w:rsid w:val="003C6883"/>
    <w:rsid w:val="003D2457"/>
    <w:rsid w:val="003D580B"/>
    <w:rsid w:val="003E7A86"/>
    <w:rsid w:val="003F39B9"/>
    <w:rsid w:val="004062C0"/>
    <w:rsid w:val="00407699"/>
    <w:rsid w:val="004111E7"/>
    <w:rsid w:val="00411AD5"/>
    <w:rsid w:val="00413AB9"/>
    <w:rsid w:val="00415C5C"/>
    <w:rsid w:val="00416615"/>
    <w:rsid w:val="004217AB"/>
    <w:rsid w:val="00422806"/>
    <w:rsid w:val="004248FE"/>
    <w:rsid w:val="00426128"/>
    <w:rsid w:val="00427A73"/>
    <w:rsid w:val="0043255E"/>
    <w:rsid w:val="004353E5"/>
    <w:rsid w:val="00437D4E"/>
    <w:rsid w:val="004413ED"/>
    <w:rsid w:val="00441713"/>
    <w:rsid w:val="004435DC"/>
    <w:rsid w:val="004463A4"/>
    <w:rsid w:val="00447B50"/>
    <w:rsid w:val="00447C42"/>
    <w:rsid w:val="00450E68"/>
    <w:rsid w:val="00453E92"/>
    <w:rsid w:val="00461E8D"/>
    <w:rsid w:val="0046384C"/>
    <w:rsid w:val="00465408"/>
    <w:rsid w:val="00465746"/>
    <w:rsid w:val="00471A88"/>
    <w:rsid w:val="0047357A"/>
    <w:rsid w:val="0047385C"/>
    <w:rsid w:val="00474032"/>
    <w:rsid w:val="004743BA"/>
    <w:rsid w:val="004746FE"/>
    <w:rsid w:val="0047627E"/>
    <w:rsid w:val="00485D8C"/>
    <w:rsid w:val="0048651B"/>
    <w:rsid w:val="00487C67"/>
    <w:rsid w:val="00491726"/>
    <w:rsid w:val="0049226B"/>
    <w:rsid w:val="0049611C"/>
    <w:rsid w:val="00496D5D"/>
    <w:rsid w:val="004A19E8"/>
    <w:rsid w:val="004A2651"/>
    <w:rsid w:val="004A3A6E"/>
    <w:rsid w:val="004A3D95"/>
    <w:rsid w:val="004A608B"/>
    <w:rsid w:val="004A7100"/>
    <w:rsid w:val="004B16F8"/>
    <w:rsid w:val="004B4E53"/>
    <w:rsid w:val="004C00BD"/>
    <w:rsid w:val="004C0BA7"/>
    <w:rsid w:val="004C22BA"/>
    <w:rsid w:val="004C3CB8"/>
    <w:rsid w:val="004C42DD"/>
    <w:rsid w:val="004C5A0F"/>
    <w:rsid w:val="004C62F0"/>
    <w:rsid w:val="004C7027"/>
    <w:rsid w:val="004C77A9"/>
    <w:rsid w:val="004D11C9"/>
    <w:rsid w:val="004D1369"/>
    <w:rsid w:val="004D7AF9"/>
    <w:rsid w:val="004D7DC5"/>
    <w:rsid w:val="004E1F69"/>
    <w:rsid w:val="004E23A3"/>
    <w:rsid w:val="004E43D7"/>
    <w:rsid w:val="004E66F2"/>
    <w:rsid w:val="004E6D19"/>
    <w:rsid w:val="004E71F2"/>
    <w:rsid w:val="004F19B1"/>
    <w:rsid w:val="004F395B"/>
    <w:rsid w:val="004F60AB"/>
    <w:rsid w:val="004F6341"/>
    <w:rsid w:val="00501D1C"/>
    <w:rsid w:val="00502D38"/>
    <w:rsid w:val="00503243"/>
    <w:rsid w:val="00505C71"/>
    <w:rsid w:val="00505DA5"/>
    <w:rsid w:val="0050788C"/>
    <w:rsid w:val="00507D2C"/>
    <w:rsid w:val="005116AD"/>
    <w:rsid w:val="00521733"/>
    <w:rsid w:val="00526F52"/>
    <w:rsid w:val="0053085D"/>
    <w:rsid w:val="00531DB4"/>
    <w:rsid w:val="00535F42"/>
    <w:rsid w:val="005360C4"/>
    <w:rsid w:val="00540875"/>
    <w:rsid w:val="00542E5D"/>
    <w:rsid w:val="00543228"/>
    <w:rsid w:val="00543307"/>
    <w:rsid w:val="0054682E"/>
    <w:rsid w:val="0055057F"/>
    <w:rsid w:val="00553D12"/>
    <w:rsid w:val="00554933"/>
    <w:rsid w:val="0055644C"/>
    <w:rsid w:val="00557409"/>
    <w:rsid w:val="00557922"/>
    <w:rsid w:val="00557A6C"/>
    <w:rsid w:val="005604A3"/>
    <w:rsid w:val="005604CA"/>
    <w:rsid w:val="00562AD4"/>
    <w:rsid w:val="005632D6"/>
    <w:rsid w:val="00566ABD"/>
    <w:rsid w:val="00567618"/>
    <w:rsid w:val="0057361F"/>
    <w:rsid w:val="0057716E"/>
    <w:rsid w:val="00581B63"/>
    <w:rsid w:val="00586A71"/>
    <w:rsid w:val="00590150"/>
    <w:rsid w:val="005919E8"/>
    <w:rsid w:val="00595A77"/>
    <w:rsid w:val="005968C4"/>
    <w:rsid w:val="005B01EA"/>
    <w:rsid w:val="005B28B3"/>
    <w:rsid w:val="005B2B16"/>
    <w:rsid w:val="005B4132"/>
    <w:rsid w:val="005B6630"/>
    <w:rsid w:val="005B71E2"/>
    <w:rsid w:val="005C0EF9"/>
    <w:rsid w:val="005C1262"/>
    <w:rsid w:val="005C164C"/>
    <w:rsid w:val="005C51C6"/>
    <w:rsid w:val="005C51DE"/>
    <w:rsid w:val="005D07B4"/>
    <w:rsid w:val="005D0C26"/>
    <w:rsid w:val="005D156C"/>
    <w:rsid w:val="005D5838"/>
    <w:rsid w:val="005D615C"/>
    <w:rsid w:val="005E6952"/>
    <w:rsid w:val="005E6FDE"/>
    <w:rsid w:val="005E7444"/>
    <w:rsid w:val="005F0060"/>
    <w:rsid w:val="005F06D3"/>
    <w:rsid w:val="005F08C5"/>
    <w:rsid w:val="005F63C3"/>
    <w:rsid w:val="00601FD6"/>
    <w:rsid w:val="00602D07"/>
    <w:rsid w:val="006050A5"/>
    <w:rsid w:val="00606887"/>
    <w:rsid w:val="006113C7"/>
    <w:rsid w:val="0061418B"/>
    <w:rsid w:val="00617E8E"/>
    <w:rsid w:val="006239AF"/>
    <w:rsid w:val="00625EE0"/>
    <w:rsid w:val="00626421"/>
    <w:rsid w:val="00632330"/>
    <w:rsid w:val="006359A0"/>
    <w:rsid w:val="00637733"/>
    <w:rsid w:val="006409F2"/>
    <w:rsid w:val="00641E01"/>
    <w:rsid w:val="006421FA"/>
    <w:rsid w:val="00643F65"/>
    <w:rsid w:val="0064529E"/>
    <w:rsid w:val="006463C0"/>
    <w:rsid w:val="0064713E"/>
    <w:rsid w:val="00647C4F"/>
    <w:rsid w:val="00650B5F"/>
    <w:rsid w:val="0065278C"/>
    <w:rsid w:val="00654859"/>
    <w:rsid w:val="00663B19"/>
    <w:rsid w:val="00664351"/>
    <w:rsid w:val="00664FC0"/>
    <w:rsid w:val="006659F2"/>
    <w:rsid w:val="006756D1"/>
    <w:rsid w:val="006776C8"/>
    <w:rsid w:val="00677BE8"/>
    <w:rsid w:val="0068064E"/>
    <w:rsid w:val="00681A9F"/>
    <w:rsid w:val="00682D9C"/>
    <w:rsid w:val="0068427A"/>
    <w:rsid w:val="00691983"/>
    <w:rsid w:val="00691F69"/>
    <w:rsid w:val="00692F11"/>
    <w:rsid w:val="006935E7"/>
    <w:rsid w:val="0069392E"/>
    <w:rsid w:val="006947D7"/>
    <w:rsid w:val="00694B17"/>
    <w:rsid w:val="00697B00"/>
    <w:rsid w:val="006A0CA8"/>
    <w:rsid w:val="006A27AB"/>
    <w:rsid w:val="006A70AA"/>
    <w:rsid w:val="006A7B1A"/>
    <w:rsid w:val="006B106A"/>
    <w:rsid w:val="006B20FA"/>
    <w:rsid w:val="006B346F"/>
    <w:rsid w:val="006B38AE"/>
    <w:rsid w:val="006B5A4D"/>
    <w:rsid w:val="006B6A2C"/>
    <w:rsid w:val="006C225D"/>
    <w:rsid w:val="006C532A"/>
    <w:rsid w:val="006C6C5F"/>
    <w:rsid w:val="006D4828"/>
    <w:rsid w:val="006D5F6A"/>
    <w:rsid w:val="006D6AFA"/>
    <w:rsid w:val="006D7A04"/>
    <w:rsid w:val="006E4BAB"/>
    <w:rsid w:val="006E5434"/>
    <w:rsid w:val="006E729A"/>
    <w:rsid w:val="006E7979"/>
    <w:rsid w:val="007017B5"/>
    <w:rsid w:val="0070255E"/>
    <w:rsid w:val="00702871"/>
    <w:rsid w:val="00702922"/>
    <w:rsid w:val="00703D4C"/>
    <w:rsid w:val="00703DFC"/>
    <w:rsid w:val="00704257"/>
    <w:rsid w:val="00705375"/>
    <w:rsid w:val="0070563E"/>
    <w:rsid w:val="00705B2B"/>
    <w:rsid w:val="00707E2E"/>
    <w:rsid w:val="00712D79"/>
    <w:rsid w:val="00716032"/>
    <w:rsid w:val="00722702"/>
    <w:rsid w:val="00723871"/>
    <w:rsid w:val="007274B9"/>
    <w:rsid w:val="007308F8"/>
    <w:rsid w:val="00730F9F"/>
    <w:rsid w:val="007317FE"/>
    <w:rsid w:val="00731872"/>
    <w:rsid w:val="00731A71"/>
    <w:rsid w:val="00731E9A"/>
    <w:rsid w:val="00732BC5"/>
    <w:rsid w:val="00735851"/>
    <w:rsid w:val="00736B23"/>
    <w:rsid w:val="0073721E"/>
    <w:rsid w:val="00740142"/>
    <w:rsid w:val="00741A43"/>
    <w:rsid w:val="00742AFD"/>
    <w:rsid w:val="00743CF9"/>
    <w:rsid w:val="0074448D"/>
    <w:rsid w:val="00746B7B"/>
    <w:rsid w:val="00747B03"/>
    <w:rsid w:val="00751197"/>
    <w:rsid w:val="007531AA"/>
    <w:rsid w:val="0075368F"/>
    <w:rsid w:val="007545D9"/>
    <w:rsid w:val="0075737D"/>
    <w:rsid w:val="0076067A"/>
    <w:rsid w:val="00760C52"/>
    <w:rsid w:val="00761453"/>
    <w:rsid w:val="007622F1"/>
    <w:rsid w:val="007628CB"/>
    <w:rsid w:val="00763F41"/>
    <w:rsid w:val="00766A94"/>
    <w:rsid w:val="00771157"/>
    <w:rsid w:val="00773B96"/>
    <w:rsid w:val="00785C56"/>
    <w:rsid w:val="00787863"/>
    <w:rsid w:val="00791435"/>
    <w:rsid w:val="00794F7E"/>
    <w:rsid w:val="007A177A"/>
    <w:rsid w:val="007A7B16"/>
    <w:rsid w:val="007A7D0B"/>
    <w:rsid w:val="007B741B"/>
    <w:rsid w:val="007C124E"/>
    <w:rsid w:val="007C396F"/>
    <w:rsid w:val="007D0658"/>
    <w:rsid w:val="007D1302"/>
    <w:rsid w:val="007D6213"/>
    <w:rsid w:val="007D6BD2"/>
    <w:rsid w:val="007D7A18"/>
    <w:rsid w:val="007E157A"/>
    <w:rsid w:val="007E235D"/>
    <w:rsid w:val="007E4855"/>
    <w:rsid w:val="007E648D"/>
    <w:rsid w:val="007F2D49"/>
    <w:rsid w:val="007F4809"/>
    <w:rsid w:val="00800C5B"/>
    <w:rsid w:val="0080587D"/>
    <w:rsid w:val="00805D9E"/>
    <w:rsid w:val="00805EF1"/>
    <w:rsid w:val="00805F38"/>
    <w:rsid w:val="008129DB"/>
    <w:rsid w:val="00813113"/>
    <w:rsid w:val="00813EF4"/>
    <w:rsid w:val="008141E4"/>
    <w:rsid w:val="00814763"/>
    <w:rsid w:val="00815C08"/>
    <w:rsid w:val="00825519"/>
    <w:rsid w:val="0082665A"/>
    <w:rsid w:val="008273C7"/>
    <w:rsid w:val="00833465"/>
    <w:rsid w:val="008334ED"/>
    <w:rsid w:val="00841F92"/>
    <w:rsid w:val="0084381C"/>
    <w:rsid w:val="00843E3F"/>
    <w:rsid w:val="00850AAD"/>
    <w:rsid w:val="00852AB0"/>
    <w:rsid w:val="0085378B"/>
    <w:rsid w:val="008541E1"/>
    <w:rsid w:val="00854B3F"/>
    <w:rsid w:val="0085632D"/>
    <w:rsid w:val="0085762B"/>
    <w:rsid w:val="00857B84"/>
    <w:rsid w:val="00857E7E"/>
    <w:rsid w:val="0086030A"/>
    <w:rsid w:val="00860DCD"/>
    <w:rsid w:val="00863062"/>
    <w:rsid w:val="008640C8"/>
    <w:rsid w:val="00872ED5"/>
    <w:rsid w:val="008767D8"/>
    <w:rsid w:val="008814B7"/>
    <w:rsid w:val="008815F1"/>
    <w:rsid w:val="008828AA"/>
    <w:rsid w:val="0088315F"/>
    <w:rsid w:val="0088593A"/>
    <w:rsid w:val="00890834"/>
    <w:rsid w:val="00890A62"/>
    <w:rsid w:val="00894322"/>
    <w:rsid w:val="00895A9D"/>
    <w:rsid w:val="00896344"/>
    <w:rsid w:val="008A35B8"/>
    <w:rsid w:val="008A5C77"/>
    <w:rsid w:val="008A6A34"/>
    <w:rsid w:val="008B02A2"/>
    <w:rsid w:val="008B0BC2"/>
    <w:rsid w:val="008B3C44"/>
    <w:rsid w:val="008B74F0"/>
    <w:rsid w:val="008C4CC9"/>
    <w:rsid w:val="008C518C"/>
    <w:rsid w:val="008C5CDE"/>
    <w:rsid w:val="008D1A4B"/>
    <w:rsid w:val="008D1BFF"/>
    <w:rsid w:val="008D28CB"/>
    <w:rsid w:val="008D5AD7"/>
    <w:rsid w:val="008D5F8B"/>
    <w:rsid w:val="008E2264"/>
    <w:rsid w:val="008E2BF3"/>
    <w:rsid w:val="008E619E"/>
    <w:rsid w:val="008F544A"/>
    <w:rsid w:val="008F5808"/>
    <w:rsid w:val="008F61AC"/>
    <w:rsid w:val="008F6CEC"/>
    <w:rsid w:val="008F6D4F"/>
    <w:rsid w:val="008F7083"/>
    <w:rsid w:val="008F72B6"/>
    <w:rsid w:val="008F7CD3"/>
    <w:rsid w:val="008F7EB3"/>
    <w:rsid w:val="00900E81"/>
    <w:rsid w:val="00901F1D"/>
    <w:rsid w:val="0090380F"/>
    <w:rsid w:val="00903D3B"/>
    <w:rsid w:val="00907C1A"/>
    <w:rsid w:val="00920BBD"/>
    <w:rsid w:val="00924D6E"/>
    <w:rsid w:val="009258E1"/>
    <w:rsid w:val="00926A04"/>
    <w:rsid w:val="00926A4B"/>
    <w:rsid w:val="00926F5A"/>
    <w:rsid w:val="00927DBA"/>
    <w:rsid w:val="00927F03"/>
    <w:rsid w:val="00933E15"/>
    <w:rsid w:val="00935276"/>
    <w:rsid w:val="0093700D"/>
    <w:rsid w:val="009415D1"/>
    <w:rsid w:val="0094211C"/>
    <w:rsid w:val="0094221A"/>
    <w:rsid w:val="009424BA"/>
    <w:rsid w:val="009461EC"/>
    <w:rsid w:val="009472FB"/>
    <w:rsid w:val="009519FB"/>
    <w:rsid w:val="009523F0"/>
    <w:rsid w:val="0096303E"/>
    <w:rsid w:val="00963065"/>
    <w:rsid w:val="009707C6"/>
    <w:rsid w:val="00972117"/>
    <w:rsid w:val="0097556D"/>
    <w:rsid w:val="00976CC9"/>
    <w:rsid w:val="00977EE9"/>
    <w:rsid w:val="00980A45"/>
    <w:rsid w:val="00982108"/>
    <w:rsid w:val="00982448"/>
    <w:rsid w:val="00982C9B"/>
    <w:rsid w:val="009835EE"/>
    <w:rsid w:val="009838CD"/>
    <w:rsid w:val="00990775"/>
    <w:rsid w:val="009935B5"/>
    <w:rsid w:val="00993D53"/>
    <w:rsid w:val="00995E81"/>
    <w:rsid w:val="00996119"/>
    <w:rsid w:val="009A2803"/>
    <w:rsid w:val="009A2FA7"/>
    <w:rsid w:val="009A384D"/>
    <w:rsid w:val="009A529C"/>
    <w:rsid w:val="009A75BE"/>
    <w:rsid w:val="009B2C67"/>
    <w:rsid w:val="009B34D9"/>
    <w:rsid w:val="009B6A30"/>
    <w:rsid w:val="009B71CC"/>
    <w:rsid w:val="009B773D"/>
    <w:rsid w:val="009C636A"/>
    <w:rsid w:val="009D3D2D"/>
    <w:rsid w:val="009D4BBA"/>
    <w:rsid w:val="009D5907"/>
    <w:rsid w:val="009D70B1"/>
    <w:rsid w:val="009E00A3"/>
    <w:rsid w:val="009E1455"/>
    <w:rsid w:val="009E1956"/>
    <w:rsid w:val="009E6990"/>
    <w:rsid w:val="009F2741"/>
    <w:rsid w:val="009F31B7"/>
    <w:rsid w:val="009F46AD"/>
    <w:rsid w:val="009F5493"/>
    <w:rsid w:val="009F6225"/>
    <w:rsid w:val="009F6AC5"/>
    <w:rsid w:val="00A0104D"/>
    <w:rsid w:val="00A02877"/>
    <w:rsid w:val="00A0313D"/>
    <w:rsid w:val="00A03CAF"/>
    <w:rsid w:val="00A041DD"/>
    <w:rsid w:val="00A04E67"/>
    <w:rsid w:val="00A05D82"/>
    <w:rsid w:val="00A108F0"/>
    <w:rsid w:val="00A10A30"/>
    <w:rsid w:val="00A1542F"/>
    <w:rsid w:val="00A15AA4"/>
    <w:rsid w:val="00A15B3A"/>
    <w:rsid w:val="00A15C68"/>
    <w:rsid w:val="00A16E9C"/>
    <w:rsid w:val="00A20E10"/>
    <w:rsid w:val="00A23F41"/>
    <w:rsid w:val="00A268FE"/>
    <w:rsid w:val="00A27208"/>
    <w:rsid w:val="00A35327"/>
    <w:rsid w:val="00A36EB8"/>
    <w:rsid w:val="00A3782B"/>
    <w:rsid w:val="00A41152"/>
    <w:rsid w:val="00A41D9C"/>
    <w:rsid w:val="00A4340C"/>
    <w:rsid w:val="00A455AC"/>
    <w:rsid w:val="00A505E2"/>
    <w:rsid w:val="00A5311F"/>
    <w:rsid w:val="00A5480C"/>
    <w:rsid w:val="00A55183"/>
    <w:rsid w:val="00A5660C"/>
    <w:rsid w:val="00A56F5F"/>
    <w:rsid w:val="00A57121"/>
    <w:rsid w:val="00A571F0"/>
    <w:rsid w:val="00A57335"/>
    <w:rsid w:val="00A577B4"/>
    <w:rsid w:val="00A6248E"/>
    <w:rsid w:val="00A651E9"/>
    <w:rsid w:val="00A661F8"/>
    <w:rsid w:val="00A70A09"/>
    <w:rsid w:val="00A72E49"/>
    <w:rsid w:val="00A73116"/>
    <w:rsid w:val="00A738CE"/>
    <w:rsid w:val="00A74221"/>
    <w:rsid w:val="00A74F20"/>
    <w:rsid w:val="00A75C47"/>
    <w:rsid w:val="00A77FE7"/>
    <w:rsid w:val="00A819B8"/>
    <w:rsid w:val="00A82422"/>
    <w:rsid w:val="00A84018"/>
    <w:rsid w:val="00A92E58"/>
    <w:rsid w:val="00A9398B"/>
    <w:rsid w:val="00A9571D"/>
    <w:rsid w:val="00A97380"/>
    <w:rsid w:val="00AA175C"/>
    <w:rsid w:val="00AB1E2B"/>
    <w:rsid w:val="00AB20F7"/>
    <w:rsid w:val="00AB5F1C"/>
    <w:rsid w:val="00AB73C1"/>
    <w:rsid w:val="00AC2B53"/>
    <w:rsid w:val="00AC44D6"/>
    <w:rsid w:val="00AC5CFD"/>
    <w:rsid w:val="00AC6C4B"/>
    <w:rsid w:val="00AD0B0B"/>
    <w:rsid w:val="00AD6B8C"/>
    <w:rsid w:val="00AD7074"/>
    <w:rsid w:val="00AE0A6D"/>
    <w:rsid w:val="00AE12E8"/>
    <w:rsid w:val="00AE3846"/>
    <w:rsid w:val="00AE3F3B"/>
    <w:rsid w:val="00AE4D72"/>
    <w:rsid w:val="00AF1504"/>
    <w:rsid w:val="00AF220D"/>
    <w:rsid w:val="00AF2AB6"/>
    <w:rsid w:val="00AF2ECB"/>
    <w:rsid w:val="00AF3AD1"/>
    <w:rsid w:val="00AF3C51"/>
    <w:rsid w:val="00B004A1"/>
    <w:rsid w:val="00B01DA2"/>
    <w:rsid w:val="00B02A43"/>
    <w:rsid w:val="00B04399"/>
    <w:rsid w:val="00B140CC"/>
    <w:rsid w:val="00B17776"/>
    <w:rsid w:val="00B21A6B"/>
    <w:rsid w:val="00B222B1"/>
    <w:rsid w:val="00B23D08"/>
    <w:rsid w:val="00B24274"/>
    <w:rsid w:val="00B271E6"/>
    <w:rsid w:val="00B3207D"/>
    <w:rsid w:val="00B37305"/>
    <w:rsid w:val="00B41AE5"/>
    <w:rsid w:val="00B453D1"/>
    <w:rsid w:val="00B51C76"/>
    <w:rsid w:val="00B528B3"/>
    <w:rsid w:val="00B57A4B"/>
    <w:rsid w:val="00B60730"/>
    <w:rsid w:val="00B61F7C"/>
    <w:rsid w:val="00B63E3E"/>
    <w:rsid w:val="00B6473C"/>
    <w:rsid w:val="00B67CA1"/>
    <w:rsid w:val="00B72797"/>
    <w:rsid w:val="00B73E39"/>
    <w:rsid w:val="00B8389A"/>
    <w:rsid w:val="00B92152"/>
    <w:rsid w:val="00B93366"/>
    <w:rsid w:val="00B96DA3"/>
    <w:rsid w:val="00BA0F8A"/>
    <w:rsid w:val="00BA1886"/>
    <w:rsid w:val="00BA30F6"/>
    <w:rsid w:val="00BA64EF"/>
    <w:rsid w:val="00BA67B8"/>
    <w:rsid w:val="00BA75D7"/>
    <w:rsid w:val="00BB14BF"/>
    <w:rsid w:val="00BB3D85"/>
    <w:rsid w:val="00BB3F19"/>
    <w:rsid w:val="00BB4543"/>
    <w:rsid w:val="00BB4B30"/>
    <w:rsid w:val="00BC1A19"/>
    <w:rsid w:val="00BD1288"/>
    <w:rsid w:val="00BD295B"/>
    <w:rsid w:val="00BD589F"/>
    <w:rsid w:val="00BD617D"/>
    <w:rsid w:val="00BE37D8"/>
    <w:rsid w:val="00BE496B"/>
    <w:rsid w:val="00BE51EF"/>
    <w:rsid w:val="00BE52A7"/>
    <w:rsid w:val="00BE57B8"/>
    <w:rsid w:val="00BE6A63"/>
    <w:rsid w:val="00BE6C7F"/>
    <w:rsid w:val="00BF1F27"/>
    <w:rsid w:val="00BF27D1"/>
    <w:rsid w:val="00BF4A77"/>
    <w:rsid w:val="00BF4F4C"/>
    <w:rsid w:val="00BF57A1"/>
    <w:rsid w:val="00BF57B6"/>
    <w:rsid w:val="00BF5E29"/>
    <w:rsid w:val="00C02BFC"/>
    <w:rsid w:val="00C06429"/>
    <w:rsid w:val="00C07D15"/>
    <w:rsid w:val="00C12DF0"/>
    <w:rsid w:val="00C25439"/>
    <w:rsid w:val="00C26C98"/>
    <w:rsid w:val="00C31B66"/>
    <w:rsid w:val="00C35698"/>
    <w:rsid w:val="00C436E3"/>
    <w:rsid w:val="00C45953"/>
    <w:rsid w:val="00C471B7"/>
    <w:rsid w:val="00C47526"/>
    <w:rsid w:val="00C50946"/>
    <w:rsid w:val="00C5130D"/>
    <w:rsid w:val="00C576B5"/>
    <w:rsid w:val="00C62949"/>
    <w:rsid w:val="00C6365C"/>
    <w:rsid w:val="00C63E13"/>
    <w:rsid w:val="00C64456"/>
    <w:rsid w:val="00C6608D"/>
    <w:rsid w:val="00C75981"/>
    <w:rsid w:val="00C7613E"/>
    <w:rsid w:val="00C81335"/>
    <w:rsid w:val="00C8144F"/>
    <w:rsid w:val="00C84B94"/>
    <w:rsid w:val="00C85D8D"/>
    <w:rsid w:val="00C85DF1"/>
    <w:rsid w:val="00C925C6"/>
    <w:rsid w:val="00C93F78"/>
    <w:rsid w:val="00C95588"/>
    <w:rsid w:val="00C961AD"/>
    <w:rsid w:val="00C9695B"/>
    <w:rsid w:val="00CA049C"/>
    <w:rsid w:val="00CA04D3"/>
    <w:rsid w:val="00CA48FC"/>
    <w:rsid w:val="00CA5FEB"/>
    <w:rsid w:val="00CA7371"/>
    <w:rsid w:val="00CB0769"/>
    <w:rsid w:val="00CB182C"/>
    <w:rsid w:val="00CB2E90"/>
    <w:rsid w:val="00CB360B"/>
    <w:rsid w:val="00CC27B1"/>
    <w:rsid w:val="00CC2815"/>
    <w:rsid w:val="00CC29E3"/>
    <w:rsid w:val="00CD2DAF"/>
    <w:rsid w:val="00CD3E4C"/>
    <w:rsid w:val="00CD729D"/>
    <w:rsid w:val="00CE3178"/>
    <w:rsid w:val="00CE4562"/>
    <w:rsid w:val="00CE51EC"/>
    <w:rsid w:val="00CF041F"/>
    <w:rsid w:val="00CF1115"/>
    <w:rsid w:val="00CF2935"/>
    <w:rsid w:val="00CF3431"/>
    <w:rsid w:val="00CF4CD1"/>
    <w:rsid w:val="00CF5EB2"/>
    <w:rsid w:val="00D06716"/>
    <w:rsid w:val="00D0740F"/>
    <w:rsid w:val="00D15E1B"/>
    <w:rsid w:val="00D171A2"/>
    <w:rsid w:val="00D215AC"/>
    <w:rsid w:val="00D23FF9"/>
    <w:rsid w:val="00D27B1C"/>
    <w:rsid w:val="00D31DB9"/>
    <w:rsid w:val="00D33024"/>
    <w:rsid w:val="00D3534C"/>
    <w:rsid w:val="00D44B58"/>
    <w:rsid w:val="00D5002B"/>
    <w:rsid w:val="00D50291"/>
    <w:rsid w:val="00D53881"/>
    <w:rsid w:val="00D6029A"/>
    <w:rsid w:val="00D60337"/>
    <w:rsid w:val="00D619C1"/>
    <w:rsid w:val="00D62D5A"/>
    <w:rsid w:val="00D65057"/>
    <w:rsid w:val="00D66B30"/>
    <w:rsid w:val="00D671A7"/>
    <w:rsid w:val="00D72634"/>
    <w:rsid w:val="00D72700"/>
    <w:rsid w:val="00D72722"/>
    <w:rsid w:val="00D7553A"/>
    <w:rsid w:val="00D80940"/>
    <w:rsid w:val="00D8183D"/>
    <w:rsid w:val="00D82917"/>
    <w:rsid w:val="00D8376A"/>
    <w:rsid w:val="00D90A00"/>
    <w:rsid w:val="00D91817"/>
    <w:rsid w:val="00D91BF8"/>
    <w:rsid w:val="00D928BC"/>
    <w:rsid w:val="00D95790"/>
    <w:rsid w:val="00DA0E4D"/>
    <w:rsid w:val="00DA19A0"/>
    <w:rsid w:val="00DA3FF8"/>
    <w:rsid w:val="00DB00A3"/>
    <w:rsid w:val="00DB0F19"/>
    <w:rsid w:val="00DB3742"/>
    <w:rsid w:val="00DB3D7F"/>
    <w:rsid w:val="00DB3DCE"/>
    <w:rsid w:val="00DB4B3F"/>
    <w:rsid w:val="00DB7D17"/>
    <w:rsid w:val="00DC2CF7"/>
    <w:rsid w:val="00DC7B88"/>
    <w:rsid w:val="00DD19FB"/>
    <w:rsid w:val="00DD2211"/>
    <w:rsid w:val="00DE294D"/>
    <w:rsid w:val="00DE306E"/>
    <w:rsid w:val="00DE34BC"/>
    <w:rsid w:val="00DE760D"/>
    <w:rsid w:val="00DF3408"/>
    <w:rsid w:val="00DF4207"/>
    <w:rsid w:val="00DF573B"/>
    <w:rsid w:val="00DF7EE8"/>
    <w:rsid w:val="00E020B0"/>
    <w:rsid w:val="00E039A8"/>
    <w:rsid w:val="00E07E1B"/>
    <w:rsid w:val="00E10A50"/>
    <w:rsid w:val="00E11ACB"/>
    <w:rsid w:val="00E12556"/>
    <w:rsid w:val="00E13216"/>
    <w:rsid w:val="00E2396C"/>
    <w:rsid w:val="00E23CF9"/>
    <w:rsid w:val="00E261DB"/>
    <w:rsid w:val="00E264BF"/>
    <w:rsid w:val="00E30907"/>
    <w:rsid w:val="00E33AD0"/>
    <w:rsid w:val="00E36012"/>
    <w:rsid w:val="00E426DC"/>
    <w:rsid w:val="00E42AA9"/>
    <w:rsid w:val="00E45BCA"/>
    <w:rsid w:val="00E54B4E"/>
    <w:rsid w:val="00E5567A"/>
    <w:rsid w:val="00E56331"/>
    <w:rsid w:val="00E56861"/>
    <w:rsid w:val="00E61629"/>
    <w:rsid w:val="00E62D96"/>
    <w:rsid w:val="00E6369C"/>
    <w:rsid w:val="00E644C4"/>
    <w:rsid w:val="00E646DF"/>
    <w:rsid w:val="00E6712E"/>
    <w:rsid w:val="00E74AC8"/>
    <w:rsid w:val="00E7659F"/>
    <w:rsid w:val="00E8418E"/>
    <w:rsid w:val="00E84DA6"/>
    <w:rsid w:val="00E85FAA"/>
    <w:rsid w:val="00E901FB"/>
    <w:rsid w:val="00E935ED"/>
    <w:rsid w:val="00E96EF5"/>
    <w:rsid w:val="00EA1389"/>
    <w:rsid w:val="00EA2433"/>
    <w:rsid w:val="00EA674B"/>
    <w:rsid w:val="00EB1996"/>
    <w:rsid w:val="00EB44C4"/>
    <w:rsid w:val="00EB599A"/>
    <w:rsid w:val="00EB65C6"/>
    <w:rsid w:val="00EC04BC"/>
    <w:rsid w:val="00EC57DD"/>
    <w:rsid w:val="00ED0A7F"/>
    <w:rsid w:val="00ED3177"/>
    <w:rsid w:val="00ED4FDD"/>
    <w:rsid w:val="00ED7989"/>
    <w:rsid w:val="00EE153B"/>
    <w:rsid w:val="00EE290A"/>
    <w:rsid w:val="00EE2CE0"/>
    <w:rsid w:val="00EE755B"/>
    <w:rsid w:val="00EE7AF8"/>
    <w:rsid w:val="00EF0526"/>
    <w:rsid w:val="00EF1E78"/>
    <w:rsid w:val="00EF511E"/>
    <w:rsid w:val="00F004DC"/>
    <w:rsid w:val="00F00DF8"/>
    <w:rsid w:val="00F012F8"/>
    <w:rsid w:val="00F0736C"/>
    <w:rsid w:val="00F108C8"/>
    <w:rsid w:val="00F1181A"/>
    <w:rsid w:val="00F1283C"/>
    <w:rsid w:val="00F1311C"/>
    <w:rsid w:val="00F1443C"/>
    <w:rsid w:val="00F14DDB"/>
    <w:rsid w:val="00F15475"/>
    <w:rsid w:val="00F16642"/>
    <w:rsid w:val="00F2015A"/>
    <w:rsid w:val="00F224CE"/>
    <w:rsid w:val="00F2439E"/>
    <w:rsid w:val="00F24887"/>
    <w:rsid w:val="00F25DA9"/>
    <w:rsid w:val="00F25E23"/>
    <w:rsid w:val="00F302B2"/>
    <w:rsid w:val="00F30908"/>
    <w:rsid w:val="00F36ECB"/>
    <w:rsid w:val="00F37034"/>
    <w:rsid w:val="00F371E4"/>
    <w:rsid w:val="00F40449"/>
    <w:rsid w:val="00F409B4"/>
    <w:rsid w:val="00F44987"/>
    <w:rsid w:val="00F45B35"/>
    <w:rsid w:val="00F53766"/>
    <w:rsid w:val="00F53974"/>
    <w:rsid w:val="00F55961"/>
    <w:rsid w:val="00F55E89"/>
    <w:rsid w:val="00F57FF4"/>
    <w:rsid w:val="00F6064D"/>
    <w:rsid w:val="00F60D4D"/>
    <w:rsid w:val="00F615F3"/>
    <w:rsid w:val="00F6281E"/>
    <w:rsid w:val="00F64FD6"/>
    <w:rsid w:val="00F65145"/>
    <w:rsid w:val="00F6613B"/>
    <w:rsid w:val="00F66B2F"/>
    <w:rsid w:val="00F71DE7"/>
    <w:rsid w:val="00F85240"/>
    <w:rsid w:val="00F86B6A"/>
    <w:rsid w:val="00F90E93"/>
    <w:rsid w:val="00F91C73"/>
    <w:rsid w:val="00F92E50"/>
    <w:rsid w:val="00F93BCB"/>
    <w:rsid w:val="00F9452C"/>
    <w:rsid w:val="00F952CF"/>
    <w:rsid w:val="00FA42A0"/>
    <w:rsid w:val="00FB211D"/>
    <w:rsid w:val="00FB41A9"/>
    <w:rsid w:val="00FB54D0"/>
    <w:rsid w:val="00FB561B"/>
    <w:rsid w:val="00FC010D"/>
    <w:rsid w:val="00FC0194"/>
    <w:rsid w:val="00FC0701"/>
    <w:rsid w:val="00FC35BB"/>
    <w:rsid w:val="00FC3A73"/>
    <w:rsid w:val="00FC45F2"/>
    <w:rsid w:val="00FC5BCB"/>
    <w:rsid w:val="00FD1F9D"/>
    <w:rsid w:val="00FD2EC2"/>
    <w:rsid w:val="00FD4C17"/>
    <w:rsid w:val="00FE0CEA"/>
    <w:rsid w:val="00FE1270"/>
    <w:rsid w:val="00FE2262"/>
    <w:rsid w:val="00FF63E2"/>
    <w:rsid w:val="00FF7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0D29F"/>
  <w15:docId w15:val="{D90CC7A2-AF54-5343-BAFA-40D6351B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45"/>
    <w:rPr>
      <w:sz w:val="26"/>
    </w:rPr>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paragraph" w:styleId="Heading5">
    <w:name w:val="heading 5"/>
    <w:basedOn w:val="Normal"/>
    <w:next w:val="Normal"/>
    <w:link w:val="Heading5Char"/>
    <w:uiPriority w:val="4"/>
    <w:unhideWhenUsed/>
    <w:qFormat/>
    <w:rsid w:val="00F6064D"/>
    <w:pPr>
      <w:keepNext/>
      <w:keepLines/>
      <w:spacing w:before="40" w:after="0"/>
      <w:outlineLvl w:val="4"/>
    </w:pPr>
    <w:rPr>
      <w:rFonts w:asciiTheme="majorHAnsi" w:eastAsiaTheme="majorEastAsia" w:hAnsiTheme="majorHAnsi" w:cstheme="majorBidi"/>
      <w:color w:val="003E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505DA5"/>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2"/>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qFormat/>
    <w:rsid w:val="00C02BFC"/>
    <w:pPr>
      <w:numPr>
        <w:numId w:val="3"/>
      </w:numPr>
    </w:pPr>
  </w:style>
  <w:style w:type="numbering" w:customStyle="1" w:styleId="PWDANumbered">
    <w:name w:val="PWDA_Numbered"/>
    <w:uiPriority w:val="99"/>
    <w:rsid w:val="00C02BFC"/>
    <w:pPr>
      <w:numPr>
        <w:numId w:val="3"/>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74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F9"/>
    <w:rPr>
      <w:rFonts w:ascii="Tahoma" w:hAnsi="Tahoma" w:cs="Tahoma"/>
      <w:sz w:val="16"/>
      <w:szCs w:val="16"/>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447B50"/>
    <w:pPr>
      <w:keepLines/>
      <w:spacing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447B50"/>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8F61AC"/>
    <w:rPr>
      <w:vertAlign w:val="superscript"/>
    </w:rPr>
  </w:style>
  <w:style w:type="character" w:styleId="CommentReference">
    <w:name w:val="annotation reference"/>
    <w:basedOn w:val="DefaultParagraphFont"/>
    <w:uiPriority w:val="99"/>
    <w:semiHidden/>
    <w:unhideWhenUsed/>
    <w:rsid w:val="008F61AC"/>
    <w:rPr>
      <w:sz w:val="16"/>
      <w:szCs w:val="16"/>
    </w:rPr>
  </w:style>
  <w:style w:type="paragraph" w:styleId="CommentText">
    <w:name w:val="annotation text"/>
    <w:basedOn w:val="Normal"/>
    <w:link w:val="CommentTextChar"/>
    <w:uiPriority w:val="99"/>
    <w:unhideWhenUsed/>
    <w:rsid w:val="008F61AC"/>
    <w:pPr>
      <w:spacing w:line="240" w:lineRule="auto"/>
    </w:pPr>
    <w:rPr>
      <w:sz w:val="20"/>
      <w:szCs w:val="20"/>
    </w:rPr>
  </w:style>
  <w:style w:type="character" w:customStyle="1" w:styleId="CommentTextChar">
    <w:name w:val="Comment Text Char"/>
    <w:basedOn w:val="DefaultParagraphFont"/>
    <w:link w:val="CommentText"/>
    <w:uiPriority w:val="99"/>
    <w:rsid w:val="008F61AC"/>
    <w:rPr>
      <w:sz w:val="20"/>
      <w:szCs w:val="20"/>
    </w:rPr>
  </w:style>
  <w:style w:type="paragraph" w:styleId="NormalWeb">
    <w:name w:val="Normal (Web)"/>
    <w:basedOn w:val="Normal"/>
    <w:uiPriority w:val="99"/>
    <w:unhideWhenUsed/>
    <w:rsid w:val="007017B5"/>
    <w:pPr>
      <w:spacing w:before="100" w:beforeAutospacing="1" w:after="100" w:afterAutospacing="1" w:line="240" w:lineRule="auto"/>
    </w:pPr>
    <w:rPr>
      <w:rFonts w:ascii="Times New Roman" w:eastAsia="Times New Roman" w:hAnsi="Times New Roman" w:cs="Times New Roman"/>
      <w:lang w:eastAsia="en-AU"/>
    </w:rPr>
  </w:style>
  <w:style w:type="paragraph" w:styleId="TOC2">
    <w:name w:val="toc 2"/>
    <w:basedOn w:val="Normal"/>
    <w:next w:val="Normal"/>
    <w:autoRedefine/>
    <w:uiPriority w:val="39"/>
    <w:unhideWhenUsed/>
    <w:rsid w:val="0048651B"/>
    <w:pPr>
      <w:tabs>
        <w:tab w:val="right" w:pos="9628"/>
      </w:tabs>
      <w:spacing w:after="100"/>
      <w:ind w:left="240"/>
    </w:pPr>
    <w:rPr>
      <w:i/>
      <w:iCs/>
      <w:noProof/>
    </w:rPr>
  </w:style>
  <w:style w:type="paragraph" w:styleId="CommentSubject">
    <w:name w:val="annotation subject"/>
    <w:basedOn w:val="CommentText"/>
    <w:next w:val="CommentText"/>
    <w:link w:val="CommentSubjectChar"/>
    <w:uiPriority w:val="99"/>
    <w:semiHidden/>
    <w:unhideWhenUsed/>
    <w:rsid w:val="004217AB"/>
    <w:rPr>
      <w:b/>
      <w:bCs/>
    </w:rPr>
  </w:style>
  <w:style w:type="character" w:customStyle="1" w:styleId="CommentSubjectChar">
    <w:name w:val="Comment Subject Char"/>
    <w:basedOn w:val="CommentTextChar"/>
    <w:link w:val="CommentSubject"/>
    <w:uiPriority w:val="99"/>
    <w:semiHidden/>
    <w:rsid w:val="004217AB"/>
    <w:rPr>
      <w:b/>
      <w:bCs/>
      <w:sz w:val="20"/>
      <w:szCs w:val="20"/>
    </w:rPr>
  </w:style>
  <w:style w:type="character" w:styleId="Strong">
    <w:name w:val="Strong"/>
    <w:basedOn w:val="DefaultParagraphFont"/>
    <w:uiPriority w:val="22"/>
    <w:qFormat/>
    <w:rsid w:val="00044355"/>
    <w:rPr>
      <w:b/>
      <w:bCs/>
    </w:rPr>
  </w:style>
  <w:style w:type="character" w:customStyle="1" w:styleId="UnresolvedMention2">
    <w:name w:val="Unresolved Mention2"/>
    <w:basedOn w:val="DefaultParagraphFont"/>
    <w:uiPriority w:val="99"/>
    <w:semiHidden/>
    <w:unhideWhenUsed/>
    <w:rsid w:val="00EE153B"/>
    <w:rPr>
      <w:color w:val="605E5C"/>
      <w:shd w:val="clear" w:color="auto" w:fill="E1DFDD"/>
    </w:rPr>
  </w:style>
  <w:style w:type="character" w:styleId="FollowedHyperlink">
    <w:name w:val="FollowedHyperlink"/>
    <w:basedOn w:val="DefaultParagraphFont"/>
    <w:uiPriority w:val="99"/>
    <w:semiHidden/>
    <w:unhideWhenUsed/>
    <w:rsid w:val="0070563E"/>
    <w:rPr>
      <w:color w:val="954F72" w:themeColor="followedHyperlink"/>
      <w:u w:val="single"/>
    </w:rPr>
  </w:style>
  <w:style w:type="character" w:styleId="Emphasis">
    <w:name w:val="Emphasis"/>
    <w:basedOn w:val="DefaultParagraphFont"/>
    <w:uiPriority w:val="20"/>
    <w:qFormat/>
    <w:rsid w:val="009424BA"/>
    <w:rPr>
      <w:i/>
      <w:iCs/>
    </w:rPr>
  </w:style>
  <w:style w:type="character" w:customStyle="1" w:styleId="markedcontent">
    <w:name w:val="markedcontent"/>
    <w:basedOn w:val="DefaultParagraphFont"/>
    <w:rsid w:val="00450E68"/>
  </w:style>
  <w:style w:type="paragraph" w:styleId="TOC3">
    <w:name w:val="toc 3"/>
    <w:basedOn w:val="Normal"/>
    <w:next w:val="Normal"/>
    <w:autoRedefine/>
    <w:uiPriority w:val="39"/>
    <w:unhideWhenUsed/>
    <w:rsid w:val="00F952CF"/>
    <w:pPr>
      <w:spacing w:after="100"/>
      <w:ind w:left="520"/>
    </w:pPr>
  </w:style>
  <w:style w:type="character" w:customStyle="1" w:styleId="UnresolvedMention3">
    <w:name w:val="Unresolved Mention3"/>
    <w:basedOn w:val="DefaultParagraphFont"/>
    <w:uiPriority w:val="99"/>
    <w:semiHidden/>
    <w:unhideWhenUsed/>
    <w:rsid w:val="00751197"/>
    <w:rPr>
      <w:color w:val="605E5C"/>
      <w:shd w:val="clear" w:color="auto" w:fill="E1DFDD"/>
    </w:rPr>
  </w:style>
  <w:style w:type="paragraph" w:styleId="BodyText">
    <w:name w:val="Body Text"/>
    <w:basedOn w:val="Normal"/>
    <w:link w:val="BodyTextChar"/>
    <w:uiPriority w:val="1"/>
    <w:qFormat/>
    <w:rsid w:val="008D5F8B"/>
    <w:pPr>
      <w:spacing w:before="240" w:after="240"/>
    </w:pPr>
    <w:rPr>
      <w:sz w:val="24"/>
    </w:rPr>
  </w:style>
  <w:style w:type="character" w:customStyle="1" w:styleId="BodyTextChar">
    <w:name w:val="Body Text Char"/>
    <w:basedOn w:val="DefaultParagraphFont"/>
    <w:link w:val="BodyText"/>
    <w:uiPriority w:val="1"/>
    <w:rsid w:val="008D5F8B"/>
  </w:style>
  <w:style w:type="paragraph" w:styleId="Revision">
    <w:name w:val="Revision"/>
    <w:hidden/>
    <w:uiPriority w:val="99"/>
    <w:semiHidden/>
    <w:rsid w:val="00BD589F"/>
    <w:pPr>
      <w:spacing w:after="0" w:line="240" w:lineRule="auto"/>
    </w:pPr>
    <w:rPr>
      <w:sz w:val="26"/>
    </w:rPr>
  </w:style>
  <w:style w:type="paragraph" w:customStyle="1" w:styleId="PWDAbodycopy">
    <w:name w:val="PWDA body copy"/>
    <w:qFormat/>
    <w:rsid w:val="00112FC8"/>
    <w:pPr>
      <w:spacing w:after="240" w:line="288" w:lineRule="auto"/>
    </w:pPr>
    <w:rPr>
      <w:lang w:val="en-GB"/>
    </w:rPr>
  </w:style>
  <w:style w:type="paragraph" w:customStyle="1" w:styleId="PWDAbulletlist">
    <w:name w:val="PWDA bullet list"/>
    <w:basedOn w:val="PWDAbodycopy"/>
    <w:qFormat/>
    <w:rsid w:val="00BA0F8A"/>
    <w:pPr>
      <w:numPr>
        <w:numId w:val="18"/>
      </w:numPr>
      <w:spacing w:line="312" w:lineRule="auto"/>
      <w:ind w:left="357" w:hanging="357"/>
      <w:contextualSpacing/>
    </w:pPr>
  </w:style>
  <w:style w:type="paragraph" w:styleId="Quote">
    <w:name w:val="Quote"/>
    <w:basedOn w:val="PWDAbodycopy"/>
    <w:next w:val="PWDAbodycopy"/>
    <w:link w:val="QuoteChar"/>
    <w:uiPriority w:val="29"/>
    <w:qFormat/>
    <w:rsid w:val="00E12556"/>
    <w:pPr>
      <w:ind w:left="510" w:right="510"/>
    </w:pPr>
    <w:rPr>
      <w:iCs/>
      <w:color w:val="191514" w:themeColor="background2" w:themeShade="1A"/>
      <w:sz w:val="26"/>
    </w:rPr>
  </w:style>
  <w:style w:type="character" w:customStyle="1" w:styleId="QuoteChar">
    <w:name w:val="Quote Char"/>
    <w:basedOn w:val="DefaultParagraphFont"/>
    <w:link w:val="Quote"/>
    <w:uiPriority w:val="29"/>
    <w:rsid w:val="00E12556"/>
    <w:rPr>
      <w:iCs/>
      <w:color w:val="191514" w:themeColor="background2" w:themeShade="1A"/>
      <w:sz w:val="26"/>
      <w:lang w:val="en-GB"/>
    </w:rPr>
  </w:style>
  <w:style w:type="character" w:customStyle="1" w:styleId="Heading5Char">
    <w:name w:val="Heading 5 Char"/>
    <w:basedOn w:val="DefaultParagraphFont"/>
    <w:link w:val="Heading5"/>
    <w:uiPriority w:val="4"/>
    <w:rsid w:val="00F6064D"/>
    <w:rPr>
      <w:rFonts w:asciiTheme="majorHAnsi" w:eastAsiaTheme="majorEastAsia" w:hAnsiTheme="majorHAnsi" w:cstheme="majorBidi"/>
      <w:color w:val="003E70" w:themeColor="accent1" w:themeShade="BF"/>
      <w:sz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43E3F"/>
    <w:pPr>
      <w:spacing w:before="120" w:after="160" w:line="240" w:lineRule="exact"/>
      <w:jc w:val="both"/>
    </w:pPr>
    <w:rPr>
      <w:sz w:val="24"/>
      <w:vertAlign w:val="superscript"/>
    </w:rPr>
  </w:style>
  <w:style w:type="paragraph" w:styleId="EndnoteText">
    <w:name w:val="endnote text"/>
    <w:basedOn w:val="Normal"/>
    <w:link w:val="EndnoteTextChar"/>
    <w:uiPriority w:val="99"/>
    <w:semiHidden/>
    <w:unhideWhenUsed/>
    <w:rsid w:val="004C22BA"/>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4C22BA"/>
    <w:rPr>
      <w:sz w:val="20"/>
      <w:szCs w:val="20"/>
      <w:lang w:val="en-GB"/>
    </w:rPr>
  </w:style>
  <w:style w:type="character" w:styleId="EndnoteReference">
    <w:name w:val="endnote reference"/>
    <w:basedOn w:val="DefaultParagraphFont"/>
    <w:uiPriority w:val="99"/>
    <w:semiHidden/>
    <w:unhideWhenUsed/>
    <w:rsid w:val="004C22BA"/>
    <w:rPr>
      <w:vertAlign w:val="superscript"/>
    </w:rPr>
  </w:style>
  <w:style w:type="character" w:customStyle="1" w:styleId="Highlight">
    <w:name w:val="Highlight"/>
    <w:basedOn w:val="DefaultParagraphFont"/>
    <w:uiPriority w:val="1"/>
    <w:qFormat/>
    <w:rsid w:val="006935E7"/>
    <w:rPr>
      <w:color w:val="FFFFFF" w:themeColor="background1"/>
      <w:bdr w:val="single" w:sz="6" w:space="0" w:color="45B97C" w:themeColor="accent4"/>
      <w:shd w:val="clear" w:color="auto" w:fill="45B97C" w:themeFill="accent4"/>
    </w:rPr>
  </w:style>
  <w:style w:type="paragraph" w:customStyle="1" w:styleId="Captiontable">
    <w:name w:val="Caption table"/>
    <w:basedOn w:val="Normal"/>
    <w:next w:val="Normal"/>
    <w:qFormat/>
    <w:rsid w:val="001775E5"/>
    <w:pPr>
      <w:keepNext/>
      <w:keepLines/>
      <w:numPr>
        <w:ilvl w:val="8"/>
        <w:numId w:val="29"/>
      </w:numPr>
      <w:tabs>
        <w:tab w:val="left" w:pos="425"/>
        <w:tab w:val="left" w:pos="1418"/>
        <w:tab w:val="left" w:pos="1701"/>
        <w:tab w:val="right" w:leader="dot" w:pos="8845"/>
      </w:tabs>
      <w:suppressAutoHyphens/>
      <w:spacing w:before="240" w:after="60" w:line="312" w:lineRule="auto"/>
      <w:outlineLvl w:val="7"/>
    </w:pPr>
    <w:rPr>
      <w:rFonts w:ascii="Calibri" w:hAnsi="Calibri" w:cs="Times New Roman (Body CS)"/>
      <w:sz w:val="21"/>
      <w:szCs w:val="22"/>
      <w:lang w:val="en-GB"/>
      <w14:ligatures w14:val="standardContextual"/>
      <w14:cntxtAlts/>
    </w:rPr>
  </w:style>
  <w:style w:type="paragraph" w:customStyle="1" w:styleId="Captionfigure">
    <w:name w:val="Caption figure"/>
    <w:basedOn w:val="Captiontable"/>
    <w:next w:val="Normal"/>
    <w:qFormat/>
    <w:rsid w:val="001775E5"/>
    <w:pPr>
      <w:numPr>
        <w:ilvl w:val="7"/>
      </w:numPr>
      <w:tabs>
        <w:tab w:val="clear" w:pos="1701"/>
      </w:tabs>
    </w:pPr>
  </w:style>
  <w:style w:type="character" w:customStyle="1" w:styleId="Navfootnotereference">
    <w:name w:val="Nav footnote reference"/>
    <w:basedOn w:val="DefaultParagraphFont"/>
    <w:uiPriority w:val="1"/>
    <w:qFormat/>
    <w:rsid w:val="006B5A4D"/>
    <w:rPr>
      <w:rFonts w:ascii="Helvetica Neue" w:hAnsi="Helvetica Neue"/>
      <w:b w:val="0"/>
      <w:i w:val="0"/>
      <w:color w:val="auto"/>
      <w:vertAlign w:val="superscript"/>
    </w:rPr>
  </w:style>
  <w:style w:type="character" w:styleId="UnresolvedMention">
    <w:name w:val="Unresolved Mention"/>
    <w:basedOn w:val="DefaultParagraphFont"/>
    <w:uiPriority w:val="99"/>
    <w:semiHidden/>
    <w:unhideWhenUsed/>
    <w:rsid w:val="002628BF"/>
    <w:rPr>
      <w:color w:val="605E5C"/>
      <w:shd w:val="clear" w:color="auto" w:fill="E1DFDD"/>
    </w:rPr>
  </w:style>
  <w:style w:type="paragraph" w:styleId="Bibliography">
    <w:name w:val="Bibliography"/>
    <w:basedOn w:val="Normal"/>
    <w:next w:val="Normal"/>
    <w:uiPriority w:val="37"/>
    <w:unhideWhenUsed/>
    <w:rsid w:val="00BB4B30"/>
    <w:pPr>
      <w:spacing w:after="240" w:line="240" w:lineRule="atLeast"/>
      <w:ind w:left="720" w:hanging="720"/>
    </w:pPr>
  </w:style>
  <w:style w:type="paragraph" w:customStyle="1" w:styleId="Quotestyle1">
    <w:name w:val="Quote style 1"/>
    <w:basedOn w:val="PWDAbodycopy"/>
    <w:qFormat/>
    <w:rsid w:val="00131156"/>
    <w:pPr>
      <w:spacing w:before="120" w:after="120" w:line="312" w:lineRule="auto"/>
      <w:ind w:left="510" w:right="510"/>
    </w:pPr>
    <w:rPr>
      <w:b/>
      <w:i/>
      <w:iCs/>
      <w:color w:val="005496" w:themeColor="text2"/>
    </w:rPr>
  </w:style>
  <w:style w:type="paragraph" w:customStyle="1" w:styleId="Quotestyle2">
    <w:name w:val="Quote style 2"/>
    <w:basedOn w:val="Quotestyle1"/>
    <w:qFormat/>
    <w:rsid w:val="002210B4"/>
    <w:pPr>
      <w:shd w:val="clear" w:color="auto" w:fill="45B97C" w:themeFill="accent4"/>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2419">
      <w:bodyDiv w:val="1"/>
      <w:marLeft w:val="0"/>
      <w:marRight w:val="0"/>
      <w:marTop w:val="0"/>
      <w:marBottom w:val="0"/>
      <w:divBdr>
        <w:top w:val="none" w:sz="0" w:space="0" w:color="auto"/>
        <w:left w:val="none" w:sz="0" w:space="0" w:color="auto"/>
        <w:bottom w:val="none" w:sz="0" w:space="0" w:color="auto"/>
        <w:right w:val="none" w:sz="0" w:space="0" w:color="auto"/>
      </w:divBdr>
    </w:div>
    <w:div w:id="735392845">
      <w:bodyDiv w:val="1"/>
      <w:marLeft w:val="0"/>
      <w:marRight w:val="0"/>
      <w:marTop w:val="0"/>
      <w:marBottom w:val="0"/>
      <w:divBdr>
        <w:top w:val="none" w:sz="0" w:space="0" w:color="auto"/>
        <w:left w:val="none" w:sz="0" w:space="0" w:color="auto"/>
        <w:bottom w:val="none" w:sz="0" w:space="0" w:color="auto"/>
        <w:right w:val="none" w:sz="0" w:space="0" w:color="auto"/>
      </w:divBdr>
    </w:div>
    <w:div w:id="20221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wda@pwd.org.au"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giancarlod@pwd.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w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CC71-226F-430D-9C6A-9E406F6B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18</Pages>
  <Words>4383</Words>
  <Characters>23192</Characters>
  <Application>Microsoft Office Word</Application>
  <DocSecurity>0</DocSecurity>
  <Lines>552</Lines>
  <Paragraphs>208</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27367</CharactersWithSpaces>
  <SharedDoc>false</SharedDoc>
  <HLinks>
    <vt:vector size="90" baseType="variant">
      <vt:variant>
        <vt:i4>2752601</vt:i4>
      </vt:variant>
      <vt:variant>
        <vt:i4>81</vt:i4>
      </vt:variant>
      <vt:variant>
        <vt:i4>0</vt:i4>
      </vt:variant>
      <vt:variant>
        <vt:i4>5</vt:i4>
      </vt:variant>
      <vt:variant>
        <vt:lpwstr>mailto:giancarlod@pwd.org.au</vt:lpwstr>
      </vt:variant>
      <vt:variant>
        <vt:lpwstr/>
      </vt:variant>
      <vt:variant>
        <vt:i4>7929888</vt:i4>
      </vt:variant>
      <vt:variant>
        <vt:i4>78</vt:i4>
      </vt:variant>
      <vt:variant>
        <vt:i4>0</vt:i4>
      </vt:variant>
      <vt:variant>
        <vt:i4>5</vt:i4>
      </vt:variant>
      <vt:variant>
        <vt:lpwstr>http://www.pwd.org.au/</vt:lpwstr>
      </vt:variant>
      <vt:variant>
        <vt:lpwstr/>
      </vt:variant>
      <vt:variant>
        <vt:i4>4587553</vt:i4>
      </vt:variant>
      <vt:variant>
        <vt:i4>75</vt:i4>
      </vt:variant>
      <vt:variant>
        <vt:i4>0</vt:i4>
      </vt:variant>
      <vt:variant>
        <vt:i4>5</vt:i4>
      </vt:variant>
      <vt:variant>
        <vt:lpwstr>mailto:pwda@pwd.org.au</vt:lpwstr>
      </vt:variant>
      <vt:variant>
        <vt:lpwstr/>
      </vt:variant>
      <vt:variant>
        <vt:i4>1703986</vt:i4>
      </vt:variant>
      <vt:variant>
        <vt:i4>68</vt:i4>
      </vt:variant>
      <vt:variant>
        <vt:i4>0</vt:i4>
      </vt:variant>
      <vt:variant>
        <vt:i4>5</vt:i4>
      </vt:variant>
      <vt:variant>
        <vt:lpwstr/>
      </vt:variant>
      <vt:variant>
        <vt:lpwstr>_Toc79317411</vt:lpwstr>
      </vt:variant>
      <vt:variant>
        <vt:i4>1769522</vt:i4>
      </vt:variant>
      <vt:variant>
        <vt:i4>62</vt:i4>
      </vt:variant>
      <vt:variant>
        <vt:i4>0</vt:i4>
      </vt:variant>
      <vt:variant>
        <vt:i4>5</vt:i4>
      </vt:variant>
      <vt:variant>
        <vt:lpwstr/>
      </vt:variant>
      <vt:variant>
        <vt:lpwstr>_Toc79317410</vt:lpwstr>
      </vt:variant>
      <vt:variant>
        <vt:i4>1179699</vt:i4>
      </vt:variant>
      <vt:variant>
        <vt:i4>56</vt:i4>
      </vt:variant>
      <vt:variant>
        <vt:i4>0</vt:i4>
      </vt:variant>
      <vt:variant>
        <vt:i4>5</vt:i4>
      </vt:variant>
      <vt:variant>
        <vt:lpwstr/>
      </vt:variant>
      <vt:variant>
        <vt:lpwstr>_Toc79317409</vt:lpwstr>
      </vt:variant>
      <vt:variant>
        <vt:i4>1245235</vt:i4>
      </vt:variant>
      <vt:variant>
        <vt:i4>50</vt:i4>
      </vt:variant>
      <vt:variant>
        <vt:i4>0</vt:i4>
      </vt:variant>
      <vt:variant>
        <vt:i4>5</vt:i4>
      </vt:variant>
      <vt:variant>
        <vt:lpwstr/>
      </vt:variant>
      <vt:variant>
        <vt:lpwstr>_Toc79317408</vt:lpwstr>
      </vt:variant>
      <vt:variant>
        <vt:i4>1835059</vt:i4>
      </vt:variant>
      <vt:variant>
        <vt:i4>44</vt:i4>
      </vt:variant>
      <vt:variant>
        <vt:i4>0</vt:i4>
      </vt:variant>
      <vt:variant>
        <vt:i4>5</vt:i4>
      </vt:variant>
      <vt:variant>
        <vt:lpwstr/>
      </vt:variant>
      <vt:variant>
        <vt:lpwstr>_Toc79317407</vt:lpwstr>
      </vt:variant>
      <vt:variant>
        <vt:i4>1900595</vt:i4>
      </vt:variant>
      <vt:variant>
        <vt:i4>38</vt:i4>
      </vt:variant>
      <vt:variant>
        <vt:i4>0</vt:i4>
      </vt:variant>
      <vt:variant>
        <vt:i4>5</vt:i4>
      </vt:variant>
      <vt:variant>
        <vt:lpwstr/>
      </vt:variant>
      <vt:variant>
        <vt:lpwstr>_Toc79317406</vt:lpwstr>
      </vt:variant>
      <vt:variant>
        <vt:i4>1966131</vt:i4>
      </vt:variant>
      <vt:variant>
        <vt:i4>32</vt:i4>
      </vt:variant>
      <vt:variant>
        <vt:i4>0</vt:i4>
      </vt:variant>
      <vt:variant>
        <vt:i4>5</vt:i4>
      </vt:variant>
      <vt:variant>
        <vt:lpwstr/>
      </vt:variant>
      <vt:variant>
        <vt:lpwstr>_Toc79317405</vt:lpwstr>
      </vt:variant>
      <vt:variant>
        <vt:i4>2031667</vt:i4>
      </vt:variant>
      <vt:variant>
        <vt:i4>26</vt:i4>
      </vt:variant>
      <vt:variant>
        <vt:i4>0</vt:i4>
      </vt:variant>
      <vt:variant>
        <vt:i4>5</vt:i4>
      </vt:variant>
      <vt:variant>
        <vt:lpwstr/>
      </vt:variant>
      <vt:variant>
        <vt:lpwstr>_Toc79317404</vt:lpwstr>
      </vt:variant>
      <vt:variant>
        <vt:i4>1572915</vt:i4>
      </vt:variant>
      <vt:variant>
        <vt:i4>20</vt:i4>
      </vt:variant>
      <vt:variant>
        <vt:i4>0</vt:i4>
      </vt:variant>
      <vt:variant>
        <vt:i4>5</vt:i4>
      </vt:variant>
      <vt:variant>
        <vt:lpwstr/>
      </vt:variant>
      <vt:variant>
        <vt:lpwstr>_Toc79317403</vt:lpwstr>
      </vt:variant>
      <vt:variant>
        <vt:i4>1638451</vt:i4>
      </vt:variant>
      <vt:variant>
        <vt:i4>14</vt:i4>
      </vt:variant>
      <vt:variant>
        <vt:i4>0</vt:i4>
      </vt:variant>
      <vt:variant>
        <vt:i4>5</vt:i4>
      </vt:variant>
      <vt:variant>
        <vt:lpwstr/>
      </vt:variant>
      <vt:variant>
        <vt:lpwstr>_Toc79317402</vt:lpwstr>
      </vt:variant>
      <vt:variant>
        <vt:i4>1703987</vt:i4>
      </vt:variant>
      <vt:variant>
        <vt:i4>8</vt:i4>
      </vt:variant>
      <vt:variant>
        <vt:i4>0</vt:i4>
      </vt:variant>
      <vt:variant>
        <vt:i4>5</vt:i4>
      </vt:variant>
      <vt:variant>
        <vt:lpwstr/>
      </vt:variant>
      <vt:variant>
        <vt:lpwstr>_Toc79317401</vt:lpwstr>
      </vt:variant>
      <vt:variant>
        <vt:i4>1769523</vt:i4>
      </vt:variant>
      <vt:variant>
        <vt:i4>2</vt:i4>
      </vt:variant>
      <vt:variant>
        <vt:i4>0</vt:i4>
      </vt:variant>
      <vt:variant>
        <vt:i4>5</vt:i4>
      </vt:variant>
      <vt:variant>
        <vt:lpwstr/>
      </vt:variant>
      <vt:variant>
        <vt:lpwstr>_Toc79317400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Beaupert</dc:creator>
  <cp:keywords/>
  <cp:lastModifiedBy>Lindsey Woollard</cp:lastModifiedBy>
  <cp:revision>87</cp:revision>
  <cp:lastPrinted>2021-08-03T11:24:00Z</cp:lastPrinted>
  <dcterms:created xsi:type="dcterms:W3CDTF">2021-08-08T02:08:00Z</dcterms:created>
  <dcterms:modified xsi:type="dcterms:W3CDTF">2021-08-30T00:53:00Z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id="UmebdeFn"/&gt;&lt;style id="http://www.zotero.org/styles/new-harts-rules-the-oxford-style-guide" hasBibliography="1" bibliographyStyleHasBeenSet="0"/&gt;&lt;prefs&gt;&lt;pref name="noteType" value="1"/&gt;&lt;pref nam</vt:lpwstr>
  </property>
  <property fmtid="{D5CDD505-2E9C-101B-9397-08002B2CF9AE}" pid="3" name="ZOTERO_PREF_2">
    <vt:lpwstr>e="fieldType" value="Field"/&gt;&lt;/prefs&gt;&lt;/data&gt;</vt:lpwstr>
  </property>
</Properties>
</file>