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FC2D" w14:textId="0CCF2822" w:rsidR="00613F85" w:rsidRDefault="00DE0067" w:rsidP="00613F85">
      <w:pPr>
        <w:spacing w:line="360" w:lineRule="auto"/>
        <w:rPr>
          <w:rFonts w:cs="Arial"/>
          <w:b/>
        </w:rPr>
      </w:pPr>
      <w:r w:rsidRPr="00CE566D">
        <w:rPr>
          <w:rFonts w:cs="Arial"/>
          <w:b/>
          <w:noProof/>
          <w:color w:val="AEAAAA" w:themeColor="background2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E3B968" wp14:editId="4979E90C">
            <wp:simplePos x="0" y="0"/>
            <wp:positionH relativeFrom="margin">
              <wp:posOffset>3514035</wp:posOffset>
            </wp:positionH>
            <wp:positionV relativeFrom="margin">
              <wp:posOffset>-128596</wp:posOffset>
            </wp:positionV>
            <wp:extent cx="3088178" cy="94765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78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6D182" w14:textId="77777777" w:rsidR="00613F85" w:rsidRDefault="00613F85" w:rsidP="00613F85">
      <w:pPr>
        <w:spacing w:line="360" w:lineRule="auto"/>
        <w:rPr>
          <w:rFonts w:cs="Arial"/>
          <w:b/>
        </w:rPr>
      </w:pPr>
    </w:p>
    <w:p w14:paraId="6BBD07B9" w14:textId="55828FB0" w:rsidR="00AE08D7" w:rsidRPr="00613F85" w:rsidRDefault="002F2A41" w:rsidP="00613F85">
      <w:pPr>
        <w:spacing w:line="360" w:lineRule="auto"/>
        <w:rPr>
          <w:rFonts w:cs="Arial"/>
          <w:b/>
          <w:sz w:val="36"/>
          <w:szCs w:val="36"/>
        </w:rPr>
      </w:pPr>
      <w:r w:rsidRPr="00613F85">
        <w:rPr>
          <w:rFonts w:cs="Arial"/>
          <w:b/>
          <w:sz w:val="36"/>
          <w:szCs w:val="36"/>
        </w:rPr>
        <w:t>Position Statement</w:t>
      </w:r>
      <w:r w:rsidR="00AE08D7" w:rsidRPr="00613F85">
        <w:rPr>
          <w:rFonts w:cs="Arial"/>
          <w:b/>
          <w:sz w:val="36"/>
          <w:szCs w:val="36"/>
        </w:rPr>
        <w:t xml:space="preserve"> </w:t>
      </w:r>
      <w:r w:rsidR="00CE566D">
        <w:rPr>
          <w:rFonts w:cs="Arial"/>
          <w:b/>
          <w:sz w:val="36"/>
          <w:szCs w:val="36"/>
        </w:rPr>
        <w:br/>
      </w:r>
      <w:r w:rsidR="00DE0067" w:rsidRPr="00DE0067">
        <w:rPr>
          <w:rFonts w:cs="Arial"/>
          <w:b/>
          <w:sz w:val="36"/>
          <w:szCs w:val="36"/>
        </w:rPr>
        <w:t>Guardianship, substitute and supported decision-making</w:t>
      </w:r>
    </w:p>
    <w:p w14:paraId="72038D1D" w14:textId="08057E7C" w:rsidR="00DF4503" w:rsidRPr="00210092" w:rsidRDefault="00DF4503" w:rsidP="00C81ABF">
      <w:pPr>
        <w:keepNext/>
        <w:keepLines/>
        <w:spacing w:line="360" w:lineRule="auto"/>
        <w:outlineLvl w:val="0"/>
        <w:rPr>
          <w:rFonts w:cs="Arial"/>
          <w:b/>
          <w:bCs/>
          <w:sz w:val="24"/>
          <w:szCs w:val="24"/>
          <w:lang w:val="en-US"/>
        </w:rPr>
      </w:pPr>
      <w:bookmarkStart w:id="0" w:name="_Hlk75776284"/>
      <w:r w:rsidRPr="00210092">
        <w:rPr>
          <w:rFonts w:cs="Arial"/>
          <w:b/>
          <w:bCs/>
          <w:sz w:val="24"/>
          <w:szCs w:val="24"/>
          <w:lang w:val="en-US"/>
        </w:rPr>
        <w:t>Position</w:t>
      </w:r>
    </w:p>
    <w:p w14:paraId="53FE32C8" w14:textId="062E58AA" w:rsidR="00DE0067" w:rsidRPr="00DE0067" w:rsidRDefault="00DE0067" w:rsidP="00DE0067">
      <w:pPr>
        <w:pStyle w:val="BodyText"/>
        <w:spacing w:before="0" w:after="0"/>
        <w:rPr>
          <w:rFonts w:ascii="Arial" w:hAnsi="Arial" w:cs="Arial"/>
        </w:rPr>
      </w:pPr>
      <w:r w:rsidRPr="00DE0067">
        <w:rPr>
          <w:rFonts w:ascii="Arial" w:hAnsi="Arial" w:cs="Arial"/>
        </w:rPr>
        <w:t xml:space="preserve">Australia </w:t>
      </w:r>
      <w:r w:rsidR="00135B75">
        <w:rPr>
          <w:rFonts w:ascii="Arial" w:hAnsi="Arial" w:cs="Arial"/>
        </w:rPr>
        <w:t>should transition away from</w:t>
      </w:r>
      <w:r w:rsidRPr="00DE0067">
        <w:rPr>
          <w:rFonts w:ascii="Arial" w:hAnsi="Arial" w:cs="Arial"/>
        </w:rPr>
        <w:t xml:space="preserve"> guardianship and substitute decision-making</w:t>
      </w:r>
      <w:r w:rsidR="00E32ECB">
        <w:rPr>
          <w:rFonts w:ascii="Arial" w:hAnsi="Arial" w:cs="Arial"/>
        </w:rPr>
        <w:t xml:space="preserve"> models and practices</w:t>
      </w:r>
      <w:r w:rsidRPr="00DE0067">
        <w:rPr>
          <w:rFonts w:ascii="Arial" w:hAnsi="Arial" w:cs="Arial"/>
        </w:rPr>
        <w:t xml:space="preserve"> and</w:t>
      </w:r>
      <w:r w:rsidR="00E32ECB">
        <w:rPr>
          <w:rFonts w:ascii="Arial" w:hAnsi="Arial" w:cs="Arial"/>
        </w:rPr>
        <w:t xml:space="preserve"> move</w:t>
      </w:r>
      <w:r w:rsidRPr="00DE0067">
        <w:rPr>
          <w:rFonts w:ascii="Arial" w:hAnsi="Arial" w:cs="Arial"/>
        </w:rPr>
        <w:t xml:space="preserve"> towards a national supported decision-</w:t>
      </w:r>
      <w:r w:rsidRPr="00DE0067">
        <w:rPr>
          <w:rFonts w:ascii="Arial" w:hAnsi="Arial" w:cs="Arial"/>
          <w:color w:val="000000" w:themeColor="text1"/>
        </w:rPr>
        <w:t xml:space="preserve">making model, consistent with Australia’s obligations under the United Nations </w:t>
      </w:r>
      <w:hyperlink r:id="rId9" w:history="1">
        <w:r w:rsidRPr="00DE0067">
          <w:rPr>
            <w:rStyle w:val="Hyperlink"/>
            <w:rFonts w:ascii="Arial" w:hAnsi="Arial" w:cs="Arial"/>
            <w:i/>
            <w:iCs/>
            <w:color w:val="000000" w:themeColor="text1"/>
            <w:u w:val="none"/>
          </w:rPr>
          <w:t>Convention on the Rights of Persons with Disabilities</w:t>
        </w:r>
      </w:hyperlink>
      <w:r w:rsidRPr="00DE0067">
        <w:rPr>
          <w:rFonts w:ascii="Arial" w:hAnsi="Arial" w:cs="Arial"/>
          <w:color w:val="000000" w:themeColor="text1"/>
        </w:rPr>
        <w:t xml:space="preserve"> (</w:t>
      </w:r>
      <w:r w:rsidR="00C81741">
        <w:rPr>
          <w:rFonts w:ascii="Arial" w:hAnsi="Arial" w:cs="Arial"/>
          <w:color w:val="000000" w:themeColor="text1"/>
        </w:rPr>
        <w:t xml:space="preserve">UN </w:t>
      </w:r>
      <w:r w:rsidRPr="00DE0067">
        <w:rPr>
          <w:rFonts w:ascii="Arial" w:hAnsi="Arial" w:cs="Arial"/>
          <w:color w:val="000000" w:themeColor="text1"/>
        </w:rPr>
        <w:t>CRPD) and other international human rights treaties.</w:t>
      </w:r>
    </w:p>
    <w:p w14:paraId="5F94F43A" w14:textId="735114AD" w:rsidR="00AE08D7" w:rsidRPr="00210092" w:rsidRDefault="00AE08D7" w:rsidP="00C81ABF">
      <w:pPr>
        <w:keepNext/>
        <w:keepLines/>
        <w:spacing w:line="360" w:lineRule="auto"/>
        <w:outlineLvl w:val="0"/>
        <w:rPr>
          <w:rFonts w:cs="Arial"/>
          <w:b/>
          <w:bCs/>
          <w:sz w:val="24"/>
          <w:szCs w:val="24"/>
          <w:lang w:val="en-US"/>
        </w:rPr>
      </w:pPr>
      <w:r w:rsidRPr="00210092">
        <w:rPr>
          <w:rFonts w:cs="Arial"/>
          <w:b/>
          <w:bCs/>
          <w:sz w:val="24"/>
          <w:szCs w:val="24"/>
          <w:lang w:val="en-US"/>
        </w:rPr>
        <w:t>Background</w:t>
      </w:r>
    </w:p>
    <w:p w14:paraId="2B54CD7D" w14:textId="02FA7967" w:rsidR="00DE0067" w:rsidRPr="00DE0067" w:rsidRDefault="00DE0067" w:rsidP="00DE0067">
      <w:pPr>
        <w:pStyle w:val="BodyText"/>
        <w:spacing w:before="0" w:after="0"/>
        <w:rPr>
          <w:rFonts w:ascii="Arial" w:hAnsi="Arial" w:cs="Arial"/>
        </w:rPr>
      </w:pPr>
      <w:r w:rsidRPr="00DE0067">
        <w:rPr>
          <w:rFonts w:ascii="Arial" w:hAnsi="Arial" w:cs="Arial"/>
        </w:rPr>
        <w:t xml:space="preserve">Article 12(3) of the </w:t>
      </w:r>
      <w:r w:rsidR="00E32ECB">
        <w:rPr>
          <w:rFonts w:ascii="Arial" w:hAnsi="Arial" w:cs="Arial"/>
        </w:rPr>
        <w:t xml:space="preserve">UN </w:t>
      </w:r>
      <w:r w:rsidRPr="00DE0067">
        <w:rPr>
          <w:rFonts w:ascii="Arial" w:hAnsi="Arial" w:cs="Arial"/>
        </w:rPr>
        <w:t>CRPD requires that States Parties provide people with disability access to the support that they may require to exercise their legal capacity.</w:t>
      </w:r>
      <w:r w:rsidRPr="00DE0067">
        <w:rPr>
          <w:rStyle w:val="FootnoteReference"/>
          <w:rFonts w:ascii="Arial" w:hAnsi="Arial" w:cs="Arial"/>
        </w:rPr>
        <w:footnoteReference w:id="1"/>
      </w:r>
      <w:r w:rsidRPr="00DE0067">
        <w:rPr>
          <w:rFonts w:ascii="Arial" w:hAnsi="Arial" w:cs="Arial"/>
        </w:rPr>
        <w:t xml:space="preserve">  The CRPD Committee’s General Comment No.1 explains that ‘support’ includes both informal and formal support arrangements.</w:t>
      </w:r>
      <w:r w:rsidRPr="00DE0067">
        <w:rPr>
          <w:rStyle w:val="FootnoteReference"/>
          <w:rFonts w:ascii="Arial" w:hAnsi="Arial" w:cs="Arial"/>
        </w:rPr>
        <w:footnoteReference w:id="2"/>
      </w:r>
    </w:p>
    <w:p w14:paraId="017BDB39" w14:textId="2882FB8A" w:rsidR="00DE0067" w:rsidRPr="00C81741" w:rsidRDefault="00DF4503" w:rsidP="003C21C3">
      <w:pPr>
        <w:spacing w:line="360" w:lineRule="auto"/>
        <w:rPr>
          <w:rFonts w:cs="Arial"/>
          <w:sz w:val="24"/>
          <w:szCs w:val="24"/>
        </w:rPr>
      </w:pPr>
      <w:r w:rsidRPr="00210092">
        <w:rPr>
          <w:rFonts w:cs="Arial"/>
          <w:b/>
          <w:bCs/>
          <w:sz w:val="24"/>
          <w:szCs w:val="24"/>
        </w:rPr>
        <w:t xml:space="preserve">Rationale </w:t>
      </w:r>
      <w:r w:rsidR="00AE08D7" w:rsidRPr="00210092">
        <w:rPr>
          <w:rFonts w:cs="Arial"/>
          <w:b/>
          <w:sz w:val="24"/>
          <w:szCs w:val="24"/>
          <w:lang w:val="en-US"/>
        </w:rPr>
        <w:br/>
      </w:r>
      <w:bookmarkStart w:id="1" w:name="_Hlk75344444"/>
      <w:bookmarkEnd w:id="0"/>
      <w:r w:rsidR="00DE0067" w:rsidRPr="00C81741">
        <w:rPr>
          <w:rFonts w:cs="Arial"/>
          <w:sz w:val="24"/>
          <w:szCs w:val="24"/>
        </w:rPr>
        <w:t xml:space="preserve">As part of the move towards a national supported decision-making model consistent with Australia’s obligations under the UN CRPD, </w:t>
      </w:r>
      <w:r w:rsidR="00E32ECB" w:rsidRPr="00C81741">
        <w:rPr>
          <w:rFonts w:cs="Arial"/>
          <w:sz w:val="24"/>
          <w:szCs w:val="24"/>
        </w:rPr>
        <w:t xml:space="preserve">government </w:t>
      </w:r>
      <w:r w:rsidR="00C81741">
        <w:rPr>
          <w:rFonts w:cs="Arial"/>
          <w:sz w:val="24"/>
          <w:szCs w:val="24"/>
        </w:rPr>
        <w:t xml:space="preserve">must </w:t>
      </w:r>
      <w:r w:rsidR="00E32ECB" w:rsidRPr="00C81741">
        <w:rPr>
          <w:rFonts w:cs="Arial"/>
          <w:sz w:val="24"/>
          <w:szCs w:val="24"/>
        </w:rPr>
        <w:t xml:space="preserve">evaluate existing supported decision-making models </w:t>
      </w:r>
      <w:r w:rsidR="00F86D11" w:rsidRPr="00C81741">
        <w:rPr>
          <w:rFonts w:cs="Arial"/>
          <w:sz w:val="24"/>
          <w:szCs w:val="24"/>
        </w:rPr>
        <w:t>already</w:t>
      </w:r>
      <w:r w:rsidR="00E32ECB" w:rsidRPr="00C81741">
        <w:rPr>
          <w:rFonts w:cs="Arial"/>
          <w:sz w:val="24"/>
          <w:szCs w:val="24"/>
        </w:rPr>
        <w:t xml:space="preserve"> functioning in other </w:t>
      </w:r>
      <w:r w:rsidR="00C81741">
        <w:rPr>
          <w:rFonts w:cs="Arial"/>
          <w:sz w:val="24"/>
          <w:szCs w:val="24"/>
        </w:rPr>
        <w:t>jurisdictions</w:t>
      </w:r>
      <w:r w:rsidR="00E32ECB" w:rsidRPr="00C81741">
        <w:rPr>
          <w:rFonts w:cs="Arial"/>
          <w:sz w:val="24"/>
          <w:szCs w:val="24"/>
        </w:rPr>
        <w:t xml:space="preserve"> and countries.  </w:t>
      </w:r>
      <w:r w:rsidR="00DE0067" w:rsidRPr="00C81741">
        <w:rPr>
          <w:rFonts w:cs="Arial"/>
          <w:sz w:val="24"/>
          <w:szCs w:val="24"/>
        </w:rPr>
        <w:t xml:space="preserve">Australia </w:t>
      </w:r>
      <w:r w:rsidR="00E32ECB" w:rsidRPr="00C81741">
        <w:rPr>
          <w:rFonts w:cs="Arial"/>
          <w:sz w:val="24"/>
          <w:szCs w:val="24"/>
        </w:rPr>
        <w:t xml:space="preserve">must </w:t>
      </w:r>
      <w:r w:rsidR="00DE0067" w:rsidRPr="00C81741">
        <w:rPr>
          <w:rFonts w:cs="Arial"/>
          <w:sz w:val="24"/>
          <w:szCs w:val="24"/>
        </w:rPr>
        <w:t xml:space="preserve">commission co-designed </w:t>
      </w:r>
      <w:r w:rsidR="00F86D11" w:rsidRPr="00C81741">
        <w:rPr>
          <w:rFonts w:cs="Arial"/>
          <w:sz w:val="24"/>
          <w:szCs w:val="24"/>
        </w:rPr>
        <w:t xml:space="preserve">and co-delivered </w:t>
      </w:r>
      <w:r w:rsidR="00DE0067" w:rsidRPr="00C81741">
        <w:rPr>
          <w:rFonts w:cs="Arial"/>
          <w:sz w:val="24"/>
          <w:szCs w:val="24"/>
        </w:rPr>
        <w:t xml:space="preserve">research and evaluation of existing supported decision-making models including those of Victoria (Australia), Peru and Ireland, as well as examining current substitute decision-making systems in all Australian jurisdictions. </w:t>
      </w:r>
    </w:p>
    <w:p w14:paraId="0795C64B" w14:textId="4176D03E" w:rsidR="00DE0067" w:rsidRPr="00DE0067" w:rsidRDefault="00DE0067" w:rsidP="00DE0067">
      <w:pPr>
        <w:pStyle w:val="BodyText"/>
        <w:rPr>
          <w:rFonts w:ascii="Arial" w:hAnsi="Arial" w:cs="Arial"/>
        </w:rPr>
      </w:pPr>
      <w:r w:rsidRPr="00DE0067">
        <w:rPr>
          <w:rFonts w:ascii="Arial" w:hAnsi="Arial" w:cs="Arial"/>
        </w:rPr>
        <w:t xml:space="preserve">The research </w:t>
      </w:r>
      <w:r w:rsidR="0011785A">
        <w:rPr>
          <w:rFonts w:ascii="Arial" w:hAnsi="Arial" w:cs="Arial"/>
        </w:rPr>
        <w:t>must</w:t>
      </w:r>
      <w:r w:rsidRPr="00DE0067">
        <w:rPr>
          <w:rFonts w:ascii="Arial" w:hAnsi="Arial" w:cs="Arial"/>
        </w:rPr>
        <w:t xml:space="preserve"> explore barriers and enablers to progress the necessary change, including supported decision-making awareness and capacity building for parents, peers and </w:t>
      </w:r>
      <w:r w:rsidR="00F86D11">
        <w:rPr>
          <w:rFonts w:ascii="Arial" w:hAnsi="Arial" w:cs="Arial"/>
        </w:rPr>
        <w:t>professionals such as allied health workers</w:t>
      </w:r>
      <w:r w:rsidRPr="00DE0067">
        <w:rPr>
          <w:rFonts w:ascii="Arial" w:hAnsi="Arial" w:cs="Arial"/>
        </w:rPr>
        <w:t>, and embedding supported decision-making principles in public and private settings, such as banks and hospitals.</w:t>
      </w:r>
    </w:p>
    <w:p w14:paraId="38E2A84D" w14:textId="07F2B57F" w:rsidR="00613F85" w:rsidRDefault="00DA28F2" w:rsidP="00C81ABF">
      <w:pPr>
        <w:spacing w:line="360" w:lineRule="auto"/>
        <w:rPr>
          <w:rFonts w:cs="Arial"/>
          <w:b/>
          <w:bCs/>
          <w:sz w:val="24"/>
          <w:szCs w:val="24"/>
        </w:rPr>
      </w:pPr>
      <w:r w:rsidRPr="00210092">
        <w:rPr>
          <w:rFonts w:cs="Arial"/>
          <w:b/>
          <w:bCs/>
          <w:sz w:val="24"/>
          <w:szCs w:val="24"/>
        </w:rPr>
        <w:t>Recommendations</w:t>
      </w:r>
    </w:p>
    <w:p w14:paraId="7F362101" w14:textId="0D026A92" w:rsidR="00DE0067" w:rsidRPr="00DE0067" w:rsidRDefault="0011785A" w:rsidP="00C81ABF">
      <w:pPr>
        <w:spacing w:line="360" w:lineRule="auto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In recognition </w:t>
      </w:r>
      <w:r w:rsidR="00DE0067" w:rsidRPr="00DE0067">
        <w:rPr>
          <w:rStyle w:val="markedcontent"/>
          <w:sz w:val="24"/>
          <w:szCs w:val="24"/>
        </w:rPr>
        <w:t xml:space="preserve">that a national overhaul of Australia’s guardianship and financial management framework will be a lengthy </w:t>
      </w:r>
      <w:r w:rsidR="0075342F" w:rsidRPr="00DE0067">
        <w:rPr>
          <w:rStyle w:val="markedcontent"/>
          <w:sz w:val="24"/>
          <w:szCs w:val="24"/>
        </w:rPr>
        <w:t>process and</w:t>
      </w:r>
      <w:r w:rsidR="00DE0067" w:rsidRPr="00DE0067">
        <w:rPr>
          <w:rStyle w:val="markedcontent"/>
          <w:sz w:val="24"/>
          <w:szCs w:val="24"/>
        </w:rPr>
        <w:t xml:space="preserve"> acknowledging the complexities and barriers to moving from a long-standing model to a new framework, PWDA recommends the following interim measures to improve current systems. These interim measures include:</w:t>
      </w:r>
    </w:p>
    <w:p w14:paraId="24688C11" w14:textId="77777777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lastRenderedPageBreak/>
        <w:t>An increase in funding and training to increase access to support for decision-making</w:t>
      </w:r>
    </w:p>
    <w:p w14:paraId="59D238DF" w14:textId="77777777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Access to individual advocacy and a requirement that a person with disability and their support person are included in all guardianship and financial management order applications</w:t>
      </w:r>
    </w:p>
    <w:p w14:paraId="70DCB4E6" w14:textId="0ADACAB6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Training and improved guidance for hospital staff who make </w:t>
      </w:r>
      <w:r w:rsidR="008C39B9">
        <w:rPr>
          <w:rStyle w:val="markedcontent"/>
          <w:rFonts w:ascii="Arial" w:hAnsi="Arial" w:cs="Arial"/>
          <w:sz w:val="24"/>
          <w:szCs w:val="24"/>
        </w:rPr>
        <w:t xml:space="preserve">guardianship </w:t>
      </w:r>
      <w:r w:rsidR="004231BF">
        <w:rPr>
          <w:rStyle w:val="markedcontent"/>
          <w:rFonts w:ascii="Arial" w:hAnsi="Arial" w:cs="Arial"/>
          <w:sz w:val="24"/>
          <w:szCs w:val="24"/>
        </w:rPr>
        <w:t xml:space="preserve">and financial management </w:t>
      </w:r>
      <w:r w:rsidRPr="00DE0067">
        <w:rPr>
          <w:rStyle w:val="markedcontent"/>
          <w:rFonts w:ascii="Arial" w:hAnsi="Arial" w:cs="Arial"/>
          <w:sz w:val="24"/>
          <w:szCs w:val="24"/>
        </w:rPr>
        <w:t>applications</w:t>
      </w:r>
    </w:p>
    <w:p w14:paraId="5E14DF5A" w14:textId="5BFBED61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All decisions to be directed by 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the </w:t>
      </w:r>
      <w:r w:rsidRPr="00DE0067">
        <w:rPr>
          <w:rStyle w:val="markedcontent"/>
          <w:rFonts w:ascii="Arial" w:hAnsi="Arial" w:cs="Arial"/>
          <w:sz w:val="24"/>
          <w:szCs w:val="24"/>
        </w:rPr>
        <w:t>will and preferences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 of the person with disability</w:t>
      </w:r>
      <w:r w:rsidRPr="00DE0067">
        <w:rPr>
          <w:rStyle w:val="markedcontent"/>
          <w:rFonts w:ascii="Arial" w:hAnsi="Arial" w:cs="Arial"/>
          <w:sz w:val="24"/>
          <w:szCs w:val="24"/>
        </w:rPr>
        <w:t xml:space="preserve"> or the best interpretation of their will and preferences</w:t>
      </w:r>
      <w:r w:rsidR="004231B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4781B">
        <w:rPr>
          <w:rStyle w:val="markedcontent"/>
          <w:rFonts w:ascii="Arial" w:hAnsi="Arial" w:cs="Arial"/>
          <w:sz w:val="24"/>
          <w:szCs w:val="24"/>
        </w:rPr>
        <w:t xml:space="preserve">where all </w:t>
      </w:r>
      <w:r w:rsidR="00717C89">
        <w:rPr>
          <w:rStyle w:val="markedcontent"/>
          <w:rFonts w:ascii="Arial" w:hAnsi="Arial" w:cs="Arial"/>
          <w:sz w:val="24"/>
          <w:szCs w:val="24"/>
        </w:rPr>
        <w:t>support options to determine the person’s will and preference have been exhausted</w:t>
      </w:r>
    </w:p>
    <w:p w14:paraId="61C96D04" w14:textId="73D7D2B3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Reform of state and territory governments guardianship legislation and/or policy documents to give primacy to the choice of guardian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 of the person with disability</w:t>
      </w:r>
      <w:r w:rsidRPr="00DE0067">
        <w:rPr>
          <w:rStyle w:val="markedcontent"/>
          <w:rFonts w:ascii="Arial" w:hAnsi="Arial" w:cs="Arial"/>
          <w:sz w:val="24"/>
          <w:szCs w:val="24"/>
        </w:rPr>
        <w:t>, subject to safeguards, and</w:t>
      </w:r>
    </w:p>
    <w:p w14:paraId="07680CD2" w14:textId="1C162C9D" w:rsidR="00DE0067" w:rsidRPr="00DE0067" w:rsidRDefault="00DE0067" w:rsidP="00DE0067">
      <w:pPr>
        <w:pStyle w:val="ListParagraph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Increased opportunities for people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 with disability</w:t>
      </w:r>
      <w:r w:rsidRPr="00DE0067">
        <w:rPr>
          <w:rStyle w:val="markedcontent"/>
          <w:rFonts w:ascii="Arial" w:hAnsi="Arial" w:cs="Arial"/>
          <w:sz w:val="24"/>
          <w:szCs w:val="24"/>
        </w:rPr>
        <w:t xml:space="preserve"> to build their decision-making capacity.</w:t>
      </w:r>
    </w:p>
    <w:p w14:paraId="375D5DC3" w14:textId="77777777" w:rsidR="00DE0067" w:rsidRPr="00DE0067" w:rsidRDefault="00DE0067" w:rsidP="00DE0067">
      <w:pPr>
        <w:spacing w:line="360" w:lineRule="auto"/>
        <w:rPr>
          <w:rStyle w:val="markedcontent"/>
          <w:sz w:val="24"/>
          <w:szCs w:val="24"/>
        </w:rPr>
      </w:pPr>
      <w:r w:rsidRPr="00DE0067">
        <w:rPr>
          <w:rStyle w:val="markedcontent"/>
          <w:sz w:val="24"/>
          <w:szCs w:val="24"/>
        </w:rPr>
        <w:t xml:space="preserve">Although these interim measures will reduce some of the negative impacts of current guardianship and financial management regimes, they are insufficient to fully uphold the rights of people with disability. </w:t>
      </w:r>
    </w:p>
    <w:p w14:paraId="479C1117" w14:textId="25FFFABA" w:rsidR="00DE0067" w:rsidRPr="00DE0067" w:rsidRDefault="00DE0067" w:rsidP="00DE0067">
      <w:pPr>
        <w:spacing w:line="360" w:lineRule="auto"/>
        <w:rPr>
          <w:rStyle w:val="markedcontent"/>
          <w:sz w:val="24"/>
          <w:szCs w:val="24"/>
        </w:rPr>
      </w:pPr>
      <w:r w:rsidRPr="00DE0067">
        <w:rPr>
          <w:rStyle w:val="markedcontent"/>
          <w:sz w:val="24"/>
          <w:szCs w:val="24"/>
        </w:rPr>
        <w:t>To fully uphold the human rights of people with disability, and comply with the</w:t>
      </w:r>
      <w:r>
        <w:rPr>
          <w:rStyle w:val="markedcontent"/>
          <w:sz w:val="24"/>
          <w:szCs w:val="24"/>
        </w:rPr>
        <w:t xml:space="preserve"> UN</w:t>
      </w:r>
      <w:r w:rsidRPr="00DE0067">
        <w:rPr>
          <w:rStyle w:val="markedcontent"/>
          <w:sz w:val="24"/>
          <w:szCs w:val="24"/>
        </w:rPr>
        <w:t xml:space="preserve"> CRPD, Australia must replace current substitute decision-making regimes with a supported decision-making framework that includes the following CRPD-compliant key features:</w:t>
      </w:r>
    </w:p>
    <w:p w14:paraId="49486770" w14:textId="7777777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Supported decision-making is available to everyone and should not depend on mental capacity assessments </w:t>
      </w:r>
    </w:p>
    <w:p w14:paraId="79B51A7C" w14:textId="7777777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All forms of support to exercise legal capacity must be based on the will and preference of the person with disability, rather than their ‘best interests’</w:t>
      </w:r>
    </w:p>
    <w:p w14:paraId="33C60F58" w14:textId="15706C40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The Australian Government must fund and facilitate the creation of support, particularly for isolated people </w:t>
      </w:r>
      <w:r w:rsidR="0011785A">
        <w:rPr>
          <w:rStyle w:val="markedcontent"/>
          <w:rFonts w:ascii="Arial" w:hAnsi="Arial" w:cs="Arial"/>
          <w:sz w:val="24"/>
          <w:szCs w:val="24"/>
        </w:rPr>
        <w:t>with disability</w:t>
      </w:r>
    </w:p>
    <w:p w14:paraId="50476607" w14:textId="39BB222D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There must be a mechanism for the verification of the support person’s identity and a mechanism for third parties to challenge actions 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of </w:t>
      </w:r>
      <w:r w:rsidR="0011785A" w:rsidRPr="00DE0067">
        <w:rPr>
          <w:rStyle w:val="markedcontent"/>
          <w:rFonts w:ascii="Arial" w:hAnsi="Arial" w:cs="Arial"/>
          <w:sz w:val="24"/>
          <w:szCs w:val="24"/>
        </w:rPr>
        <w:t xml:space="preserve">the support person </w:t>
      </w:r>
      <w:r w:rsidRPr="00DE0067">
        <w:rPr>
          <w:rStyle w:val="markedcontent"/>
          <w:rFonts w:ascii="Arial" w:hAnsi="Arial" w:cs="Arial"/>
          <w:sz w:val="24"/>
          <w:szCs w:val="24"/>
        </w:rPr>
        <w:t xml:space="preserve">where they do not align with the will and preference of the person with disability </w:t>
      </w:r>
    </w:p>
    <w:p w14:paraId="5E220A2F" w14:textId="7777777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People with disability must have the right to refuse support, change support or terminate support relationships </w:t>
      </w:r>
    </w:p>
    <w:p w14:paraId="5AED9FA3" w14:textId="30BF1CE3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lastRenderedPageBreak/>
        <w:t xml:space="preserve">Safeguards must be established to ensure the will and preferences 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of the person with disability </w:t>
      </w:r>
      <w:r w:rsidRPr="00DE0067">
        <w:rPr>
          <w:rStyle w:val="markedcontent"/>
          <w:rFonts w:ascii="Arial" w:hAnsi="Arial" w:cs="Arial"/>
          <w:sz w:val="24"/>
          <w:szCs w:val="24"/>
        </w:rPr>
        <w:t>are respected</w:t>
      </w:r>
    </w:p>
    <w:p w14:paraId="69122600" w14:textId="32823BDB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Where all support options have been exhausted and it is not possible to determine the will and preferences 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of a person with disability, </w:t>
      </w:r>
      <w:r w:rsidRPr="00DE0067">
        <w:rPr>
          <w:rStyle w:val="markedcontent"/>
          <w:rFonts w:ascii="Arial" w:hAnsi="Arial" w:cs="Arial"/>
          <w:sz w:val="24"/>
          <w:szCs w:val="24"/>
        </w:rPr>
        <w:t>a representative decision-maker (rather than substitute decision-maker) may be appointed</w:t>
      </w:r>
    </w:p>
    <w:p w14:paraId="7848BC84" w14:textId="493EFD0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The representative should make decisions based on the ‘best interpretation’ of the will and preferences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 of the person with disability</w:t>
      </w:r>
      <w:r w:rsidRPr="00DE0067">
        <w:rPr>
          <w:rStyle w:val="markedcontent"/>
          <w:rFonts w:ascii="Arial" w:hAnsi="Arial" w:cs="Arial"/>
          <w:sz w:val="24"/>
          <w:szCs w:val="24"/>
        </w:rPr>
        <w:t>, based on all information available</w:t>
      </w:r>
    </w:p>
    <w:p w14:paraId="19751116" w14:textId="189D7F3E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If it is still not possible to determine the best interpretation of will and preferences</w:t>
      </w:r>
      <w:r w:rsidR="0011785A">
        <w:rPr>
          <w:rStyle w:val="markedcontent"/>
          <w:rFonts w:ascii="Arial" w:hAnsi="Arial" w:cs="Arial"/>
          <w:sz w:val="24"/>
          <w:szCs w:val="24"/>
        </w:rPr>
        <w:t xml:space="preserve"> of the person with disability</w:t>
      </w:r>
      <w:r w:rsidRPr="00DE0067">
        <w:rPr>
          <w:rStyle w:val="markedcontent"/>
          <w:rFonts w:ascii="Arial" w:hAnsi="Arial" w:cs="Arial"/>
          <w:sz w:val="24"/>
          <w:szCs w:val="24"/>
        </w:rPr>
        <w:t xml:space="preserve">, the representative should </w:t>
      </w:r>
      <w:proofErr w:type="gramStart"/>
      <w:r w:rsidRPr="00DE0067">
        <w:rPr>
          <w:rStyle w:val="markedcontent"/>
          <w:rFonts w:ascii="Arial" w:hAnsi="Arial" w:cs="Arial"/>
          <w:sz w:val="24"/>
          <w:szCs w:val="24"/>
        </w:rPr>
        <w:t>make a decision</w:t>
      </w:r>
      <w:proofErr w:type="gramEnd"/>
      <w:r w:rsidRPr="00DE0067">
        <w:rPr>
          <w:rStyle w:val="markedcontent"/>
          <w:rFonts w:ascii="Arial" w:hAnsi="Arial" w:cs="Arial"/>
          <w:sz w:val="24"/>
          <w:szCs w:val="24"/>
        </w:rPr>
        <w:t xml:space="preserve"> with reference to the person’s human rights</w:t>
      </w:r>
    </w:p>
    <w:p w14:paraId="3B1D39A8" w14:textId="7777777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 xml:space="preserve">Fully funded independent supported decision-makers, which could include independent advocates, </w:t>
      </w:r>
      <w:proofErr w:type="gramStart"/>
      <w:r w:rsidRPr="00DE0067">
        <w:rPr>
          <w:rStyle w:val="markedcontent"/>
          <w:rFonts w:ascii="Arial" w:hAnsi="Arial" w:cs="Arial"/>
          <w:sz w:val="24"/>
          <w:szCs w:val="24"/>
        </w:rPr>
        <w:t>and;</w:t>
      </w:r>
      <w:proofErr w:type="gramEnd"/>
      <w:r w:rsidRPr="00DE0067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B39B280" w14:textId="77777777" w:rsidR="00DE0067" w:rsidRPr="00DE0067" w:rsidRDefault="00DE0067" w:rsidP="00DE0067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DE0067">
        <w:rPr>
          <w:rStyle w:val="markedcontent"/>
          <w:rFonts w:ascii="Arial" w:hAnsi="Arial" w:cs="Arial"/>
          <w:sz w:val="24"/>
          <w:szCs w:val="24"/>
        </w:rPr>
        <w:t>Legal recognition of the role of supported decision-makers.</w:t>
      </w:r>
    </w:p>
    <w:p w14:paraId="1F81DBDA" w14:textId="2EC3ECA2" w:rsidR="00DE0067" w:rsidRPr="00CF278D" w:rsidRDefault="00DE0067" w:rsidP="00DE0067">
      <w:pPr>
        <w:spacing w:line="360" w:lineRule="auto"/>
        <w:rPr>
          <w:rStyle w:val="markedcontent"/>
          <w:rFonts w:cs="Arial"/>
          <w:sz w:val="24"/>
          <w:szCs w:val="24"/>
        </w:rPr>
      </w:pPr>
      <w:r w:rsidRPr="00CF278D">
        <w:rPr>
          <w:rStyle w:val="markedcontent"/>
          <w:rFonts w:cs="Arial"/>
          <w:sz w:val="24"/>
          <w:szCs w:val="24"/>
        </w:rPr>
        <w:t xml:space="preserve">Instead of placing people with disability </w:t>
      </w:r>
      <w:r w:rsidR="001F2413">
        <w:rPr>
          <w:rStyle w:val="markedcontent"/>
          <w:rFonts w:cs="Arial"/>
          <w:sz w:val="24"/>
          <w:szCs w:val="24"/>
        </w:rPr>
        <w:t>under</w:t>
      </w:r>
      <w:r w:rsidR="001F2413" w:rsidRPr="00CF278D">
        <w:rPr>
          <w:rStyle w:val="markedcontent"/>
          <w:rFonts w:cs="Arial"/>
          <w:sz w:val="24"/>
          <w:szCs w:val="24"/>
        </w:rPr>
        <w:t xml:space="preserve"> </w:t>
      </w:r>
      <w:r w:rsidRPr="00CF278D">
        <w:rPr>
          <w:rStyle w:val="markedcontent"/>
          <w:rFonts w:cs="Arial"/>
          <w:sz w:val="24"/>
          <w:szCs w:val="24"/>
        </w:rPr>
        <w:t xml:space="preserve">guardianship and financial management orders, people should receive the support they need </w:t>
      </w:r>
      <w:r w:rsidR="000A09E4">
        <w:rPr>
          <w:rStyle w:val="markedcontent"/>
          <w:rFonts w:cs="Arial"/>
          <w:sz w:val="24"/>
          <w:szCs w:val="24"/>
        </w:rPr>
        <w:t>and</w:t>
      </w:r>
      <w:r w:rsidRPr="00CF278D">
        <w:rPr>
          <w:rStyle w:val="markedcontent"/>
          <w:rFonts w:cs="Arial"/>
          <w:sz w:val="24"/>
          <w:szCs w:val="24"/>
        </w:rPr>
        <w:t xml:space="preserve"> want to make their own decisions.</w:t>
      </w:r>
    </w:p>
    <w:p w14:paraId="55F7C306" w14:textId="77777777" w:rsidR="0073655A" w:rsidRDefault="0073655A" w:rsidP="00DE0067">
      <w:pPr>
        <w:pStyle w:val="Heading2"/>
        <w:spacing w:before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Hlk118321655"/>
    </w:p>
    <w:p w14:paraId="53DBFDB4" w14:textId="644C1613" w:rsidR="00DE0067" w:rsidRPr="00CF278D" w:rsidRDefault="00DE0067" w:rsidP="00DE0067">
      <w:pPr>
        <w:pStyle w:val="Heading2"/>
        <w:spacing w:before="0" w:line="360" w:lineRule="auto"/>
        <w:rPr>
          <w:rFonts w:ascii="Arial" w:hAnsi="Arial" w:cs="Arial"/>
          <w:b/>
          <w:bCs/>
          <w:sz w:val="24"/>
          <w:szCs w:val="24"/>
        </w:rPr>
      </w:pPr>
      <w:r w:rsidRPr="00CF278D">
        <w:rPr>
          <w:rFonts w:ascii="Arial" w:hAnsi="Arial" w:cs="Arial"/>
          <w:b/>
          <w:bCs/>
          <w:color w:val="000000" w:themeColor="text1"/>
          <w:sz w:val="24"/>
          <w:szCs w:val="24"/>
        </w:rPr>
        <w:t>Contact</w:t>
      </w:r>
    </w:p>
    <w:p w14:paraId="39A0D57B" w14:textId="77777777" w:rsidR="00DE0067" w:rsidRPr="00CF278D" w:rsidRDefault="00DE0067" w:rsidP="00DE0067">
      <w:pPr>
        <w:spacing w:line="360" w:lineRule="auto"/>
        <w:rPr>
          <w:rFonts w:cs="Arial"/>
          <w:sz w:val="24"/>
          <w:szCs w:val="24"/>
        </w:rPr>
      </w:pPr>
      <w:r w:rsidRPr="00CF278D">
        <w:rPr>
          <w:rFonts w:cs="Arial"/>
          <w:sz w:val="24"/>
          <w:szCs w:val="24"/>
        </w:rPr>
        <w:t>Giancarlo de Vera</w:t>
      </w:r>
    </w:p>
    <w:p w14:paraId="6A2AA985" w14:textId="77777777" w:rsidR="00DE0067" w:rsidRPr="00CF278D" w:rsidRDefault="00DE0067" w:rsidP="00DE0067">
      <w:pPr>
        <w:spacing w:line="360" w:lineRule="auto"/>
        <w:rPr>
          <w:rFonts w:cs="Arial"/>
          <w:sz w:val="24"/>
          <w:szCs w:val="24"/>
        </w:rPr>
      </w:pPr>
      <w:r w:rsidRPr="00CF278D">
        <w:rPr>
          <w:rFonts w:cs="Arial"/>
          <w:sz w:val="24"/>
          <w:szCs w:val="24"/>
        </w:rPr>
        <w:t>Senior Manager of Policy</w:t>
      </w:r>
      <w:r w:rsidRPr="00CF278D">
        <w:rPr>
          <w:rFonts w:cs="Arial"/>
          <w:sz w:val="24"/>
          <w:szCs w:val="24"/>
        </w:rPr>
        <w:br/>
      </w:r>
      <w:hyperlink r:id="rId10" w:history="1">
        <w:r w:rsidRPr="00CF278D">
          <w:rPr>
            <w:rStyle w:val="Hyperlink"/>
            <w:rFonts w:cs="Arial"/>
            <w:bCs/>
            <w:sz w:val="24"/>
            <w:szCs w:val="24"/>
          </w:rPr>
          <w:t>pwd@pwd.org.au</w:t>
        </w:r>
      </w:hyperlink>
      <w:r w:rsidRPr="00CF278D">
        <w:rPr>
          <w:rFonts w:cs="Arial"/>
          <w:sz w:val="24"/>
          <w:szCs w:val="24"/>
        </w:rPr>
        <w:t xml:space="preserve"> </w:t>
      </w:r>
      <w:bookmarkEnd w:id="1"/>
      <w:bookmarkEnd w:id="2"/>
    </w:p>
    <w:sectPr w:rsidR="00DE0067" w:rsidRPr="00CF278D" w:rsidSect="00402AFB">
      <w:footerReference w:type="default" r:id="rId11"/>
      <w:pgSz w:w="11906" w:h="16838"/>
      <w:pgMar w:top="1134" w:right="680" w:bottom="1701" w:left="680" w:header="0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DEB1" w14:textId="77777777" w:rsidR="0071735D" w:rsidRDefault="0071735D" w:rsidP="005A04DF">
      <w:r>
        <w:separator/>
      </w:r>
    </w:p>
  </w:endnote>
  <w:endnote w:type="continuationSeparator" w:id="0">
    <w:p w14:paraId="18F848D1" w14:textId="77777777" w:rsidR="0071735D" w:rsidRDefault="0071735D" w:rsidP="005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1343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7A1281" w14:textId="2410B6D5" w:rsidR="0027766A" w:rsidRDefault="00402AFB" w:rsidP="00402AFB">
            <w:pPr>
              <w:pStyle w:val="Footer"/>
            </w:pPr>
            <w:r>
              <w:t xml:space="preserve">PWDA Position Statement: </w:t>
            </w:r>
            <w:r w:rsidRPr="00402AFB">
              <w:t>Guardianship, substitute and supported decision-making</w:t>
            </w:r>
            <w:r>
              <w:tab/>
            </w:r>
            <w:r>
              <w:tab/>
              <w:t xml:space="preserve"> </w:t>
            </w:r>
            <w:r w:rsidRPr="00402AFB">
              <w:rPr>
                <w:sz w:val="24"/>
                <w:szCs w:val="24"/>
              </w:rPr>
              <w:fldChar w:fldCharType="begin"/>
            </w:r>
            <w:r w:rsidRPr="00402AFB">
              <w:instrText xml:space="preserve"> PAGE </w:instrText>
            </w:r>
            <w:r w:rsidRPr="00402AFB">
              <w:rPr>
                <w:sz w:val="24"/>
                <w:szCs w:val="24"/>
              </w:rPr>
              <w:fldChar w:fldCharType="separate"/>
            </w:r>
            <w:r w:rsidRPr="00402AFB">
              <w:rPr>
                <w:noProof/>
              </w:rPr>
              <w:t>2</w:t>
            </w:r>
            <w:r w:rsidRPr="00402AFB">
              <w:rPr>
                <w:sz w:val="24"/>
                <w:szCs w:val="24"/>
              </w:rPr>
              <w:fldChar w:fldCharType="end"/>
            </w:r>
            <w:r w:rsidRPr="00402AFB">
              <w:t xml:space="preserve"> of </w:t>
            </w:r>
            <w:r w:rsidR="004A6CA6">
              <w:fldChar w:fldCharType="begin"/>
            </w:r>
            <w:r w:rsidR="004A6CA6">
              <w:instrText xml:space="preserve"> NUMPAGES  </w:instrText>
            </w:r>
            <w:r w:rsidR="004A6CA6">
              <w:fldChar w:fldCharType="separate"/>
            </w:r>
            <w:r w:rsidRPr="00402AFB">
              <w:rPr>
                <w:noProof/>
              </w:rPr>
              <w:t>2</w:t>
            </w:r>
            <w:r w:rsidR="004A6CA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06B6" w14:textId="77777777" w:rsidR="0071735D" w:rsidRDefault="0071735D" w:rsidP="005A04DF">
      <w:r>
        <w:separator/>
      </w:r>
    </w:p>
  </w:footnote>
  <w:footnote w:type="continuationSeparator" w:id="0">
    <w:p w14:paraId="4F865A22" w14:textId="77777777" w:rsidR="0071735D" w:rsidRDefault="0071735D" w:rsidP="005A04DF">
      <w:r>
        <w:continuationSeparator/>
      </w:r>
    </w:p>
  </w:footnote>
  <w:footnote w:id="1">
    <w:p w14:paraId="6F5BEB7B" w14:textId="77777777" w:rsidR="00DE0067" w:rsidRPr="00FC7194" w:rsidRDefault="00DE0067" w:rsidP="00DE0067">
      <w:pPr>
        <w:pStyle w:val="FootnoteText"/>
        <w:rPr>
          <w:b/>
          <w:bCs/>
          <w:sz w:val="16"/>
          <w:szCs w:val="16"/>
          <w:lang w:val="en-IE"/>
        </w:rPr>
      </w:pPr>
      <w:r w:rsidRPr="00FC7194">
        <w:rPr>
          <w:rStyle w:val="FootnoteReference"/>
          <w:sz w:val="16"/>
          <w:szCs w:val="16"/>
        </w:rPr>
        <w:footnoteRef/>
      </w:r>
      <w:r w:rsidRPr="00FC7194">
        <w:rPr>
          <w:sz w:val="16"/>
          <w:szCs w:val="16"/>
        </w:rPr>
        <w:t xml:space="preserve"> </w:t>
      </w:r>
      <w:hyperlink r:id="rId1" w:history="1">
        <w:r w:rsidRPr="00FC7194">
          <w:rPr>
            <w:rStyle w:val="Hyperlink"/>
            <w:bCs/>
            <w:sz w:val="16"/>
            <w:szCs w:val="16"/>
          </w:rPr>
          <w:t>CRPD Article 12</w:t>
        </w:r>
      </w:hyperlink>
    </w:p>
  </w:footnote>
  <w:footnote w:id="2">
    <w:p w14:paraId="3465BAEE" w14:textId="77777777" w:rsidR="00DE0067" w:rsidRPr="00AD31D1" w:rsidRDefault="00DE0067" w:rsidP="00DE0067">
      <w:pPr>
        <w:pStyle w:val="FootnoteText"/>
        <w:rPr>
          <w:lang w:val="en-IE"/>
        </w:rPr>
      </w:pPr>
      <w:r w:rsidRPr="00FC7194">
        <w:rPr>
          <w:rStyle w:val="FootnoteReference"/>
          <w:b/>
          <w:bCs/>
          <w:sz w:val="16"/>
          <w:szCs w:val="16"/>
        </w:rPr>
        <w:footnoteRef/>
      </w:r>
      <w:r w:rsidRPr="00FC7194">
        <w:rPr>
          <w:b/>
          <w:bCs/>
          <w:sz w:val="16"/>
          <w:szCs w:val="16"/>
        </w:rPr>
        <w:t xml:space="preserve"> </w:t>
      </w:r>
      <w:hyperlink r:id="rId2" w:history="1">
        <w:r w:rsidRPr="00FC7194">
          <w:rPr>
            <w:rStyle w:val="Hyperlink"/>
            <w:bCs/>
            <w:sz w:val="16"/>
            <w:szCs w:val="16"/>
          </w:rPr>
          <w:t>CRPD Committee’s General Comment No.1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3FB"/>
    <w:multiLevelType w:val="hybridMultilevel"/>
    <w:tmpl w:val="A336D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7E9"/>
    <w:multiLevelType w:val="hybridMultilevel"/>
    <w:tmpl w:val="2EA49B0E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659"/>
    <w:multiLevelType w:val="hybridMultilevel"/>
    <w:tmpl w:val="09D0B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34C8"/>
    <w:multiLevelType w:val="hybridMultilevel"/>
    <w:tmpl w:val="1754325C"/>
    <w:lvl w:ilvl="0" w:tplc="5922C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39B"/>
    <w:multiLevelType w:val="hybridMultilevel"/>
    <w:tmpl w:val="97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7E7"/>
    <w:multiLevelType w:val="hybridMultilevel"/>
    <w:tmpl w:val="67905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297D"/>
    <w:multiLevelType w:val="hybridMultilevel"/>
    <w:tmpl w:val="DD9A14B8"/>
    <w:lvl w:ilvl="0" w:tplc="5232A2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2E2F"/>
    <w:multiLevelType w:val="hybridMultilevel"/>
    <w:tmpl w:val="044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79E7"/>
    <w:multiLevelType w:val="hybridMultilevel"/>
    <w:tmpl w:val="E1C27B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3503B9"/>
    <w:multiLevelType w:val="hybridMultilevel"/>
    <w:tmpl w:val="3A1A4F20"/>
    <w:lvl w:ilvl="0" w:tplc="5BF2AFB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06D3"/>
    <w:multiLevelType w:val="hybridMultilevel"/>
    <w:tmpl w:val="36C46848"/>
    <w:lvl w:ilvl="0" w:tplc="689A3E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833"/>
    <w:multiLevelType w:val="hybridMultilevel"/>
    <w:tmpl w:val="48881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2781"/>
    <w:multiLevelType w:val="hybridMultilevel"/>
    <w:tmpl w:val="48881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849"/>
    <w:multiLevelType w:val="hybridMultilevel"/>
    <w:tmpl w:val="96FE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F1EAA"/>
    <w:multiLevelType w:val="hybridMultilevel"/>
    <w:tmpl w:val="EEF6DDD6"/>
    <w:lvl w:ilvl="0" w:tplc="F4EA72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EE7"/>
    <w:multiLevelType w:val="hybridMultilevel"/>
    <w:tmpl w:val="606464DC"/>
    <w:lvl w:ilvl="0" w:tplc="921A80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8A"/>
    <w:multiLevelType w:val="hybridMultilevel"/>
    <w:tmpl w:val="B07AD270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3506"/>
    <w:multiLevelType w:val="hybridMultilevel"/>
    <w:tmpl w:val="C056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A663C"/>
    <w:multiLevelType w:val="hybridMultilevel"/>
    <w:tmpl w:val="A4BA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F20B5"/>
    <w:multiLevelType w:val="hybridMultilevel"/>
    <w:tmpl w:val="4F10966A"/>
    <w:lvl w:ilvl="0" w:tplc="EAAED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68BD"/>
    <w:multiLevelType w:val="hybridMultilevel"/>
    <w:tmpl w:val="A1969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63600">
    <w:abstractNumId w:val="19"/>
  </w:num>
  <w:num w:numId="2" w16cid:durableId="33163113">
    <w:abstractNumId w:val="3"/>
  </w:num>
  <w:num w:numId="3" w16cid:durableId="1707365635">
    <w:abstractNumId w:val="8"/>
  </w:num>
  <w:num w:numId="4" w16cid:durableId="1031960164">
    <w:abstractNumId w:val="5"/>
  </w:num>
  <w:num w:numId="5" w16cid:durableId="1068189179">
    <w:abstractNumId w:val="18"/>
  </w:num>
  <w:num w:numId="6" w16cid:durableId="2131513720">
    <w:abstractNumId w:val="16"/>
  </w:num>
  <w:num w:numId="7" w16cid:durableId="728845363">
    <w:abstractNumId w:val="1"/>
  </w:num>
  <w:num w:numId="8" w16cid:durableId="1155099614">
    <w:abstractNumId w:val="7"/>
  </w:num>
  <w:num w:numId="9" w16cid:durableId="1832794268">
    <w:abstractNumId w:val="2"/>
  </w:num>
  <w:num w:numId="10" w16cid:durableId="1354575622">
    <w:abstractNumId w:val="9"/>
  </w:num>
  <w:num w:numId="11" w16cid:durableId="827208845">
    <w:abstractNumId w:val="15"/>
  </w:num>
  <w:num w:numId="12" w16cid:durableId="1516387524">
    <w:abstractNumId w:val="4"/>
  </w:num>
  <w:num w:numId="13" w16cid:durableId="419373714">
    <w:abstractNumId w:val="14"/>
  </w:num>
  <w:num w:numId="14" w16cid:durableId="1109354313">
    <w:abstractNumId w:val="10"/>
  </w:num>
  <w:num w:numId="15" w16cid:durableId="2049451649">
    <w:abstractNumId w:val="17"/>
  </w:num>
  <w:num w:numId="16" w16cid:durableId="2098086607">
    <w:abstractNumId w:val="6"/>
  </w:num>
  <w:num w:numId="17" w16cid:durableId="1257443831">
    <w:abstractNumId w:val="13"/>
  </w:num>
  <w:num w:numId="18" w16cid:durableId="1596474118">
    <w:abstractNumId w:val="0"/>
  </w:num>
  <w:num w:numId="19" w16cid:durableId="1892501246">
    <w:abstractNumId w:val="20"/>
  </w:num>
  <w:num w:numId="20" w16cid:durableId="331641153">
    <w:abstractNumId w:val="11"/>
  </w:num>
  <w:num w:numId="21" w16cid:durableId="698895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zM1NbEwNTMxtjRS0lEKTi0uzszPAymwqAUASertZiwAAAA="/>
  </w:docVars>
  <w:rsids>
    <w:rsidRoot w:val="00F415D1"/>
    <w:rsid w:val="0003699E"/>
    <w:rsid w:val="00040830"/>
    <w:rsid w:val="000715AF"/>
    <w:rsid w:val="00077E54"/>
    <w:rsid w:val="000A09E4"/>
    <w:rsid w:val="000C191F"/>
    <w:rsid w:val="000F1F3C"/>
    <w:rsid w:val="000F5513"/>
    <w:rsid w:val="0011785A"/>
    <w:rsid w:val="001333C5"/>
    <w:rsid w:val="00135B75"/>
    <w:rsid w:val="00163C57"/>
    <w:rsid w:val="00183AA7"/>
    <w:rsid w:val="001D188F"/>
    <w:rsid w:val="001F2413"/>
    <w:rsid w:val="001F6B90"/>
    <w:rsid w:val="00210092"/>
    <w:rsid w:val="002134D7"/>
    <w:rsid w:val="00226345"/>
    <w:rsid w:val="00241560"/>
    <w:rsid w:val="0027766A"/>
    <w:rsid w:val="00294498"/>
    <w:rsid w:val="002C37B5"/>
    <w:rsid w:val="002D1298"/>
    <w:rsid w:val="002D1DF0"/>
    <w:rsid w:val="002E58A4"/>
    <w:rsid w:val="002F2A41"/>
    <w:rsid w:val="002F4671"/>
    <w:rsid w:val="0030234A"/>
    <w:rsid w:val="00324012"/>
    <w:rsid w:val="0033432D"/>
    <w:rsid w:val="00342BA5"/>
    <w:rsid w:val="00373124"/>
    <w:rsid w:val="00387CAE"/>
    <w:rsid w:val="003933AD"/>
    <w:rsid w:val="003C21C3"/>
    <w:rsid w:val="003C77A1"/>
    <w:rsid w:val="003F0082"/>
    <w:rsid w:val="003F5119"/>
    <w:rsid w:val="00402AFB"/>
    <w:rsid w:val="004231BF"/>
    <w:rsid w:val="00436CE1"/>
    <w:rsid w:val="0045044F"/>
    <w:rsid w:val="004605C8"/>
    <w:rsid w:val="004A6CA6"/>
    <w:rsid w:val="004B502F"/>
    <w:rsid w:val="004C66E5"/>
    <w:rsid w:val="004D026A"/>
    <w:rsid w:val="004E2BA3"/>
    <w:rsid w:val="004E77A2"/>
    <w:rsid w:val="004F73D1"/>
    <w:rsid w:val="0052457D"/>
    <w:rsid w:val="00533967"/>
    <w:rsid w:val="0057249C"/>
    <w:rsid w:val="00586002"/>
    <w:rsid w:val="005A04DF"/>
    <w:rsid w:val="005A3D1C"/>
    <w:rsid w:val="005C74E8"/>
    <w:rsid w:val="005D0E13"/>
    <w:rsid w:val="00613F85"/>
    <w:rsid w:val="00631BF6"/>
    <w:rsid w:val="006D2D38"/>
    <w:rsid w:val="006D5CB9"/>
    <w:rsid w:val="0071735D"/>
    <w:rsid w:val="00717C89"/>
    <w:rsid w:val="0073655A"/>
    <w:rsid w:val="0075342F"/>
    <w:rsid w:val="00791772"/>
    <w:rsid w:val="007F31C0"/>
    <w:rsid w:val="008111BC"/>
    <w:rsid w:val="008950A0"/>
    <w:rsid w:val="008C39B9"/>
    <w:rsid w:val="008E23CA"/>
    <w:rsid w:val="009117BE"/>
    <w:rsid w:val="009457EE"/>
    <w:rsid w:val="0096029B"/>
    <w:rsid w:val="009628CA"/>
    <w:rsid w:val="009851C3"/>
    <w:rsid w:val="009A735F"/>
    <w:rsid w:val="009B48C7"/>
    <w:rsid w:val="009B72B1"/>
    <w:rsid w:val="009E17E6"/>
    <w:rsid w:val="009F2CF4"/>
    <w:rsid w:val="009F7AFE"/>
    <w:rsid w:val="00A501F5"/>
    <w:rsid w:val="00A5565D"/>
    <w:rsid w:val="00A57390"/>
    <w:rsid w:val="00A642E4"/>
    <w:rsid w:val="00A64DDF"/>
    <w:rsid w:val="00AB3A74"/>
    <w:rsid w:val="00AE08D7"/>
    <w:rsid w:val="00AF2ED2"/>
    <w:rsid w:val="00B1158E"/>
    <w:rsid w:val="00B53C57"/>
    <w:rsid w:val="00B645EB"/>
    <w:rsid w:val="00B7008A"/>
    <w:rsid w:val="00B908AF"/>
    <w:rsid w:val="00B9471D"/>
    <w:rsid w:val="00BA026E"/>
    <w:rsid w:val="00BE38A8"/>
    <w:rsid w:val="00BF0688"/>
    <w:rsid w:val="00C07BA2"/>
    <w:rsid w:val="00C2350B"/>
    <w:rsid w:val="00C23D71"/>
    <w:rsid w:val="00C34C17"/>
    <w:rsid w:val="00C57EA4"/>
    <w:rsid w:val="00C81741"/>
    <w:rsid w:val="00C81ABF"/>
    <w:rsid w:val="00CE0480"/>
    <w:rsid w:val="00CE566D"/>
    <w:rsid w:val="00CF278D"/>
    <w:rsid w:val="00D101A6"/>
    <w:rsid w:val="00D4781B"/>
    <w:rsid w:val="00D70048"/>
    <w:rsid w:val="00D70B14"/>
    <w:rsid w:val="00D70D8C"/>
    <w:rsid w:val="00DA28F2"/>
    <w:rsid w:val="00DB0948"/>
    <w:rsid w:val="00DC0FD0"/>
    <w:rsid w:val="00DD6F9E"/>
    <w:rsid w:val="00DE0067"/>
    <w:rsid w:val="00DE06A1"/>
    <w:rsid w:val="00DF4503"/>
    <w:rsid w:val="00E203DF"/>
    <w:rsid w:val="00E32ECB"/>
    <w:rsid w:val="00E40108"/>
    <w:rsid w:val="00E414C5"/>
    <w:rsid w:val="00E54C1C"/>
    <w:rsid w:val="00E72E97"/>
    <w:rsid w:val="00E8141D"/>
    <w:rsid w:val="00E83886"/>
    <w:rsid w:val="00EB250D"/>
    <w:rsid w:val="00F040AF"/>
    <w:rsid w:val="00F07531"/>
    <w:rsid w:val="00F21CB9"/>
    <w:rsid w:val="00F25943"/>
    <w:rsid w:val="00F37F52"/>
    <w:rsid w:val="00F415D1"/>
    <w:rsid w:val="00F72C7C"/>
    <w:rsid w:val="00F82851"/>
    <w:rsid w:val="00F86D11"/>
    <w:rsid w:val="00F877BD"/>
    <w:rsid w:val="00FB43F6"/>
    <w:rsid w:val="00FB7E6C"/>
    <w:rsid w:val="00FC05C7"/>
    <w:rsid w:val="00FC41E3"/>
    <w:rsid w:val="00FD2181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CEC1E"/>
  <w15:chartTrackingRefBased/>
  <w15:docId w15:val="{B3771DC0-B46D-4B52-A91F-DB0C0C5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88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8D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DF"/>
  </w:style>
  <w:style w:type="paragraph" w:styleId="Footer">
    <w:name w:val="footer"/>
    <w:basedOn w:val="Normal"/>
    <w:link w:val="Foot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DF"/>
  </w:style>
  <w:style w:type="character" w:styleId="Hyperlink">
    <w:name w:val="Hyperlink"/>
    <w:rsid w:val="00F415D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C17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17"/>
    <w:rPr>
      <w:rFonts w:ascii="Arial" w:eastAsia="Times New Roman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0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0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4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CE566D"/>
  </w:style>
  <w:style w:type="paragraph" w:styleId="BodyText">
    <w:name w:val="Body Text"/>
    <w:basedOn w:val="Normal"/>
    <w:link w:val="BodyTextChar"/>
    <w:qFormat/>
    <w:rsid w:val="00DE0067"/>
    <w:pPr>
      <w:spacing w:before="240" w:after="240" w:line="36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006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00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0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67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DE0067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wd@pw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en/documents/general-comments-and-recommendations/general-comment-no-1-article-12-equal-recognition-1" TargetMode="External"/><Relationship Id="rId1" Type="http://schemas.openxmlformats.org/officeDocument/2006/relationships/hyperlink" Target="https://www.un.org/development/desa/disabilities/convention-on-the-rights-of-persons-with-disabilities/article-12-equal-recognition-before-the-la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and%20Templates\Burger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5" ma:contentTypeDescription="Create a new document." ma:contentTypeScope="" ma:versionID="3901d95341aca6193d39619e77f80d23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d32db3ebb7e76aa05055acdbc72489fe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C850C-1121-4C7A-9728-E7DBF3629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949F3-A9C1-47BA-88CF-5D25D9450280}"/>
</file>

<file path=customXml/itemProps3.xml><?xml version="1.0" encoding="utf-8"?>
<ds:datastoreItem xmlns:ds="http://schemas.openxmlformats.org/officeDocument/2006/customXml" ds:itemID="{D5863FDF-E0EF-4171-BC9B-A93B4AD17609}"/>
</file>

<file path=docProps/app.xml><?xml version="1.0" encoding="utf-8"?>
<Properties xmlns="http://schemas.openxmlformats.org/officeDocument/2006/extended-properties" xmlns:vt="http://schemas.openxmlformats.org/officeDocument/2006/docPropsVTypes">
  <Template>Burger_letterhead_Template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Andrews</dc:creator>
  <cp:keywords/>
  <dc:description/>
  <cp:lastModifiedBy>Carolyn Hodge</cp:lastModifiedBy>
  <cp:revision>2</cp:revision>
  <dcterms:created xsi:type="dcterms:W3CDTF">2022-11-17T01:34:00Z</dcterms:created>
  <dcterms:modified xsi:type="dcterms:W3CDTF">2022-11-17T01:34:00Z</dcterms:modified>
</cp:coreProperties>
</file>