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1479188"/>
    <w:bookmarkStart w:id="6" w:name="_Toc124337459"/>
    <w:bookmarkStart w:id="7" w:name="_Toc124340044"/>
    <w:bookmarkStart w:id="8" w:name="_Toc126321305"/>
    <w:bookmarkStart w:id="9" w:name="_Toc126321584"/>
    <w:p w14:paraId="41081AAE" w14:textId="4C5DFDC3" w:rsidR="007D215F" w:rsidRDefault="007D215F" w:rsidP="002937C8">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FECB2"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End w:id="0"/>
      <w:bookmarkEnd w:id="1"/>
      <w:bookmarkEnd w:id="2"/>
      <w:bookmarkEnd w:id="3"/>
      <w:bookmarkEnd w:id="4"/>
      <w:bookmarkEnd w:id="5"/>
      <w:bookmarkEnd w:id="6"/>
      <w:bookmarkEnd w:id="7"/>
      <w:bookmarkEnd w:id="8"/>
      <w:bookmarkEnd w:id="9"/>
    </w:p>
    <w:p w14:paraId="6EF458D4" w14:textId="7D0AAFF8" w:rsidR="0070255E" w:rsidRPr="00BF130F" w:rsidRDefault="002937C8" w:rsidP="002C72E5">
      <w:pPr>
        <w:pStyle w:val="Heading1"/>
        <w:jc w:val="center"/>
      </w:pPr>
      <w:bookmarkStart w:id="10" w:name="_Toc121479189"/>
      <w:bookmarkStart w:id="11" w:name="_Toc126321585"/>
      <w:r>
        <w:rPr>
          <w:noProof/>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10"/>
      <w:r w:rsidR="00F4575B">
        <w:t>Disability and Poverty</w:t>
      </w:r>
      <w:bookmarkEnd w:id="11"/>
    </w:p>
    <w:p w14:paraId="2F00B221" w14:textId="1DE88FBA" w:rsidR="002D32E8" w:rsidRPr="002C72E5" w:rsidRDefault="00E60AF0" w:rsidP="006F4C6F">
      <w:pPr>
        <w:pStyle w:val="Coversubtitletext"/>
        <w:jc w:val="center"/>
        <w:rPr>
          <w:rFonts w:asciiTheme="minorHAnsi" w:hAnsiTheme="minorHAnsi" w:cstheme="minorHAnsi"/>
          <w:sz w:val="24"/>
          <w:szCs w:val="24"/>
        </w:rPr>
      </w:pPr>
      <w:r w:rsidRPr="002C72E5">
        <w:rPr>
          <w:rFonts w:asciiTheme="minorHAnsi" w:hAnsiTheme="minorHAnsi" w:cstheme="minorHAnsi"/>
          <w:sz w:val="24"/>
          <w:szCs w:val="24"/>
        </w:rPr>
        <w:t>Submission to the</w:t>
      </w:r>
      <w:r w:rsidR="00F4575B" w:rsidRPr="00F4575B">
        <w:rPr>
          <w:rFonts w:asciiTheme="minorHAnsi" w:hAnsiTheme="minorHAnsi" w:cstheme="minorHAnsi"/>
          <w:sz w:val="24"/>
          <w:szCs w:val="24"/>
        </w:rPr>
        <w:t xml:space="preserve"> Community Affairs References Committee inquiry into the extent and nature of poverty in Australia</w:t>
      </w:r>
    </w:p>
    <w:p w14:paraId="7D601F01" w14:textId="187DBEA7" w:rsidR="002937C8" w:rsidRPr="00AE715A" w:rsidRDefault="006F4C6F" w:rsidP="00897833">
      <w:pPr>
        <w:pStyle w:val="BodyText"/>
        <w:sectPr w:rsidR="002937C8" w:rsidRPr="00AE715A" w:rsidSect="007D215F">
          <w:headerReference w:type="even" r:id="rId12"/>
          <w:headerReference w:type="default" r:id="rId13"/>
          <w:footerReference w:type="even" r:id="rId14"/>
          <w:footerReference w:type="default" r:id="rId15"/>
          <w:headerReference w:type="first" r:id="rId16"/>
          <w:footerReference w:type="first" r:id="rId17"/>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64896"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0656B62D" w:rsidR="006F4C6F" w:rsidRDefault="00D219D6" w:rsidP="006F4C6F">
                            <w:pPr>
                              <w:pStyle w:val="TitleDate"/>
                              <w:rPr>
                                <w:rFonts w:ascii="VAG Rounded" w:hAnsi="VAG Rounded"/>
                                <w:lang w:val="en-US"/>
                              </w:rPr>
                            </w:pPr>
                            <w:r>
                              <w:rPr>
                                <w:rFonts w:ascii="VAG Rounded" w:hAnsi="VAG Rounded"/>
                                <w:lang w:val="en-US"/>
                              </w:rPr>
                              <w:t>FEB</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0656B62D" w:rsidR="006F4C6F" w:rsidRDefault="00D219D6" w:rsidP="006F4C6F">
                      <w:pPr>
                        <w:pStyle w:val="TitleDate"/>
                        <w:rPr>
                          <w:rFonts w:ascii="VAG Rounded" w:hAnsi="VAG Rounded"/>
                          <w:lang w:val="en-US"/>
                        </w:rPr>
                      </w:pPr>
                      <w:r>
                        <w:rPr>
                          <w:rFonts w:ascii="VAG Rounded" w:hAnsi="VAG Rounded"/>
                          <w:lang w:val="en-US"/>
                        </w:rPr>
                        <w:t>FEB</w:t>
                      </w:r>
                      <w:r w:rsidR="006F4C6F">
                        <w:rPr>
                          <w:rFonts w:ascii="VAG Rounded" w:hAnsi="VAG Rounded"/>
                          <w:lang w:val="en-US"/>
                        </w:rPr>
                        <w:t xml:space="preserve"> </w:t>
                      </w:r>
                    </w:p>
                    <w:p w14:paraId="794B7526" w14:textId="08366C71" w:rsidR="006F4C6F" w:rsidRPr="000A3A30" w:rsidRDefault="006F4C6F" w:rsidP="006F4C6F">
                      <w:pPr>
                        <w:pStyle w:val="TitleDate"/>
                        <w:rPr>
                          <w:rFonts w:ascii="VAG Rounded" w:hAnsi="VAG Rounded"/>
                          <w:lang w:val="en-US"/>
                        </w:rPr>
                      </w:pPr>
                      <w:r>
                        <w:rPr>
                          <w:rFonts w:ascii="VAG Rounded" w:hAnsi="VAG Rounded"/>
                          <w:lang w:val="en-US"/>
                        </w:rPr>
                        <w:t>202</w:t>
                      </w:r>
                      <w:r w:rsidR="00F4575B">
                        <w:rPr>
                          <w:rFonts w:ascii="VAG Rounded" w:hAnsi="VAG Rounded"/>
                          <w:lang w:val="en-US"/>
                        </w:rPr>
                        <w:t>3</w:t>
                      </w:r>
                    </w:p>
                  </w:txbxContent>
                </v:textbox>
                <w10:wrap anchorx="page" anchory="page"/>
              </v:shape>
            </w:pict>
          </mc:Fallback>
        </mc:AlternateContent>
      </w:r>
    </w:p>
    <w:p w14:paraId="47F94493" w14:textId="2BD975D2" w:rsidR="006F4C6F" w:rsidRDefault="001818A8" w:rsidP="003849A1">
      <w:pPr>
        <w:pStyle w:val="Heading2notincontents"/>
      </w:pPr>
      <w:bookmarkStart w:id="12" w:name="_Toc121479190"/>
      <w:bookmarkStart w:id="13" w:name="_Toc126321586"/>
      <w:bookmarkStart w:id="14" w:name="_Toc511064385"/>
      <w:r w:rsidRPr="001818A8">
        <w:lastRenderedPageBreak/>
        <w:t>Copyright information</w:t>
      </w:r>
      <w:bookmarkEnd w:id="12"/>
      <w:bookmarkEnd w:id="13"/>
    </w:p>
    <w:p w14:paraId="35361519" w14:textId="6FFA8FCB" w:rsidR="006F4C6F" w:rsidRDefault="00F4575B" w:rsidP="003849A1">
      <w:pPr>
        <w:pStyle w:val="BodyText"/>
        <w:spacing w:before="0" w:after="0" w:line="300" w:lineRule="auto"/>
        <w:rPr>
          <w:i/>
          <w:iCs/>
          <w:lang w:val="en-AU"/>
        </w:rPr>
      </w:pPr>
      <w:r>
        <w:rPr>
          <w:i/>
          <w:iCs/>
        </w:rPr>
        <w:t xml:space="preserve">Disability and poverty: Submission to </w:t>
      </w:r>
      <w:r w:rsidRPr="00F4575B">
        <w:rPr>
          <w:i/>
          <w:iCs/>
        </w:rPr>
        <w:t>the Community Affairs References Committee inquiry into the extent and nature of poverty in Australia</w:t>
      </w:r>
      <w:r w:rsidR="003849A1">
        <w:rPr>
          <w:i/>
          <w:iCs/>
          <w:lang w:val="en-AU"/>
        </w:rPr>
        <w:t>.</w:t>
      </w:r>
    </w:p>
    <w:p w14:paraId="43E9A5FF" w14:textId="77777777" w:rsidR="003849A1" w:rsidRPr="006F4C6F" w:rsidRDefault="003849A1" w:rsidP="003849A1">
      <w:pPr>
        <w:pStyle w:val="BodyText"/>
        <w:spacing w:before="0" w:after="0" w:line="300" w:lineRule="auto"/>
        <w:rPr>
          <w:i/>
          <w:iCs/>
        </w:rPr>
      </w:pPr>
    </w:p>
    <w:p w14:paraId="5B9475BC" w14:textId="34A6F719" w:rsidR="006F4C6F" w:rsidRDefault="006F4C6F" w:rsidP="003849A1">
      <w:pPr>
        <w:pStyle w:val="BodyText"/>
        <w:spacing w:before="0" w:after="0" w:line="240" w:lineRule="auto"/>
        <w:rPr>
          <w:rStyle w:val="Hyperlink"/>
          <w:bCs/>
        </w:rPr>
      </w:pPr>
      <w:r w:rsidRPr="00E82BC8">
        <w:t>First published in 202</w:t>
      </w:r>
      <w:r w:rsidR="00F4575B">
        <w:t>3</w:t>
      </w:r>
      <w:r w:rsidRPr="00E82BC8">
        <w:t xml:space="preserve"> by People with Disability Australia </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8" w:history="1">
        <w:r w:rsidRPr="00E82BC8">
          <w:rPr>
            <w:rStyle w:val="Hyperlink"/>
            <w:bCs/>
          </w:rPr>
          <w:t>pwda@pwd.org.au</w:t>
        </w:r>
      </w:hyperlink>
      <w:r w:rsidRPr="00E82BC8">
        <w:br/>
        <w:t>Phone: +61 2 9370 3100 Fax: +61 2 9318 1372</w:t>
      </w:r>
      <w:r w:rsidRPr="00E82BC8">
        <w:br/>
        <w:t xml:space="preserve">URL: </w:t>
      </w:r>
      <w:hyperlink r:id="rId19" w:history="1">
        <w:r w:rsidRPr="00E82BC8">
          <w:rPr>
            <w:rStyle w:val="Hyperlink"/>
            <w:bCs/>
          </w:rPr>
          <w:t>www.pwd.org.au</w:t>
        </w:r>
      </w:hyperlink>
    </w:p>
    <w:p w14:paraId="175A2782" w14:textId="77777777" w:rsidR="003849A1" w:rsidRPr="00E82BC8" w:rsidRDefault="003849A1" w:rsidP="003849A1">
      <w:pPr>
        <w:pStyle w:val="BodyText"/>
        <w:spacing w:before="0" w:after="0" w:line="240" w:lineRule="auto"/>
      </w:pPr>
    </w:p>
    <w:p w14:paraId="69759E70" w14:textId="2C624402" w:rsidR="006F4C6F" w:rsidRDefault="006F4C6F" w:rsidP="003849A1">
      <w:pPr>
        <w:pStyle w:val="BodyText"/>
        <w:spacing w:before="0" w:after="0" w:line="240" w:lineRule="auto"/>
      </w:pPr>
      <w:r w:rsidRPr="00E82BC8">
        <w:t>Typeset in Arial 12</w:t>
      </w:r>
      <w:r w:rsidR="005B7BDF">
        <w:t xml:space="preserve"> and 14</w:t>
      </w:r>
      <w:r w:rsidRPr="00E82BC8">
        <w:t xml:space="preserve"> pt and VAG Rounded </w:t>
      </w:r>
      <w:r w:rsidR="00855C93">
        <w:t>1</w:t>
      </w:r>
      <w:r w:rsidR="00460300">
        <w:t>6, 22</w:t>
      </w:r>
      <w:r w:rsidR="00855C93">
        <w:t xml:space="preserve"> and 26</w:t>
      </w:r>
      <w:r w:rsidRPr="00E82BC8">
        <w:t xml:space="preserve"> pt</w:t>
      </w:r>
    </w:p>
    <w:p w14:paraId="7B4B1590" w14:textId="77777777" w:rsidR="003849A1" w:rsidRPr="00E82BC8" w:rsidRDefault="003849A1" w:rsidP="003849A1">
      <w:pPr>
        <w:pStyle w:val="BodyText"/>
        <w:spacing w:before="0" w:after="0" w:line="240" w:lineRule="auto"/>
      </w:pPr>
    </w:p>
    <w:p w14:paraId="604C132A" w14:textId="3E8CF546" w:rsidR="006F4C6F" w:rsidRDefault="006F4C6F" w:rsidP="003849A1">
      <w:pPr>
        <w:pStyle w:val="BodyText"/>
        <w:spacing w:before="0" w:after="0" w:line="240" w:lineRule="auto"/>
      </w:pPr>
      <w:r w:rsidRPr="00E82BC8">
        <w:t xml:space="preserve">© People with Disability Australia </w:t>
      </w:r>
      <w:r w:rsidRPr="00CE69C9">
        <w:t>202</w:t>
      </w:r>
      <w:r w:rsidR="00CE69C9" w:rsidRPr="00CE69C9">
        <w:t>3</w:t>
      </w:r>
    </w:p>
    <w:p w14:paraId="3CD86A53" w14:textId="77777777" w:rsidR="003849A1" w:rsidRPr="00E82BC8" w:rsidRDefault="003849A1" w:rsidP="003849A1">
      <w:pPr>
        <w:pStyle w:val="BodyText"/>
        <w:spacing w:before="0" w:after="0" w:line="240" w:lineRule="auto"/>
      </w:pPr>
    </w:p>
    <w:p w14:paraId="61882259" w14:textId="0CEE68CC" w:rsidR="006F4C6F" w:rsidRDefault="006F4C6F" w:rsidP="003849A1">
      <w:pPr>
        <w:pStyle w:val="BodyText"/>
        <w:spacing w:before="0" w:after="0" w:line="240" w:lineRule="auto"/>
      </w:pPr>
      <w:r w:rsidRPr="00E82BC8">
        <w:t>The moral rights of the authors have been asserted</w:t>
      </w:r>
    </w:p>
    <w:p w14:paraId="3137203E" w14:textId="77777777" w:rsidR="003849A1" w:rsidRPr="00E82BC8" w:rsidRDefault="003849A1" w:rsidP="003849A1">
      <w:pPr>
        <w:pStyle w:val="BodyText"/>
        <w:spacing w:before="0" w:after="0" w:line="240" w:lineRule="auto"/>
      </w:pPr>
    </w:p>
    <w:p w14:paraId="3E9AA658" w14:textId="1C75941F" w:rsidR="006F4C6F" w:rsidRDefault="006F4C6F" w:rsidP="003849A1">
      <w:pPr>
        <w:pStyle w:val="BodyText"/>
        <w:spacing w:before="0" w:after="0" w:line="240" w:lineRule="auto"/>
      </w:pPr>
      <w:r w:rsidRPr="00E82BC8">
        <w:t>National Library of Australia Cataloguing-in-Publication data:</w:t>
      </w:r>
    </w:p>
    <w:p w14:paraId="65C022F4" w14:textId="77777777" w:rsidR="003849A1" w:rsidRPr="00E82BC8" w:rsidRDefault="003849A1" w:rsidP="003849A1">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6F4C6F" w:rsidRPr="00E82BC8" w14:paraId="157E1AB4" w14:textId="77777777" w:rsidTr="00326C3C">
        <w:tc>
          <w:tcPr>
            <w:tcW w:w="1413" w:type="dxa"/>
          </w:tcPr>
          <w:p w14:paraId="5F64D08A" w14:textId="77777777" w:rsidR="003849A1" w:rsidRDefault="003849A1" w:rsidP="003849A1">
            <w:pPr>
              <w:pStyle w:val="BodyText"/>
              <w:spacing w:before="0" w:after="0" w:line="240" w:lineRule="auto"/>
            </w:pPr>
          </w:p>
          <w:p w14:paraId="4DEC5B07" w14:textId="1DB261F6" w:rsidR="006F4C6F" w:rsidRPr="00E82BC8" w:rsidRDefault="006F4C6F" w:rsidP="003849A1">
            <w:pPr>
              <w:pStyle w:val="BodyText"/>
              <w:spacing w:before="0" w:after="0" w:line="240" w:lineRule="auto"/>
            </w:pPr>
            <w:r w:rsidRPr="00E82BC8">
              <w:t>Creator(s):</w:t>
            </w:r>
          </w:p>
        </w:tc>
        <w:tc>
          <w:tcPr>
            <w:tcW w:w="8215" w:type="dxa"/>
          </w:tcPr>
          <w:p w14:paraId="5008BB6D" w14:textId="77777777" w:rsidR="003849A1" w:rsidRDefault="003849A1" w:rsidP="003849A1">
            <w:pPr>
              <w:pStyle w:val="BodyText"/>
              <w:spacing w:before="0" w:after="0" w:line="240" w:lineRule="auto"/>
            </w:pPr>
          </w:p>
          <w:p w14:paraId="7F6D0C4E" w14:textId="63D746FF" w:rsidR="006F4C6F" w:rsidRPr="00E82BC8" w:rsidRDefault="009A2A69" w:rsidP="003849A1">
            <w:pPr>
              <w:pStyle w:val="BodyText"/>
              <w:spacing w:before="0" w:after="0" w:line="240" w:lineRule="auto"/>
            </w:pPr>
            <w:r>
              <w:t>Michelle Keogh</w:t>
            </w:r>
          </w:p>
        </w:tc>
      </w:tr>
      <w:tr w:rsidR="006F4C6F" w:rsidRPr="00E82BC8" w14:paraId="7884809D" w14:textId="77777777" w:rsidTr="00326C3C">
        <w:tc>
          <w:tcPr>
            <w:tcW w:w="1413" w:type="dxa"/>
          </w:tcPr>
          <w:p w14:paraId="21D3235D" w14:textId="77777777" w:rsidR="006F4C6F" w:rsidRPr="00E82BC8" w:rsidRDefault="006F4C6F" w:rsidP="003849A1">
            <w:pPr>
              <w:pStyle w:val="BodyText"/>
              <w:spacing w:before="0" w:after="0" w:line="240" w:lineRule="auto"/>
            </w:pPr>
            <w:r w:rsidRPr="00E82BC8">
              <w:t>Title:</w:t>
            </w:r>
          </w:p>
        </w:tc>
        <w:tc>
          <w:tcPr>
            <w:tcW w:w="8215" w:type="dxa"/>
          </w:tcPr>
          <w:p w14:paraId="44964607" w14:textId="77777777" w:rsidR="00DB5CCF" w:rsidRDefault="00F4575B" w:rsidP="003849A1">
            <w:pPr>
              <w:pStyle w:val="BodyText"/>
              <w:spacing w:before="0" w:after="0" w:line="240" w:lineRule="auto"/>
            </w:pPr>
            <w:r>
              <w:t xml:space="preserve">Disability and Poverty: Submission to </w:t>
            </w:r>
            <w:r w:rsidRPr="00F4575B">
              <w:t>the Community Affairs References Committee inquiry into the extent and nature of poverty in Australia</w:t>
            </w:r>
          </w:p>
          <w:p w14:paraId="3C007490" w14:textId="3054E9B3" w:rsidR="006F4C6F" w:rsidRPr="00E82BC8" w:rsidRDefault="00F4575B" w:rsidP="003849A1">
            <w:pPr>
              <w:pStyle w:val="BodyText"/>
              <w:spacing w:before="0" w:after="0" w:line="240" w:lineRule="auto"/>
            </w:pPr>
            <w:r w:rsidRPr="00F4575B">
              <w:t xml:space="preserve"> </w:t>
            </w:r>
          </w:p>
        </w:tc>
      </w:tr>
    </w:tbl>
    <w:p w14:paraId="4E1C0E94" w14:textId="77777777" w:rsidR="003849A1" w:rsidRDefault="003849A1" w:rsidP="003849A1">
      <w:pPr>
        <w:pStyle w:val="BodyText"/>
        <w:spacing w:before="0" w:after="0" w:line="240" w:lineRule="auto"/>
      </w:pPr>
    </w:p>
    <w:p w14:paraId="0E47121B" w14:textId="19233877" w:rsidR="006F4C6F" w:rsidRDefault="006F4C6F" w:rsidP="003849A1">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7739E8DF" w14:textId="77777777" w:rsidR="003849A1" w:rsidRPr="00E82BC8" w:rsidRDefault="003849A1" w:rsidP="003849A1">
      <w:pPr>
        <w:pStyle w:val="BodyText"/>
        <w:spacing w:before="0" w:after="0" w:line="240" w:lineRule="auto"/>
      </w:pPr>
    </w:p>
    <w:p w14:paraId="578E4E14" w14:textId="65A5A28B" w:rsidR="006F4C6F" w:rsidRPr="004B3A4A" w:rsidRDefault="009A2A69" w:rsidP="003849A1">
      <w:pPr>
        <w:pStyle w:val="BodyText"/>
        <w:spacing w:before="0" w:after="0" w:line="240" w:lineRule="auto"/>
        <w:rPr>
          <w:i/>
          <w:iCs/>
        </w:rPr>
      </w:pPr>
      <w:r>
        <w:t>Keogh, M.</w:t>
      </w:r>
      <w:r w:rsidR="003751A4">
        <w:t>,</w:t>
      </w:r>
      <w:r w:rsidR="006F4C6F" w:rsidRPr="00E82BC8">
        <w:t xml:space="preserve"> </w:t>
      </w:r>
      <w:r w:rsidR="00F4575B">
        <w:rPr>
          <w:i/>
          <w:iCs/>
        </w:rPr>
        <w:t>Disability and Poverty</w:t>
      </w:r>
      <w:r w:rsidR="003849A1">
        <w:rPr>
          <w:i/>
          <w:iCs/>
        </w:rPr>
        <w:t xml:space="preserve">: Submission to the </w:t>
      </w:r>
      <w:r w:rsidR="00F4575B" w:rsidRPr="00F4575B">
        <w:rPr>
          <w:i/>
          <w:iCs/>
        </w:rPr>
        <w:t>Community Affairs References Committee inquiry into the extent and nature of poverty in Australia</w:t>
      </w:r>
      <w:r w:rsidR="006F4C6F" w:rsidRPr="00E82BC8">
        <w:t xml:space="preserve">, </w:t>
      </w:r>
      <w:r w:rsidR="00B27F33" w:rsidRPr="00B27F33">
        <w:t>3</w:t>
      </w:r>
      <w:r w:rsidR="006F4C6F" w:rsidRPr="00B27F33">
        <w:t xml:space="preserve"> </w:t>
      </w:r>
      <w:r w:rsidR="00395BA7" w:rsidRPr="00B27F33">
        <w:t>February</w:t>
      </w:r>
      <w:r w:rsidR="003849A1" w:rsidRPr="00B27F33">
        <w:t xml:space="preserve"> </w:t>
      </w:r>
      <w:r w:rsidR="006F4C6F" w:rsidRPr="00B27F33">
        <w:t>202</w:t>
      </w:r>
      <w:r w:rsidR="00F4575B" w:rsidRPr="00B27F33">
        <w:t>3</w:t>
      </w:r>
      <w:r w:rsidR="006F4C6F" w:rsidRPr="00B27F33">
        <w:t>,</w:t>
      </w:r>
      <w:r w:rsidR="006F4C6F" w:rsidRPr="00C5458F">
        <w:t xml:space="preserve"> People with Disability Australia, Sydney</w:t>
      </w:r>
    </w:p>
    <w:p w14:paraId="5F85E659" w14:textId="7997B068" w:rsidR="006F4C6F" w:rsidRDefault="00B41F4B" w:rsidP="003849A1">
      <w:pPr>
        <w:spacing w:before="0" w:after="0" w:line="300" w:lineRule="auto"/>
      </w:pPr>
      <w:r w:rsidRPr="00AD618D">
        <w:br/>
      </w:r>
      <w:r w:rsidR="001818A8" w:rsidRPr="00C5458F">
        <w:t xml:space="preserve">ISBN </w:t>
      </w:r>
      <w:r w:rsidR="007017C9" w:rsidRPr="007017C9">
        <w:t>978-0-6454251-7-8</w:t>
      </w:r>
      <w:r w:rsidRPr="00E60AF0">
        <w:rPr>
          <w:highlight w:val="yellow"/>
        </w:rPr>
        <w:br/>
      </w:r>
    </w:p>
    <w:p w14:paraId="3F8F75CF" w14:textId="77777777" w:rsidR="006F4C6F" w:rsidRDefault="006F4C6F" w:rsidP="00E6370F"/>
    <w:p w14:paraId="3E401831" w14:textId="77777777" w:rsidR="006F4C6F" w:rsidRDefault="006F4C6F" w:rsidP="006F4C6F">
      <w:pPr>
        <w:pStyle w:val="Heading2"/>
        <w:spacing w:before="0" w:line="300" w:lineRule="auto"/>
      </w:pPr>
      <w:bookmarkStart w:id="15" w:name="_Toc117749735"/>
      <w:bookmarkStart w:id="16" w:name="_Toc119605127"/>
      <w:bookmarkStart w:id="17" w:name="_Toc121479191"/>
      <w:bookmarkStart w:id="18" w:name="_Toc126321587"/>
      <w:r>
        <w:lastRenderedPageBreak/>
        <w:t>About PWDA</w:t>
      </w:r>
      <w:bookmarkEnd w:id="15"/>
      <w:bookmarkEnd w:id="16"/>
      <w:bookmarkEnd w:id="17"/>
      <w:bookmarkEnd w:id="18"/>
    </w:p>
    <w:p w14:paraId="679C3D7C" w14:textId="77777777" w:rsidR="00B264F0" w:rsidRPr="00986ADB" w:rsidRDefault="00B264F0" w:rsidP="00B264F0">
      <w:r w:rsidRPr="00986ADB">
        <w:t>People with Disability Australia (PWDA) is a national disability rights and advocacy organisation made up of, and led by, people with disability.</w:t>
      </w:r>
    </w:p>
    <w:p w14:paraId="6FEFAB11" w14:textId="77777777" w:rsidR="00B264F0" w:rsidRPr="00986ADB" w:rsidRDefault="00B264F0" w:rsidP="00B264F0">
      <w:r w:rsidRPr="00986ADB">
        <w:t xml:space="preserve">We have a vision of a socially just, </w:t>
      </w:r>
      <w:proofErr w:type="gramStart"/>
      <w:r w:rsidRPr="00986ADB">
        <w:t>accessible</w:t>
      </w:r>
      <w:proofErr w:type="gramEnd"/>
      <w:r w:rsidRPr="00986ADB">
        <w:t xml:space="preserve"> and inclusive community in which the contribution, potential and diversity of people with disability are not only recognised and respected but also celebrated.</w:t>
      </w:r>
    </w:p>
    <w:p w14:paraId="58829007" w14:textId="77777777" w:rsidR="00B264F0" w:rsidRPr="00986ADB" w:rsidRDefault="00B264F0" w:rsidP="00B264F0">
      <w:r w:rsidRPr="00986ADB">
        <w:t xml:space="preserve">PWDA was established in 1981, during the International Year of Disabled Persons. </w:t>
      </w:r>
    </w:p>
    <w:p w14:paraId="23DC4944" w14:textId="77777777" w:rsidR="00B264F0" w:rsidRPr="00986ADB" w:rsidRDefault="00B264F0" w:rsidP="00B264F0">
      <w:r w:rsidRPr="00986ADB">
        <w:t>We are a peak, non-profit, non-government organisation that represents the interests of people with all kinds of disability.</w:t>
      </w:r>
    </w:p>
    <w:p w14:paraId="54F37EAF" w14:textId="2EC9F5F6" w:rsidR="00B264F0" w:rsidRPr="00986ADB" w:rsidRDefault="00B264F0" w:rsidP="00B264F0">
      <w:r w:rsidRPr="00986ADB">
        <w:t>We also represent people with disability at the United Nations, particularly in relation to the United Nations Convention on the Rights of Persons with Disabilities (CRPD).</w:t>
      </w:r>
    </w:p>
    <w:p w14:paraId="1C4FD645" w14:textId="77777777" w:rsidR="00B264F0" w:rsidRPr="00986ADB" w:rsidRDefault="00B264F0" w:rsidP="00B264F0">
      <w:r w:rsidRPr="00986ADB">
        <w:t>Our work is grounded in a human rights framework that recognises the CRPD and related mechanisms as fundamental tools for advancing the rights of people with disability.</w:t>
      </w:r>
    </w:p>
    <w:p w14:paraId="3DDBCE9D" w14:textId="77777777" w:rsidR="00B264F0" w:rsidRPr="00986ADB" w:rsidRDefault="00B264F0" w:rsidP="00B264F0">
      <w:r w:rsidRPr="00986ADB">
        <w:t xml:space="preserve">PWDA is a member of Disabled People’s Organisations Australia (DPO Australia), along with the First People’s Disability Network, National Ethnic Disability </w:t>
      </w:r>
      <w:proofErr w:type="gramStart"/>
      <w:r w:rsidRPr="00986ADB">
        <w:t>Alliance</w:t>
      </w:r>
      <w:proofErr w:type="gramEnd"/>
      <w:r w:rsidRPr="00986ADB">
        <w:t xml:space="preserve"> and Women with Disabilities Australia.</w:t>
      </w:r>
    </w:p>
    <w:p w14:paraId="349223B2" w14:textId="77777777" w:rsidR="00B264F0" w:rsidRPr="00986ADB" w:rsidRDefault="00B264F0" w:rsidP="00B264F0">
      <w:r w:rsidRPr="00986ADB">
        <w:t>DPOs collectively form a disability rights movement that places people with disability at the centre of decision-making in all aspects of our lives.</w:t>
      </w:r>
    </w:p>
    <w:p w14:paraId="5A7CFE65" w14:textId="65702227" w:rsidR="008F26E1" w:rsidRPr="000E0BB7" w:rsidRDefault="00B264F0" w:rsidP="00B264F0">
      <w:r w:rsidRPr="00986ADB">
        <w:t>‘Nothing About Us, Without Us’ is the motto of Disabled Peoples’ International.</w:t>
      </w:r>
      <w:r w:rsidR="008F26E1" w:rsidRPr="000E0BB7">
        <w:t xml:space="preserve"> </w:t>
      </w:r>
    </w:p>
    <w:p w14:paraId="772C94F8" w14:textId="6ED03F02" w:rsidR="001818A8" w:rsidRPr="00221FA0" w:rsidRDefault="001818A8" w:rsidP="006F4C6F">
      <w:pPr>
        <w:spacing w:before="0" w:after="0" w:line="300" w:lineRule="auto"/>
      </w:pPr>
      <w:r>
        <w:br w:type="page"/>
      </w:r>
    </w:p>
    <w:bookmarkStart w:id="19" w:name="_Toc83717712" w:displacedByCustomXml="next"/>
    <w:bookmarkStart w:id="20" w:name="_Toc83718528" w:displacedByCustomXml="next"/>
    <w:sdt>
      <w:sdtPr>
        <w:rPr>
          <w:rFonts w:asciiTheme="minorHAnsi" w:eastAsiaTheme="minorHAnsi" w:hAnsiTheme="minorHAnsi" w:cstheme="minorBidi"/>
          <w:b w:val="0"/>
          <w:color w:val="auto"/>
          <w:sz w:val="24"/>
          <w:szCs w:val="24"/>
          <w:lang w:val="en-AU"/>
        </w:rPr>
        <w:id w:val="-784273708"/>
        <w:docPartObj>
          <w:docPartGallery w:val="Table of Contents"/>
          <w:docPartUnique/>
        </w:docPartObj>
      </w:sdtPr>
      <w:sdtEndPr>
        <w:rPr>
          <w:bCs/>
          <w:noProof/>
        </w:rPr>
      </w:sdtEndPr>
      <w:sdtContent>
        <w:p w14:paraId="6CF6D08B" w14:textId="16021307" w:rsidR="00F657E6" w:rsidRDefault="00F657E6">
          <w:pPr>
            <w:pStyle w:val="TOCHeading"/>
          </w:pPr>
          <w:r>
            <w:t>Contents</w:t>
          </w:r>
        </w:p>
        <w:p w14:paraId="39F539DA" w14:textId="106B8514" w:rsidR="0075572D" w:rsidRDefault="00F657E6">
          <w:pPr>
            <w:pStyle w:val="TOC1"/>
            <w:rPr>
              <w:rFonts w:eastAsiaTheme="minorEastAsia"/>
              <w:b w:val="0"/>
              <w:bCs w:val="0"/>
              <w:sz w:val="22"/>
              <w:szCs w:val="22"/>
              <w:lang w:val="en-IE" w:eastAsia="en-IE"/>
            </w:rPr>
          </w:pPr>
          <w:r>
            <w:fldChar w:fldCharType="begin"/>
          </w:r>
          <w:r>
            <w:instrText xml:space="preserve"> TOC \o "1-3" \h \z \u </w:instrText>
          </w:r>
          <w:r>
            <w:fldChar w:fldCharType="separate"/>
          </w:r>
        </w:p>
        <w:p w14:paraId="0FB9213D" w14:textId="5B33554B" w:rsidR="0075572D" w:rsidRDefault="00000000">
          <w:pPr>
            <w:pStyle w:val="TOC1"/>
            <w:rPr>
              <w:rFonts w:eastAsiaTheme="minorEastAsia"/>
              <w:b w:val="0"/>
              <w:bCs w:val="0"/>
              <w:sz w:val="22"/>
              <w:szCs w:val="22"/>
              <w:lang w:val="en-IE" w:eastAsia="en-IE"/>
            </w:rPr>
          </w:pPr>
          <w:hyperlink w:anchor="_Toc126321585" w:history="1">
            <w:r w:rsidR="0075572D" w:rsidRPr="00223CBD">
              <w:rPr>
                <w:rStyle w:val="Hyperlink"/>
              </w:rPr>
              <w:t>Disability and Poverty</w:t>
            </w:r>
            <w:r w:rsidR="0075572D">
              <w:rPr>
                <w:webHidden/>
              </w:rPr>
              <w:tab/>
            </w:r>
            <w:r w:rsidR="0075572D">
              <w:rPr>
                <w:webHidden/>
              </w:rPr>
              <w:fldChar w:fldCharType="begin"/>
            </w:r>
            <w:r w:rsidR="0075572D">
              <w:rPr>
                <w:webHidden/>
              </w:rPr>
              <w:instrText xml:space="preserve"> PAGEREF _Toc126321585 \h </w:instrText>
            </w:r>
            <w:r w:rsidR="0075572D">
              <w:rPr>
                <w:webHidden/>
              </w:rPr>
            </w:r>
            <w:r w:rsidR="0075572D">
              <w:rPr>
                <w:webHidden/>
              </w:rPr>
              <w:fldChar w:fldCharType="separate"/>
            </w:r>
            <w:r w:rsidR="00FD7E5A">
              <w:rPr>
                <w:webHidden/>
              </w:rPr>
              <w:t>1</w:t>
            </w:r>
            <w:r w:rsidR="0075572D">
              <w:rPr>
                <w:webHidden/>
              </w:rPr>
              <w:fldChar w:fldCharType="end"/>
            </w:r>
          </w:hyperlink>
        </w:p>
        <w:p w14:paraId="4C3CC7BF" w14:textId="347AA457" w:rsidR="0075572D" w:rsidRDefault="00000000">
          <w:pPr>
            <w:pStyle w:val="TOC2"/>
            <w:rPr>
              <w:rFonts w:eastAsiaTheme="minorEastAsia"/>
              <w:noProof/>
              <w:sz w:val="22"/>
              <w:szCs w:val="22"/>
              <w:lang w:val="en-IE" w:eastAsia="en-IE"/>
            </w:rPr>
          </w:pPr>
          <w:hyperlink w:anchor="_Toc126321586" w:history="1">
            <w:r w:rsidR="0075572D" w:rsidRPr="00223CBD">
              <w:rPr>
                <w:rStyle w:val="Hyperlink"/>
                <w:noProof/>
              </w:rPr>
              <w:t>Copyright information</w:t>
            </w:r>
            <w:r w:rsidR="0075572D">
              <w:rPr>
                <w:noProof/>
                <w:webHidden/>
              </w:rPr>
              <w:tab/>
            </w:r>
            <w:r w:rsidR="0075572D">
              <w:rPr>
                <w:noProof/>
                <w:webHidden/>
              </w:rPr>
              <w:fldChar w:fldCharType="begin"/>
            </w:r>
            <w:r w:rsidR="0075572D">
              <w:rPr>
                <w:noProof/>
                <w:webHidden/>
              </w:rPr>
              <w:instrText xml:space="preserve"> PAGEREF _Toc126321586 \h </w:instrText>
            </w:r>
            <w:r w:rsidR="0075572D">
              <w:rPr>
                <w:noProof/>
                <w:webHidden/>
              </w:rPr>
            </w:r>
            <w:r w:rsidR="0075572D">
              <w:rPr>
                <w:noProof/>
                <w:webHidden/>
              </w:rPr>
              <w:fldChar w:fldCharType="separate"/>
            </w:r>
            <w:r w:rsidR="00FD7E5A">
              <w:rPr>
                <w:noProof/>
                <w:webHidden/>
              </w:rPr>
              <w:t>2</w:t>
            </w:r>
            <w:r w:rsidR="0075572D">
              <w:rPr>
                <w:noProof/>
                <w:webHidden/>
              </w:rPr>
              <w:fldChar w:fldCharType="end"/>
            </w:r>
          </w:hyperlink>
        </w:p>
        <w:p w14:paraId="52C7D921" w14:textId="64B8F78D" w:rsidR="0075572D" w:rsidRDefault="00000000">
          <w:pPr>
            <w:pStyle w:val="TOC2"/>
            <w:rPr>
              <w:rFonts w:eastAsiaTheme="minorEastAsia"/>
              <w:noProof/>
              <w:sz w:val="22"/>
              <w:szCs w:val="22"/>
              <w:lang w:val="en-IE" w:eastAsia="en-IE"/>
            </w:rPr>
          </w:pPr>
          <w:hyperlink w:anchor="_Toc126321587" w:history="1">
            <w:r w:rsidR="0075572D" w:rsidRPr="00223CBD">
              <w:rPr>
                <w:rStyle w:val="Hyperlink"/>
                <w:noProof/>
              </w:rPr>
              <w:t>About PWDA</w:t>
            </w:r>
            <w:r w:rsidR="0075572D">
              <w:rPr>
                <w:noProof/>
                <w:webHidden/>
              </w:rPr>
              <w:tab/>
            </w:r>
            <w:r w:rsidR="0075572D">
              <w:rPr>
                <w:noProof/>
                <w:webHidden/>
              </w:rPr>
              <w:fldChar w:fldCharType="begin"/>
            </w:r>
            <w:r w:rsidR="0075572D">
              <w:rPr>
                <w:noProof/>
                <w:webHidden/>
              </w:rPr>
              <w:instrText xml:space="preserve"> PAGEREF _Toc126321587 \h </w:instrText>
            </w:r>
            <w:r w:rsidR="0075572D">
              <w:rPr>
                <w:noProof/>
                <w:webHidden/>
              </w:rPr>
            </w:r>
            <w:r w:rsidR="0075572D">
              <w:rPr>
                <w:noProof/>
                <w:webHidden/>
              </w:rPr>
              <w:fldChar w:fldCharType="separate"/>
            </w:r>
            <w:r w:rsidR="00FD7E5A">
              <w:rPr>
                <w:noProof/>
                <w:webHidden/>
              </w:rPr>
              <w:t>3</w:t>
            </w:r>
            <w:r w:rsidR="0075572D">
              <w:rPr>
                <w:noProof/>
                <w:webHidden/>
              </w:rPr>
              <w:fldChar w:fldCharType="end"/>
            </w:r>
          </w:hyperlink>
        </w:p>
        <w:p w14:paraId="57E1B2A9" w14:textId="72F59F2A" w:rsidR="0075572D" w:rsidRDefault="00000000">
          <w:pPr>
            <w:pStyle w:val="TOC2"/>
            <w:rPr>
              <w:rFonts w:eastAsiaTheme="minorEastAsia"/>
              <w:noProof/>
              <w:sz w:val="22"/>
              <w:szCs w:val="22"/>
              <w:lang w:val="en-IE" w:eastAsia="en-IE"/>
            </w:rPr>
          </w:pPr>
          <w:hyperlink w:anchor="_Toc126321588" w:history="1">
            <w:r w:rsidR="0075572D" w:rsidRPr="00223CBD">
              <w:rPr>
                <w:rStyle w:val="Hyperlink"/>
                <w:noProof/>
              </w:rPr>
              <w:t>The extent and nature of poverty in Australia</w:t>
            </w:r>
            <w:r w:rsidR="0075572D">
              <w:rPr>
                <w:noProof/>
                <w:webHidden/>
              </w:rPr>
              <w:tab/>
            </w:r>
            <w:r w:rsidR="0075572D">
              <w:rPr>
                <w:noProof/>
                <w:webHidden/>
              </w:rPr>
              <w:fldChar w:fldCharType="begin"/>
            </w:r>
            <w:r w:rsidR="0075572D">
              <w:rPr>
                <w:noProof/>
                <w:webHidden/>
              </w:rPr>
              <w:instrText xml:space="preserve"> PAGEREF _Toc126321588 \h </w:instrText>
            </w:r>
            <w:r w:rsidR="0075572D">
              <w:rPr>
                <w:noProof/>
                <w:webHidden/>
              </w:rPr>
            </w:r>
            <w:r w:rsidR="0075572D">
              <w:rPr>
                <w:noProof/>
                <w:webHidden/>
              </w:rPr>
              <w:fldChar w:fldCharType="separate"/>
            </w:r>
            <w:r w:rsidR="00FD7E5A">
              <w:rPr>
                <w:noProof/>
                <w:webHidden/>
              </w:rPr>
              <w:t>5</w:t>
            </w:r>
            <w:r w:rsidR="0075572D">
              <w:rPr>
                <w:noProof/>
                <w:webHidden/>
              </w:rPr>
              <w:fldChar w:fldCharType="end"/>
            </w:r>
          </w:hyperlink>
        </w:p>
        <w:p w14:paraId="088FD7E9" w14:textId="07C1DF27" w:rsidR="0075572D" w:rsidRDefault="00000000">
          <w:pPr>
            <w:pStyle w:val="TOC3"/>
            <w:rPr>
              <w:rFonts w:cstheme="minorBidi"/>
              <w:bCs w:val="0"/>
              <w:noProof/>
              <w:lang w:val="en-IE" w:eastAsia="en-IE"/>
            </w:rPr>
          </w:pPr>
          <w:hyperlink w:anchor="_Toc126321589" w:history="1">
            <w:r w:rsidR="0075572D" w:rsidRPr="00223CBD">
              <w:rPr>
                <w:rStyle w:val="Hyperlink"/>
                <w:noProof/>
              </w:rPr>
              <w:t>Disability and poverty</w:t>
            </w:r>
            <w:r w:rsidR="0075572D">
              <w:rPr>
                <w:noProof/>
                <w:webHidden/>
              </w:rPr>
              <w:tab/>
            </w:r>
            <w:r w:rsidR="0075572D">
              <w:rPr>
                <w:noProof/>
                <w:webHidden/>
              </w:rPr>
              <w:fldChar w:fldCharType="begin"/>
            </w:r>
            <w:r w:rsidR="0075572D">
              <w:rPr>
                <w:noProof/>
                <w:webHidden/>
              </w:rPr>
              <w:instrText xml:space="preserve"> PAGEREF _Toc126321589 \h </w:instrText>
            </w:r>
            <w:r w:rsidR="0075572D">
              <w:rPr>
                <w:noProof/>
                <w:webHidden/>
              </w:rPr>
            </w:r>
            <w:r w:rsidR="0075572D">
              <w:rPr>
                <w:noProof/>
                <w:webHidden/>
              </w:rPr>
              <w:fldChar w:fldCharType="separate"/>
            </w:r>
            <w:r w:rsidR="00FD7E5A">
              <w:rPr>
                <w:noProof/>
                <w:webHidden/>
              </w:rPr>
              <w:t>5</w:t>
            </w:r>
            <w:r w:rsidR="0075572D">
              <w:rPr>
                <w:noProof/>
                <w:webHidden/>
              </w:rPr>
              <w:fldChar w:fldCharType="end"/>
            </w:r>
          </w:hyperlink>
        </w:p>
        <w:p w14:paraId="115AC94F" w14:textId="4CDD706A" w:rsidR="0075572D" w:rsidRDefault="00000000">
          <w:pPr>
            <w:pStyle w:val="TOC3"/>
            <w:rPr>
              <w:rFonts w:cstheme="minorBidi"/>
              <w:bCs w:val="0"/>
              <w:noProof/>
              <w:lang w:val="en-IE" w:eastAsia="en-IE"/>
            </w:rPr>
          </w:pPr>
          <w:hyperlink w:anchor="_Toc126321590" w:history="1">
            <w:r w:rsidR="0075572D" w:rsidRPr="00223CBD">
              <w:rPr>
                <w:rStyle w:val="Hyperlink"/>
                <w:rFonts w:eastAsia="Arial"/>
                <w:noProof/>
                <w:lang w:val="en-US"/>
              </w:rPr>
              <w:t>Recommendations</w:t>
            </w:r>
            <w:r w:rsidR="0075572D">
              <w:rPr>
                <w:noProof/>
                <w:webHidden/>
              </w:rPr>
              <w:tab/>
            </w:r>
            <w:r w:rsidR="0075572D">
              <w:rPr>
                <w:noProof/>
                <w:webHidden/>
              </w:rPr>
              <w:fldChar w:fldCharType="begin"/>
            </w:r>
            <w:r w:rsidR="0075572D">
              <w:rPr>
                <w:noProof/>
                <w:webHidden/>
              </w:rPr>
              <w:instrText xml:space="preserve"> PAGEREF _Toc126321590 \h </w:instrText>
            </w:r>
            <w:r w:rsidR="0075572D">
              <w:rPr>
                <w:noProof/>
                <w:webHidden/>
              </w:rPr>
            </w:r>
            <w:r w:rsidR="0075572D">
              <w:rPr>
                <w:noProof/>
                <w:webHidden/>
              </w:rPr>
              <w:fldChar w:fldCharType="separate"/>
            </w:r>
            <w:r w:rsidR="00FD7E5A">
              <w:rPr>
                <w:noProof/>
                <w:webHidden/>
              </w:rPr>
              <w:t>9</w:t>
            </w:r>
            <w:r w:rsidR="0075572D">
              <w:rPr>
                <w:noProof/>
                <w:webHidden/>
              </w:rPr>
              <w:fldChar w:fldCharType="end"/>
            </w:r>
          </w:hyperlink>
        </w:p>
        <w:p w14:paraId="62E98FFF" w14:textId="1C4797CB" w:rsidR="0075572D" w:rsidRDefault="00000000">
          <w:pPr>
            <w:pStyle w:val="TOC1"/>
            <w:rPr>
              <w:rFonts w:eastAsiaTheme="minorEastAsia"/>
              <w:b w:val="0"/>
              <w:bCs w:val="0"/>
              <w:sz w:val="22"/>
              <w:szCs w:val="22"/>
              <w:lang w:val="en-IE" w:eastAsia="en-IE"/>
            </w:rPr>
          </w:pPr>
          <w:hyperlink w:anchor="_Toc126321591" w:history="1">
            <w:r w:rsidR="0075572D" w:rsidRPr="00223CBD">
              <w:rPr>
                <w:rStyle w:val="Hyperlink"/>
              </w:rPr>
              <w:t>Appendix A</w:t>
            </w:r>
            <w:r w:rsidR="0075572D">
              <w:rPr>
                <w:webHidden/>
              </w:rPr>
              <w:tab/>
            </w:r>
            <w:r w:rsidR="0075572D">
              <w:rPr>
                <w:webHidden/>
              </w:rPr>
              <w:fldChar w:fldCharType="begin"/>
            </w:r>
            <w:r w:rsidR="0075572D">
              <w:rPr>
                <w:webHidden/>
              </w:rPr>
              <w:instrText xml:space="preserve"> PAGEREF _Toc126321591 \h </w:instrText>
            </w:r>
            <w:r w:rsidR="0075572D">
              <w:rPr>
                <w:webHidden/>
              </w:rPr>
            </w:r>
            <w:r w:rsidR="0075572D">
              <w:rPr>
                <w:webHidden/>
              </w:rPr>
              <w:fldChar w:fldCharType="separate"/>
            </w:r>
            <w:r w:rsidR="00FD7E5A">
              <w:rPr>
                <w:webHidden/>
              </w:rPr>
              <w:t>12</w:t>
            </w:r>
            <w:r w:rsidR="0075572D">
              <w:rPr>
                <w:webHidden/>
              </w:rPr>
              <w:fldChar w:fldCharType="end"/>
            </w:r>
          </w:hyperlink>
        </w:p>
        <w:p w14:paraId="35462199" w14:textId="1A79F251" w:rsidR="0075572D" w:rsidRDefault="00000000">
          <w:pPr>
            <w:pStyle w:val="TOC3"/>
            <w:rPr>
              <w:rFonts w:cstheme="minorBidi"/>
              <w:bCs w:val="0"/>
              <w:noProof/>
              <w:lang w:val="en-IE" w:eastAsia="en-IE"/>
            </w:rPr>
          </w:pPr>
          <w:hyperlink w:anchor="_Toc126321592" w:history="1">
            <w:r w:rsidR="0075572D" w:rsidRPr="00223CBD">
              <w:rPr>
                <w:rStyle w:val="Hyperlink"/>
                <w:noProof/>
              </w:rPr>
              <w:t>Endnotes</w:t>
            </w:r>
            <w:r w:rsidR="0075572D">
              <w:rPr>
                <w:noProof/>
                <w:webHidden/>
              </w:rPr>
              <w:tab/>
            </w:r>
            <w:r w:rsidR="0075572D">
              <w:rPr>
                <w:noProof/>
                <w:webHidden/>
              </w:rPr>
              <w:fldChar w:fldCharType="begin"/>
            </w:r>
            <w:r w:rsidR="0075572D">
              <w:rPr>
                <w:noProof/>
                <w:webHidden/>
              </w:rPr>
              <w:instrText xml:space="preserve"> PAGEREF _Toc126321592 \h </w:instrText>
            </w:r>
            <w:r w:rsidR="0075572D">
              <w:rPr>
                <w:noProof/>
                <w:webHidden/>
              </w:rPr>
            </w:r>
            <w:r w:rsidR="0075572D">
              <w:rPr>
                <w:noProof/>
                <w:webHidden/>
              </w:rPr>
              <w:fldChar w:fldCharType="separate"/>
            </w:r>
            <w:r w:rsidR="00FD7E5A">
              <w:rPr>
                <w:noProof/>
                <w:webHidden/>
              </w:rPr>
              <w:t>13</w:t>
            </w:r>
            <w:r w:rsidR="0075572D">
              <w:rPr>
                <w:noProof/>
                <w:webHidden/>
              </w:rPr>
              <w:fldChar w:fldCharType="end"/>
            </w:r>
          </w:hyperlink>
        </w:p>
        <w:p w14:paraId="53AB5E1B" w14:textId="5E83BD00" w:rsidR="00F657E6" w:rsidRDefault="00F657E6">
          <w:r>
            <w:rPr>
              <w:b/>
              <w:bCs/>
              <w:noProof/>
            </w:rPr>
            <w:fldChar w:fldCharType="end"/>
          </w:r>
        </w:p>
      </w:sdtContent>
    </w:sdt>
    <w:p w14:paraId="19F4F3DC" w14:textId="66559A60" w:rsidR="005A1098" w:rsidRDefault="00FE49E6" w:rsidP="00FE49E6">
      <w:pPr>
        <w:tabs>
          <w:tab w:val="left" w:pos="4335"/>
        </w:tabs>
        <w:spacing w:before="0" w:after="120" w:line="280" w:lineRule="atLeast"/>
      </w:pPr>
      <w:r>
        <w:tab/>
      </w:r>
    </w:p>
    <w:p w14:paraId="0E1BAE39" w14:textId="567A2E3C" w:rsidR="005A1098" w:rsidRDefault="005A1098" w:rsidP="005A1098">
      <w:pPr>
        <w:tabs>
          <w:tab w:val="left" w:pos="5490"/>
        </w:tabs>
        <w:spacing w:before="0" w:after="120" w:line="280" w:lineRule="atLeast"/>
      </w:pPr>
      <w:r>
        <w:tab/>
      </w:r>
    </w:p>
    <w:p w14:paraId="4E6814BB" w14:textId="67A09AA3" w:rsidR="00DA0293" w:rsidRPr="00112520" w:rsidRDefault="00B3070A" w:rsidP="0058398D">
      <w:pPr>
        <w:pStyle w:val="Heading2"/>
        <w:tabs>
          <w:tab w:val="left" w:pos="4320"/>
        </w:tabs>
      </w:pPr>
      <w:r>
        <w:tab/>
      </w:r>
      <w:bookmarkStart w:id="21" w:name="_Hlk83653413"/>
      <w:bookmarkEnd w:id="14"/>
      <w:bookmarkEnd w:id="20"/>
      <w:bookmarkEnd w:id="19"/>
    </w:p>
    <w:p w14:paraId="61154E05" w14:textId="292D5B99" w:rsidR="005C214B" w:rsidRPr="00112520" w:rsidRDefault="00A55DA9" w:rsidP="001B245A">
      <w:pPr>
        <w:pStyle w:val="Heading2"/>
        <w:spacing w:before="0" w:line="240" w:lineRule="auto"/>
        <w:rPr>
          <w:rFonts w:eastAsiaTheme="minorHAnsi"/>
          <w:lang w:val="en-US"/>
        </w:rPr>
      </w:pPr>
      <w:r w:rsidRPr="00112520">
        <w:rPr>
          <w:lang w:val="en-US"/>
        </w:rPr>
        <w:br w:type="page"/>
      </w:r>
      <w:bookmarkStart w:id="22" w:name="_Toc126321588"/>
      <w:r w:rsidR="005C214B" w:rsidRPr="005C214B">
        <w:lastRenderedPageBreak/>
        <w:t>The extent and nature of poverty</w:t>
      </w:r>
      <w:r w:rsidR="007374CB">
        <w:t xml:space="preserve"> in Australia</w:t>
      </w:r>
      <w:bookmarkEnd w:id="22"/>
    </w:p>
    <w:p w14:paraId="58E28605" w14:textId="3B9C1575" w:rsidR="00CA24B8" w:rsidRDefault="005C214B" w:rsidP="005C214B">
      <w:pPr>
        <w:rPr>
          <w:rFonts w:ascii="Arial" w:eastAsia="Arial" w:hAnsi="Arial" w:cs="Arial"/>
          <w:color w:val="000000"/>
          <w:lang w:val="en-US"/>
        </w:rPr>
      </w:pPr>
      <w:r w:rsidRPr="005C214B">
        <w:rPr>
          <w:rFonts w:ascii="Arial" w:eastAsia="Arial" w:hAnsi="Arial" w:cs="Arial"/>
          <w:color w:val="000000"/>
          <w:lang w:val="en-US"/>
        </w:rPr>
        <w:t>People with Disability Australia (PWDA) welcomes the</w:t>
      </w:r>
      <w:r w:rsidRPr="005C214B">
        <w:rPr>
          <w:rFonts w:ascii="Arial" w:eastAsia="Arial" w:hAnsi="Arial" w:cs="Times New Roman"/>
        </w:rPr>
        <w:t xml:space="preserve"> </w:t>
      </w:r>
      <w:r w:rsidRPr="005C214B">
        <w:rPr>
          <w:rFonts w:ascii="Arial" w:eastAsia="Arial" w:hAnsi="Arial" w:cs="Arial"/>
          <w:color w:val="000000"/>
          <w:lang w:val="en-US"/>
        </w:rPr>
        <w:t xml:space="preserve">Community Affairs References Committee inquiry into the extent and nature of poverty in Australia. This </w:t>
      </w:r>
      <w:r w:rsidR="00E71605">
        <w:rPr>
          <w:rFonts w:ascii="Arial" w:eastAsia="Arial" w:hAnsi="Arial" w:cs="Arial"/>
          <w:color w:val="000000"/>
          <w:lang w:val="en-US"/>
        </w:rPr>
        <w:t>submission</w:t>
      </w:r>
      <w:r w:rsidRPr="005C214B">
        <w:rPr>
          <w:rFonts w:ascii="Arial" w:eastAsia="Arial" w:hAnsi="Arial" w:cs="Arial"/>
          <w:color w:val="000000"/>
          <w:lang w:val="en-US"/>
        </w:rPr>
        <w:t xml:space="preserve"> addresses terms of reference</w:t>
      </w:r>
      <w:r w:rsidR="00D219D6">
        <w:rPr>
          <w:rFonts w:ascii="Arial" w:eastAsia="Arial" w:hAnsi="Arial" w:cs="Arial"/>
          <w:color w:val="000000"/>
          <w:lang w:val="en-US"/>
        </w:rPr>
        <w:t xml:space="preserve"> items</w:t>
      </w:r>
      <w:r w:rsidRPr="005C214B">
        <w:rPr>
          <w:rFonts w:ascii="Arial" w:eastAsia="Arial" w:hAnsi="Arial" w:cs="Arial"/>
          <w:color w:val="000000"/>
          <w:lang w:val="en-US"/>
        </w:rPr>
        <w:t xml:space="preserve"> d, a, c, e, and f.</w:t>
      </w:r>
    </w:p>
    <w:p w14:paraId="719012E3" w14:textId="057BBAAA" w:rsidR="002A3485" w:rsidRPr="00D219D6" w:rsidRDefault="00CA24B8" w:rsidP="00D219D6">
      <w:pPr>
        <w:pStyle w:val="Heading3"/>
        <w:rPr>
          <w:sz w:val="40"/>
          <w:szCs w:val="40"/>
        </w:rPr>
      </w:pPr>
      <w:bookmarkStart w:id="23" w:name="_Toc126321589"/>
      <w:r w:rsidRPr="00D219D6">
        <w:rPr>
          <w:sz w:val="40"/>
          <w:szCs w:val="40"/>
        </w:rPr>
        <w:t>Disability and poverty</w:t>
      </w:r>
      <w:bookmarkEnd w:id="23"/>
    </w:p>
    <w:bookmarkEnd w:id="21"/>
    <w:p w14:paraId="1ECB7BC7" w14:textId="171B1DED" w:rsidR="005C214B" w:rsidRPr="005C214B" w:rsidRDefault="005C214B" w:rsidP="002C1670">
      <w:pPr>
        <w:pStyle w:val="Heading4"/>
        <w:numPr>
          <w:ilvl w:val="0"/>
          <w:numId w:val="20"/>
        </w:numPr>
        <w:rPr>
          <w:rFonts w:eastAsia="Arial"/>
        </w:rPr>
      </w:pPr>
      <w:r w:rsidRPr="005C214B">
        <w:rPr>
          <w:rFonts w:eastAsia="Arial"/>
        </w:rPr>
        <w:t>Term of reference (d) the impacts of poverty amongst different demographics and communities</w:t>
      </w:r>
    </w:p>
    <w:p w14:paraId="69546509" w14:textId="787595B6" w:rsidR="00463445" w:rsidRPr="005C214B" w:rsidRDefault="005C214B" w:rsidP="005C214B">
      <w:pPr>
        <w:rPr>
          <w:rFonts w:ascii="Arial" w:eastAsia="Arial" w:hAnsi="Arial" w:cs="Arial"/>
          <w:color w:val="000000"/>
          <w:lang w:val="en-US"/>
        </w:rPr>
      </w:pPr>
      <w:r w:rsidRPr="002668AC">
        <w:rPr>
          <w:rFonts w:ascii="Arial" w:eastAsia="Arial" w:hAnsi="Arial" w:cs="Arial"/>
          <w:color w:val="000000"/>
          <w:lang w:val="en-US"/>
        </w:rPr>
        <w:t xml:space="preserve">PWDA is a leading </w:t>
      </w:r>
      <w:r w:rsidR="00FD2909">
        <w:rPr>
          <w:rFonts w:ascii="Arial" w:eastAsia="Arial" w:hAnsi="Arial" w:cs="Arial"/>
          <w:color w:val="000000"/>
          <w:lang w:val="en-US"/>
        </w:rPr>
        <w:t xml:space="preserve">systemic and </w:t>
      </w:r>
      <w:r w:rsidR="008C5E84">
        <w:rPr>
          <w:rFonts w:ascii="Arial" w:eastAsia="Arial" w:hAnsi="Arial" w:cs="Arial"/>
          <w:color w:val="000000"/>
          <w:lang w:val="en-US"/>
        </w:rPr>
        <w:t xml:space="preserve">individual </w:t>
      </w:r>
      <w:r w:rsidRPr="002668AC">
        <w:rPr>
          <w:rFonts w:ascii="Arial" w:eastAsia="Arial" w:hAnsi="Arial" w:cs="Arial"/>
          <w:color w:val="000000"/>
          <w:lang w:val="en-US"/>
        </w:rPr>
        <w:t xml:space="preserve">advocacy and representative organisation </w:t>
      </w:r>
      <w:r w:rsidR="00265D3E" w:rsidRPr="002668AC">
        <w:rPr>
          <w:rFonts w:ascii="Arial" w:eastAsia="Arial" w:hAnsi="Arial" w:cs="Arial"/>
          <w:color w:val="000000"/>
          <w:lang w:val="en-US"/>
        </w:rPr>
        <w:t>that represents</w:t>
      </w:r>
      <w:r w:rsidRPr="002668AC">
        <w:rPr>
          <w:rFonts w:ascii="Arial" w:eastAsia="Arial" w:hAnsi="Arial" w:cs="Arial"/>
          <w:color w:val="000000"/>
          <w:lang w:val="en-US"/>
        </w:rPr>
        <w:t xml:space="preserve"> the interests of people with all kinds of </w:t>
      </w:r>
      <w:proofErr w:type="gramStart"/>
      <w:r w:rsidRPr="002668AC">
        <w:rPr>
          <w:rFonts w:ascii="Arial" w:eastAsia="Arial" w:hAnsi="Arial" w:cs="Arial"/>
          <w:color w:val="000000"/>
          <w:lang w:val="en-US"/>
        </w:rPr>
        <w:t>disability</w:t>
      </w:r>
      <w:proofErr w:type="gramEnd"/>
      <w:r w:rsidRPr="002668AC">
        <w:rPr>
          <w:rFonts w:ascii="Arial" w:eastAsia="Arial" w:hAnsi="Arial" w:cs="Arial"/>
          <w:color w:val="000000"/>
          <w:lang w:val="en-US"/>
        </w:rPr>
        <w:t xml:space="preserve">. </w:t>
      </w:r>
      <w:r w:rsidR="00FD2909">
        <w:rPr>
          <w:rFonts w:ascii="Arial" w:eastAsia="Arial" w:hAnsi="Arial" w:cs="Arial"/>
          <w:color w:val="000000"/>
          <w:lang w:val="en-US"/>
        </w:rPr>
        <w:t>PWDA’s m</w:t>
      </w:r>
      <w:r w:rsidR="00FD2909" w:rsidRPr="002668AC">
        <w:rPr>
          <w:rFonts w:ascii="Arial" w:eastAsia="Arial" w:hAnsi="Arial" w:cs="Arial"/>
          <w:color w:val="000000"/>
          <w:lang w:val="en-US"/>
        </w:rPr>
        <w:t xml:space="preserve">embership is comprised of people with disability and </w:t>
      </w:r>
      <w:proofErr w:type="spellStart"/>
      <w:r w:rsidR="00FD2909" w:rsidRPr="002668AC">
        <w:rPr>
          <w:rFonts w:ascii="Arial" w:eastAsia="Arial" w:hAnsi="Arial" w:cs="Arial"/>
          <w:color w:val="000000"/>
          <w:lang w:val="en-US"/>
        </w:rPr>
        <w:t>organisations</w:t>
      </w:r>
      <w:proofErr w:type="spellEnd"/>
      <w:r w:rsidR="00FD2909" w:rsidRPr="002668AC">
        <w:rPr>
          <w:rFonts w:ascii="Arial" w:eastAsia="Arial" w:hAnsi="Arial" w:cs="Arial"/>
          <w:color w:val="000000"/>
          <w:lang w:val="en-US"/>
        </w:rPr>
        <w:t xml:space="preserve"> primarily constituted by people with disability</w:t>
      </w:r>
      <w:r w:rsidR="00FD2909">
        <w:rPr>
          <w:rFonts w:ascii="Arial" w:eastAsia="Arial" w:hAnsi="Arial" w:cs="Arial"/>
          <w:color w:val="000000"/>
          <w:lang w:val="en-US"/>
        </w:rPr>
        <w:t>, and</w:t>
      </w:r>
      <w:r w:rsidR="00FD2909" w:rsidRPr="002668AC">
        <w:rPr>
          <w:rFonts w:ascii="Arial" w:eastAsia="Arial" w:hAnsi="Arial" w:cs="Arial"/>
          <w:color w:val="000000"/>
          <w:lang w:val="en-US"/>
        </w:rPr>
        <w:t xml:space="preserve"> </w:t>
      </w:r>
      <w:r w:rsidR="00FD2909">
        <w:rPr>
          <w:rFonts w:ascii="Arial" w:eastAsia="Arial" w:hAnsi="Arial" w:cs="Arial"/>
          <w:color w:val="000000"/>
          <w:lang w:val="en-US"/>
        </w:rPr>
        <w:t>our</w:t>
      </w:r>
      <w:r w:rsidR="00B53DF3" w:rsidRPr="002668AC">
        <w:rPr>
          <w:rFonts w:ascii="Arial" w:eastAsia="Arial" w:hAnsi="Arial" w:cs="Arial"/>
          <w:color w:val="000000"/>
          <w:lang w:val="en-US"/>
        </w:rPr>
        <w:t xml:space="preserve"> Board is comprised of people with disability with extensive involvement and experience in the disability rights secto</w:t>
      </w:r>
      <w:r w:rsidR="00B53DF3">
        <w:rPr>
          <w:rFonts w:ascii="Arial" w:eastAsia="Arial" w:hAnsi="Arial" w:cs="Arial"/>
          <w:color w:val="000000"/>
          <w:lang w:val="en-US"/>
        </w:rPr>
        <w:t>r</w:t>
      </w:r>
      <w:r w:rsidRPr="002668AC">
        <w:rPr>
          <w:rFonts w:ascii="Arial" w:eastAsia="Arial" w:hAnsi="Arial" w:cs="Arial"/>
          <w:color w:val="000000"/>
          <w:lang w:val="en-US"/>
        </w:rPr>
        <w:t xml:space="preserve">. </w:t>
      </w:r>
      <w:r w:rsidR="001B245A">
        <w:rPr>
          <w:rFonts w:ascii="Arial" w:eastAsia="Arial" w:hAnsi="Arial" w:cs="Arial"/>
          <w:color w:val="000000"/>
          <w:lang w:val="en-US"/>
        </w:rPr>
        <w:t>T</w:t>
      </w:r>
      <w:r w:rsidRPr="005C214B">
        <w:rPr>
          <w:rFonts w:ascii="Arial" w:eastAsia="Arial" w:hAnsi="Arial" w:cs="Arial"/>
          <w:color w:val="000000"/>
          <w:lang w:val="en-US"/>
        </w:rPr>
        <w:t xml:space="preserve">his </w:t>
      </w:r>
      <w:r w:rsidR="00F50158">
        <w:rPr>
          <w:rFonts w:ascii="Arial" w:eastAsia="Arial" w:hAnsi="Arial" w:cs="Arial"/>
          <w:color w:val="000000"/>
          <w:lang w:val="en-US"/>
        </w:rPr>
        <w:t>submission</w:t>
      </w:r>
      <w:r w:rsidRPr="005C214B">
        <w:rPr>
          <w:rFonts w:ascii="Arial" w:eastAsia="Arial" w:hAnsi="Arial" w:cs="Arial"/>
          <w:color w:val="000000"/>
          <w:lang w:val="en-US"/>
        </w:rPr>
        <w:t xml:space="preserve"> specifically addresses the impacts of poverty on Australians with disability.</w:t>
      </w:r>
    </w:p>
    <w:p w14:paraId="3D050F78" w14:textId="0A23B285" w:rsidR="005C214B" w:rsidRPr="005C214B" w:rsidRDefault="005C214B" w:rsidP="002C1670">
      <w:pPr>
        <w:pStyle w:val="Heading4"/>
        <w:numPr>
          <w:ilvl w:val="0"/>
          <w:numId w:val="20"/>
        </w:numPr>
        <w:rPr>
          <w:rFonts w:eastAsia="Arial"/>
        </w:rPr>
      </w:pPr>
      <w:r w:rsidRPr="005C214B">
        <w:rPr>
          <w:rFonts w:eastAsia="Arial"/>
        </w:rPr>
        <w:t>Term of reference (a) the rates and drivers of poverty in Australia</w:t>
      </w:r>
    </w:p>
    <w:p w14:paraId="062F39D3" w14:textId="05F684E8" w:rsidR="00D22572" w:rsidRPr="005C214B" w:rsidRDefault="005C214B" w:rsidP="005C214B">
      <w:pPr>
        <w:rPr>
          <w:rFonts w:ascii="Arial" w:eastAsia="Arial" w:hAnsi="Arial" w:cs="Times New Roman"/>
        </w:rPr>
      </w:pPr>
      <w:r w:rsidRPr="005C214B">
        <w:rPr>
          <w:rFonts w:ascii="Arial" w:eastAsia="Arial" w:hAnsi="Arial" w:cs="Times New Roman"/>
        </w:rPr>
        <w:t>Australians with disability experience significant economic disadvantage. On average, people with disability have lower income than people without disability</w:t>
      </w:r>
      <w:r w:rsidR="00435956">
        <w:rPr>
          <w:rFonts w:ascii="Arial" w:eastAsia="Arial" w:hAnsi="Arial" w:cs="Arial"/>
          <w:color w:val="000000"/>
        </w:rPr>
        <w:t>, with t</w:t>
      </w:r>
      <w:r w:rsidRPr="005C214B">
        <w:rPr>
          <w:rFonts w:ascii="Arial" w:eastAsia="Arial" w:hAnsi="Arial" w:cs="Arial"/>
          <w:color w:val="000000"/>
        </w:rPr>
        <w:t>he Organisation for Economic Cooperation and Development (OECD) estimating in 2010 that 45</w:t>
      </w:r>
      <w:r w:rsidR="001B245A">
        <w:rPr>
          <w:rFonts w:ascii="Arial" w:eastAsia="Arial" w:hAnsi="Arial" w:cs="Arial"/>
          <w:color w:val="000000"/>
        </w:rPr>
        <w:t xml:space="preserve"> per cent </w:t>
      </w:r>
      <w:r w:rsidR="00D219D6">
        <w:rPr>
          <w:rFonts w:ascii="Arial" w:eastAsia="Arial" w:hAnsi="Arial" w:cs="Arial"/>
          <w:color w:val="000000"/>
        </w:rPr>
        <w:t xml:space="preserve">of </w:t>
      </w:r>
      <w:r w:rsidRPr="005C214B">
        <w:rPr>
          <w:rFonts w:ascii="Arial" w:eastAsia="Arial" w:hAnsi="Arial" w:cs="Arial"/>
          <w:color w:val="000000"/>
        </w:rPr>
        <w:t>all people with disability in Australia were living in poverty</w:t>
      </w:r>
      <w:r w:rsidR="00435956">
        <w:rPr>
          <w:rFonts w:ascii="Arial" w:eastAsia="Arial" w:hAnsi="Arial" w:cs="Arial"/>
          <w:color w:val="000000"/>
        </w:rPr>
        <w:t>; and the</w:t>
      </w:r>
      <w:r w:rsidR="00435956" w:rsidRPr="00435956">
        <w:rPr>
          <w:rFonts w:ascii="Arial" w:eastAsia="Arial" w:hAnsi="Arial" w:cs="Arial"/>
          <w:color w:val="000000"/>
        </w:rPr>
        <w:t xml:space="preserve"> Australian Council of Social Service and University of New South </w:t>
      </w:r>
      <w:r w:rsidR="00435956">
        <w:rPr>
          <w:rFonts w:ascii="Arial" w:eastAsia="Arial" w:hAnsi="Arial" w:cs="Arial"/>
          <w:color w:val="000000"/>
        </w:rPr>
        <w:t>Wales estimating that</w:t>
      </w:r>
      <w:r w:rsidR="00435956" w:rsidRPr="00435956">
        <w:rPr>
          <w:rFonts w:ascii="Arial" w:eastAsia="Arial" w:hAnsi="Arial" w:cs="Arial"/>
          <w:color w:val="000000"/>
        </w:rPr>
        <w:t xml:space="preserve"> 41</w:t>
      </w:r>
      <w:r w:rsidR="00435956">
        <w:rPr>
          <w:rFonts w:ascii="Arial" w:eastAsia="Arial" w:hAnsi="Arial" w:cs="Arial"/>
          <w:color w:val="000000"/>
        </w:rPr>
        <w:t xml:space="preserve"> percent</w:t>
      </w:r>
      <w:r w:rsidR="00435956" w:rsidRPr="00435956">
        <w:rPr>
          <w:rFonts w:ascii="Arial" w:eastAsia="Arial" w:hAnsi="Arial" w:cs="Arial"/>
          <w:color w:val="000000"/>
        </w:rPr>
        <w:t xml:space="preserve"> of people in households with a person accessing the D</w:t>
      </w:r>
      <w:r w:rsidR="00435956">
        <w:rPr>
          <w:rFonts w:ascii="Arial" w:eastAsia="Arial" w:hAnsi="Arial" w:cs="Arial"/>
          <w:color w:val="000000"/>
        </w:rPr>
        <w:t>isability Support Pension in 2017-18</w:t>
      </w:r>
      <w:r w:rsidR="00435956" w:rsidRPr="00435956">
        <w:rPr>
          <w:rFonts w:ascii="Arial" w:eastAsia="Arial" w:hAnsi="Arial" w:cs="Arial"/>
          <w:color w:val="000000"/>
        </w:rPr>
        <w:t xml:space="preserve"> </w:t>
      </w:r>
      <w:r w:rsidR="00435956">
        <w:rPr>
          <w:rFonts w:ascii="Arial" w:eastAsia="Arial" w:hAnsi="Arial" w:cs="Arial"/>
          <w:color w:val="000000"/>
        </w:rPr>
        <w:t>were</w:t>
      </w:r>
      <w:r w:rsidR="00435956" w:rsidRPr="00435956">
        <w:rPr>
          <w:rFonts w:ascii="Arial" w:eastAsia="Arial" w:hAnsi="Arial" w:cs="Arial"/>
          <w:color w:val="000000"/>
        </w:rPr>
        <w:t xml:space="preserve"> in poverty</w:t>
      </w:r>
      <w:r w:rsidRPr="005C214B">
        <w:rPr>
          <w:rFonts w:ascii="Arial" w:eastAsia="Arial" w:hAnsi="Arial" w:cs="Arial"/>
          <w:color w:val="000000"/>
        </w:rPr>
        <w:t>.</w:t>
      </w:r>
      <w:r w:rsidR="00D22572" w:rsidRPr="005C214B">
        <w:rPr>
          <w:rFonts w:ascii="Arial" w:eastAsia="Arial" w:hAnsi="Arial" w:cs="Times New Roman"/>
          <w:b/>
          <w:vertAlign w:val="superscript"/>
        </w:rPr>
        <w:endnoteReference w:id="1"/>
      </w:r>
      <w:r w:rsidR="00D22572" w:rsidRPr="005C214B">
        <w:rPr>
          <w:rFonts w:ascii="Arial" w:eastAsia="Arial" w:hAnsi="Arial" w:cs="Times New Roman"/>
        </w:rPr>
        <w:t xml:space="preserve"> </w:t>
      </w:r>
      <w:r w:rsidR="00D22572" w:rsidRPr="005C214B">
        <w:rPr>
          <w:rFonts w:ascii="Arial" w:eastAsia="Arial" w:hAnsi="Arial" w:cs="Arial"/>
          <w:color w:val="000000"/>
        </w:rPr>
        <w:t>Australia also has the highest risk of relative poverty for people with disability among similar countries in the OECD.</w:t>
      </w:r>
      <w:r w:rsidR="00D22572" w:rsidRPr="005C214B">
        <w:rPr>
          <w:rFonts w:ascii="Arial" w:eastAsia="Arial" w:hAnsi="Arial" w:cs="Arial"/>
          <w:b/>
          <w:color w:val="000000"/>
          <w:vertAlign w:val="superscript"/>
        </w:rPr>
        <w:endnoteReference w:id="2"/>
      </w:r>
    </w:p>
    <w:p w14:paraId="5CCA1537" w14:textId="1DBA745F" w:rsidR="00D22572" w:rsidRPr="005C214B" w:rsidRDefault="00D22572" w:rsidP="005C214B">
      <w:pPr>
        <w:rPr>
          <w:rFonts w:ascii="Arial" w:eastAsia="Arial" w:hAnsi="Arial" w:cs="Arial"/>
          <w:color w:val="000000"/>
          <w:lang w:val="en-US"/>
        </w:rPr>
      </w:pPr>
      <w:r w:rsidRPr="005C214B">
        <w:rPr>
          <w:rFonts w:ascii="Arial" w:eastAsia="Arial" w:hAnsi="Arial" w:cs="Arial"/>
          <w:color w:val="000000"/>
          <w:lang w:val="en-US"/>
        </w:rPr>
        <w:lastRenderedPageBreak/>
        <w:t xml:space="preserve">These findings of high rates of poverty are borne out in the lived experiences of PWDA’s individual advocacy </w:t>
      </w:r>
      <w:r w:rsidR="00D219D6" w:rsidRPr="005C214B">
        <w:rPr>
          <w:rFonts w:ascii="Arial" w:eastAsia="Arial" w:hAnsi="Arial" w:cs="Arial"/>
          <w:color w:val="000000"/>
          <w:lang w:val="en-US"/>
        </w:rPr>
        <w:t>clients and</w:t>
      </w:r>
      <w:r w:rsidRPr="005C214B">
        <w:rPr>
          <w:rFonts w:ascii="Arial" w:eastAsia="Arial" w:hAnsi="Arial" w:cs="Arial"/>
          <w:color w:val="000000"/>
          <w:lang w:val="en-US"/>
        </w:rPr>
        <w:t xml:space="preserve"> reflected in PWDA’s reports and recommendations to previous inquiries (see </w:t>
      </w:r>
      <w:r w:rsidR="00D219D6">
        <w:rPr>
          <w:rFonts w:ascii="Arial" w:eastAsia="Arial" w:hAnsi="Arial" w:cs="Arial"/>
          <w:color w:val="000000"/>
          <w:lang w:val="en-US"/>
        </w:rPr>
        <w:t>A</w:t>
      </w:r>
      <w:r w:rsidR="006C4AD4">
        <w:rPr>
          <w:rFonts w:ascii="Arial" w:eastAsia="Arial" w:hAnsi="Arial" w:cs="Arial"/>
          <w:color w:val="000000"/>
          <w:lang w:val="en-US"/>
        </w:rPr>
        <w:t>ppendix</w:t>
      </w:r>
      <w:r w:rsidR="001B245A">
        <w:rPr>
          <w:rFonts w:ascii="Arial" w:eastAsia="Arial" w:hAnsi="Arial" w:cs="Arial"/>
          <w:color w:val="000000"/>
          <w:lang w:val="en-US"/>
        </w:rPr>
        <w:t xml:space="preserve"> A</w:t>
      </w:r>
      <w:r w:rsidRPr="005C214B">
        <w:rPr>
          <w:rFonts w:ascii="Arial" w:eastAsia="Arial" w:hAnsi="Arial" w:cs="Arial"/>
          <w:color w:val="000000"/>
          <w:lang w:val="en-US"/>
        </w:rPr>
        <w:t xml:space="preserve">). </w:t>
      </w:r>
    </w:p>
    <w:p w14:paraId="3BD67BED" w14:textId="00425738" w:rsidR="00D22572" w:rsidRPr="00D219D6" w:rsidRDefault="005D7540" w:rsidP="005C214B">
      <w:pPr>
        <w:rPr>
          <w:rFonts w:ascii="Arial" w:eastAsia="Arial" w:hAnsi="Arial" w:cs="Arial"/>
          <w:color w:val="000000"/>
          <w:lang w:val="en-US"/>
        </w:rPr>
      </w:pPr>
      <w:r>
        <w:rPr>
          <w:rFonts w:ascii="Arial" w:eastAsia="Arial" w:hAnsi="Arial" w:cs="Arial"/>
          <w:color w:val="000000"/>
          <w:lang w:val="en-US"/>
        </w:rPr>
        <w:t>T</w:t>
      </w:r>
      <w:r w:rsidR="00D22572" w:rsidRPr="005C214B">
        <w:rPr>
          <w:rFonts w:ascii="Arial" w:eastAsia="Arial" w:hAnsi="Arial" w:cs="Arial"/>
          <w:color w:val="000000"/>
          <w:lang w:val="en-US"/>
        </w:rPr>
        <w:t>he connection between drivers and impacts of poverty for people with disability is cyclical in nature - disability can either cause or</w:t>
      </w:r>
      <w:r w:rsidR="004C34D9">
        <w:rPr>
          <w:rFonts w:ascii="Arial" w:eastAsia="Arial" w:hAnsi="Arial" w:cs="Arial"/>
          <w:color w:val="000000"/>
          <w:lang w:val="en-US"/>
        </w:rPr>
        <w:t xml:space="preserve"> be a</w:t>
      </w:r>
      <w:r w:rsidR="00D22572" w:rsidRPr="005C214B">
        <w:rPr>
          <w:rFonts w:ascii="Arial" w:eastAsia="Arial" w:hAnsi="Arial" w:cs="Arial"/>
          <w:color w:val="000000"/>
          <w:lang w:val="en-US"/>
        </w:rPr>
        <w:t xml:space="preserve"> consequence of poverty, often </w:t>
      </w:r>
      <w:r w:rsidR="000E6A39">
        <w:rPr>
          <w:rFonts w:ascii="Arial" w:eastAsia="Arial" w:hAnsi="Arial" w:cs="Arial"/>
          <w:color w:val="000000"/>
          <w:lang w:val="en-US"/>
        </w:rPr>
        <w:t xml:space="preserve">resulting in </w:t>
      </w:r>
      <w:r w:rsidR="00D22572" w:rsidRPr="005C214B">
        <w:rPr>
          <w:rFonts w:ascii="Arial" w:eastAsia="Arial" w:hAnsi="Arial" w:cs="Arial"/>
          <w:color w:val="000000"/>
          <w:lang w:val="en-US"/>
        </w:rPr>
        <w:t xml:space="preserve">a </w:t>
      </w:r>
      <w:r w:rsidR="004C34D9">
        <w:rPr>
          <w:rFonts w:ascii="Arial" w:eastAsia="Arial" w:hAnsi="Arial" w:cs="Arial"/>
          <w:color w:val="000000"/>
          <w:lang w:val="en-US"/>
        </w:rPr>
        <w:t xml:space="preserve">disability-poverty </w:t>
      </w:r>
      <w:r w:rsidR="00D22572" w:rsidRPr="005C214B">
        <w:rPr>
          <w:rFonts w:ascii="Arial" w:eastAsia="Arial" w:hAnsi="Arial" w:cs="Arial"/>
          <w:color w:val="000000"/>
          <w:lang w:val="en-US"/>
        </w:rPr>
        <w:t>cycle that is difficult to escape.</w:t>
      </w:r>
      <w:r w:rsidR="004C34D9">
        <w:rPr>
          <w:rFonts w:ascii="Arial" w:eastAsia="Arial" w:hAnsi="Arial" w:cs="Arial"/>
          <w:color w:val="000000"/>
          <w:lang w:val="en-US"/>
        </w:rPr>
        <w:t xml:space="preserve"> </w:t>
      </w:r>
      <w:r w:rsidR="000E6A39">
        <w:rPr>
          <w:rFonts w:ascii="Arial" w:eastAsia="Arial" w:hAnsi="Arial" w:cs="Arial"/>
          <w:color w:val="000000"/>
          <w:lang w:val="en-US"/>
        </w:rPr>
        <w:t>P</w:t>
      </w:r>
      <w:r w:rsidR="00D22572" w:rsidRPr="005C214B">
        <w:rPr>
          <w:rFonts w:ascii="Arial" w:eastAsia="Arial" w:hAnsi="Arial" w:cs="Arial"/>
          <w:color w:val="000000"/>
          <w:lang w:val="en-US"/>
        </w:rPr>
        <w:t>oorer outcomes in employment, housing security, health, education, and other life domains, can be both drivers and impacts of poverty for people with disability, with cascading effects. This is discussed further below.</w:t>
      </w:r>
    </w:p>
    <w:p w14:paraId="53EF0D5D" w14:textId="59C0C8B1" w:rsidR="00D22572" w:rsidRPr="005C214B" w:rsidRDefault="00D22572" w:rsidP="00C3123D">
      <w:pPr>
        <w:pStyle w:val="Heading4"/>
        <w:numPr>
          <w:ilvl w:val="0"/>
          <w:numId w:val="20"/>
        </w:numPr>
        <w:rPr>
          <w:rFonts w:eastAsia="Arial"/>
          <w:lang w:val="en-IE"/>
        </w:rPr>
      </w:pPr>
      <w:r w:rsidRPr="005C214B">
        <w:rPr>
          <w:rFonts w:eastAsia="Arial"/>
          <w:lang w:val="en-IE"/>
        </w:rPr>
        <w:t>Term of reference (c) the impact of poverty on individuals in relation to: (</w:t>
      </w:r>
      <w:proofErr w:type="spellStart"/>
      <w:r w:rsidRPr="005C214B">
        <w:rPr>
          <w:rFonts w:eastAsia="Arial"/>
          <w:lang w:val="en-IE"/>
        </w:rPr>
        <w:t>i</w:t>
      </w:r>
      <w:proofErr w:type="spellEnd"/>
      <w:r w:rsidRPr="005C214B">
        <w:rPr>
          <w:rFonts w:eastAsia="Arial"/>
          <w:lang w:val="en-IE"/>
        </w:rPr>
        <w:t>) employment outcomes, (ii) housing security, (iii) health outcomes, and (iv) education outcomes</w:t>
      </w:r>
    </w:p>
    <w:p w14:paraId="14E09103" w14:textId="77777777" w:rsidR="00D22572" w:rsidRPr="005C214B" w:rsidRDefault="00D22572" w:rsidP="005C214B">
      <w:pPr>
        <w:numPr>
          <w:ilvl w:val="0"/>
          <w:numId w:val="13"/>
        </w:numPr>
        <w:rPr>
          <w:rFonts w:ascii="Arial" w:eastAsia="Arial" w:hAnsi="Arial" w:cs="Arial"/>
          <w:b/>
          <w:bCs/>
          <w:color w:val="000000"/>
          <w:lang w:val="en-US"/>
        </w:rPr>
      </w:pPr>
      <w:r w:rsidRPr="005C214B">
        <w:rPr>
          <w:rFonts w:ascii="Arial" w:eastAsia="Arial" w:hAnsi="Arial" w:cs="Arial"/>
          <w:b/>
          <w:bCs/>
          <w:color w:val="000000"/>
          <w:lang w:val="en-US"/>
        </w:rPr>
        <w:t>Employment</w:t>
      </w:r>
    </w:p>
    <w:p w14:paraId="0627ECF8" w14:textId="3FCF90A1" w:rsidR="00D22572" w:rsidRPr="005C214B" w:rsidRDefault="00D22572" w:rsidP="005C214B">
      <w:pPr>
        <w:rPr>
          <w:rFonts w:ascii="Arial" w:eastAsia="Arial" w:hAnsi="Arial" w:cs="Arial"/>
          <w:color w:val="000000"/>
          <w:lang w:val="en-US"/>
        </w:rPr>
      </w:pPr>
      <w:r w:rsidRPr="005C214B">
        <w:rPr>
          <w:rFonts w:ascii="Arial" w:eastAsia="Arial" w:hAnsi="Arial" w:cs="Times New Roman"/>
        </w:rPr>
        <w:t>International data indicate people with disability have a labour force participation rate of just over 5</w:t>
      </w:r>
      <w:r w:rsidR="0058398D">
        <w:rPr>
          <w:rFonts w:ascii="Arial" w:eastAsia="Arial" w:hAnsi="Arial" w:cs="Times New Roman"/>
        </w:rPr>
        <w:t>0</w:t>
      </w:r>
      <w:r w:rsidR="00C33569">
        <w:rPr>
          <w:rFonts w:ascii="Arial" w:eastAsia="Arial" w:hAnsi="Arial" w:cs="Times New Roman"/>
        </w:rPr>
        <w:t xml:space="preserve"> per cent</w:t>
      </w:r>
      <w:r w:rsidRPr="005C214B">
        <w:rPr>
          <w:rFonts w:ascii="Arial" w:eastAsia="Arial" w:hAnsi="Arial" w:cs="Times New Roman"/>
        </w:rPr>
        <w:t>, compared to more than 8</w:t>
      </w:r>
      <w:r w:rsidR="0058398D">
        <w:rPr>
          <w:rFonts w:ascii="Arial" w:eastAsia="Arial" w:hAnsi="Arial" w:cs="Times New Roman"/>
        </w:rPr>
        <w:t>0</w:t>
      </w:r>
      <w:r w:rsidR="00C33569">
        <w:rPr>
          <w:rFonts w:ascii="Arial" w:eastAsia="Arial" w:hAnsi="Arial" w:cs="Times New Roman"/>
        </w:rPr>
        <w:t xml:space="preserve"> per cent</w:t>
      </w:r>
      <w:r w:rsidR="0058398D">
        <w:rPr>
          <w:rFonts w:ascii="Arial" w:eastAsia="Arial" w:hAnsi="Arial" w:cs="Times New Roman"/>
        </w:rPr>
        <w:t xml:space="preserve"> </w:t>
      </w:r>
      <w:r w:rsidRPr="005C214B">
        <w:rPr>
          <w:rFonts w:ascii="Arial" w:eastAsia="Arial" w:hAnsi="Arial" w:cs="Times New Roman"/>
        </w:rPr>
        <w:t xml:space="preserve">for people without disability, and </w:t>
      </w:r>
      <w:r w:rsidR="000E6A39">
        <w:rPr>
          <w:rFonts w:ascii="Arial" w:eastAsia="Arial" w:hAnsi="Arial" w:cs="Times New Roman"/>
        </w:rPr>
        <w:t xml:space="preserve">people with disability experience </w:t>
      </w:r>
      <w:r w:rsidRPr="005C214B">
        <w:rPr>
          <w:rFonts w:ascii="Arial" w:eastAsia="Arial" w:hAnsi="Arial" w:cs="Times New Roman"/>
        </w:rPr>
        <w:t xml:space="preserve">almost double </w:t>
      </w:r>
      <w:r w:rsidR="000E6A39">
        <w:rPr>
          <w:rFonts w:ascii="Arial" w:eastAsia="Arial" w:hAnsi="Arial" w:cs="Times New Roman"/>
        </w:rPr>
        <w:t xml:space="preserve">the </w:t>
      </w:r>
      <w:r w:rsidRPr="005C214B">
        <w:rPr>
          <w:rFonts w:ascii="Arial" w:eastAsia="Arial" w:hAnsi="Arial" w:cs="Times New Roman"/>
        </w:rPr>
        <w:t>unemployment rate</w:t>
      </w:r>
      <w:r w:rsidR="00FE55BB">
        <w:rPr>
          <w:rFonts w:ascii="Arial" w:eastAsia="Arial" w:hAnsi="Arial" w:cs="Times New Roman"/>
        </w:rPr>
        <w:t xml:space="preserve"> as people without disability.</w:t>
      </w:r>
      <w:r w:rsidR="001B245A" w:rsidRPr="001B245A">
        <w:rPr>
          <w:rFonts w:ascii="Arial" w:eastAsia="Arial" w:hAnsi="Arial" w:cs="Times New Roman"/>
          <w:b/>
          <w:vertAlign w:val="superscript"/>
        </w:rPr>
        <w:t xml:space="preserve"> </w:t>
      </w:r>
      <w:r w:rsidR="001B245A" w:rsidRPr="005C214B">
        <w:rPr>
          <w:rFonts w:ascii="Arial" w:eastAsia="Arial" w:hAnsi="Arial" w:cs="Times New Roman"/>
          <w:b/>
          <w:vertAlign w:val="superscript"/>
        </w:rPr>
        <w:endnoteReference w:id="3"/>
      </w:r>
      <w:r w:rsidRPr="005C214B">
        <w:rPr>
          <w:rFonts w:ascii="Arial" w:eastAsia="Arial" w:hAnsi="Arial" w:cs="Times New Roman"/>
        </w:rPr>
        <w:t xml:space="preserve"> </w:t>
      </w:r>
      <w:r w:rsidRPr="005C214B">
        <w:rPr>
          <w:rFonts w:ascii="Arial" w:eastAsia="Arial" w:hAnsi="Arial" w:cs="Arial"/>
          <w:color w:val="000000"/>
          <w:lang w:val="en-US"/>
        </w:rPr>
        <w:t>Low labour force participation results in reduced income</w:t>
      </w:r>
      <w:r w:rsidR="0058398D">
        <w:rPr>
          <w:rFonts w:ascii="Arial" w:eastAsia="Arial" w:hAnsi="Arial" w:cs="Arial"/>
          <w:color w:val="000000"/>
          <w:lang w:val="en-US"/>
        </w:rPr>
        <w:t xml:space="preserve">, </w:t>
      </w:r>
      <w:r w:rsidR="00FE55BB">
        <w:rPr>
          <w:rFonts w:ascii="Arial" w:eastAsia="Arial" w:hAnsi="Arial" w:cs="Arial"/>
          <w:color w:val="000000"/>
          <w:lang w:val="en-US"/>
        </w:rPr>
        <w:t xml:space="preserve">reduced </w:t>
      </w:r>
      <w:r w:rsidR="0058398D">
        <w:rPr>
          <w:rFonts w:ascii="Arial" w:eastAsia="Arial" w:hAnsi="Arial" w:cs="Arial"/>
          <w:color w:val="000000"/>
          <w:lang w:val="en-US"/>
        </w:rPr>
        <w:t>economic security,</w:t>
      </w:r>
      <w:r w:rsidRPr="005C214B">
        <w:rPr>
          <w:rFonts w:ascii="Arial" w:eastAsia="Arial" w:hAnsi="Arial" w:cs="Arial"/>
          <w:color w:val="000000"/>
          <w:lang w:val="en-US"/>
        </w:rPr>
        <w:t xml:space="preserve"> and contributes to disadvantage.</w:t>
      </w:r>
      <w:r w:rsidRPr="005C214B">
        <w:rPr>
          <w:rFonts w:ascii="Arial" w:eastAsia="Arial" w:hAnsi="Arial" w:cs="Arial"/>
          <w:b/>
          <w:color w:val="000000"/>
          <w:vertAlign w:val="superscript"/>
          <w:lang w:val="en-US"/>
        </w:rPr>
        <w:endnoteReference w:id="4"/>
      </w:r>
      <w:r w:rsidRPr="005C214B">
        <w:rPr>
          <w:rFonts w:ascii="Arial" w:eastAsia="Arial" w:hAnsi="Arial" w:cs="Times New Roman"/>
        </w:rPr>
        <w:t xml:space="preserve"> According to the OECD, low rates of employment are responsible for high rates of poverty for people with disability.</w:t>
      </w:r>
      <w:r w:rsidRPr="005C214B">
        <w:rPr>
          <w:rFonts w:ascii="Arial" w:eastAsia="Arial" w:hAnsi="Arial" w:cs="Times New Roman"/>
          <w:b/>
          <w:vertAlign w:val="superscript"/>
        </w:rPr>
        <w:endnoteReference w:id="5"/>
      </w:r>
    </w:p>
    <w:p w14:paraId="70D1F55A" w14:textId="4BC7EC6F" w:rsidR="007374CB" w:rsidRPr="005C214B" w:rsidRDefault="00D22572" w:rsidP="005C214B">
      <w:pPr>
        <w:rPr>
          <w:rFonts w:ascii="Arial" w:eastAsia="Arial" w:hAnsi="Arial" w:cs="Times New Roman"/>
        </w:rPr>
      </w:pPr>
      <w:r w:rsidRPr="005C214B">
        <w:rPr>
          <w:rFonts w:ascii="Arial" w:eastAsia="Arial" w:hAnsi="Arial" w:cs="Times New Roman"/>
        </w:rPr>
        <w:t>Consequently, living in poverty causes a cascade of poor outcomes in other life domains</w:t>
      </w:r>
      <w:r w:rsidR="0058398D">
        <w:rPr>
          <w:rFonts w:ascii="Arial" w:eastAsia="Arial" w:hAnsi="Arial" w:cs="Times New Roman"/>
        </w:rPr>
        <w:t>.</w:t>
      </w:r>
    </w:p>
    <w:p w14:paraId="47B8EFA8" w14:textId="77777777" w:rsidR="00D22572" w:rsidRPr="005C214B" w:rsidRDefault="00D22572" w:rsidP="005C214B">
      <w:pPr>
        <w:numPr>
          <w:ilvl w:val="0"/>
          <w:numId w:val="13"/>
        </w:numPr>
        <w:rPr>
          <w:rFonts w:ascii="Arial" w:eastAsia="Arial" w:hAnsi="Arial" w:cs="Arial"/>
          <w:b/>
          <w:bCs/>
          <w:color w:val="000000"/>
          <w:lang w:val="en-US"/>
        </w:rPr>
      </w:pPr>
      <w:r w:rsidRPr="005C214B">
        <w:rPr>
          <w:rFonts w:ascii="Arial" w:eastAsia="Arial" w:hAnsi="Arial" w:cs="Arial"/>
          <w:b/>
          <w:bCs/>
          <w:color w:val="000000"/>
          <w:lang w:val="en-US"/>
        </w:rPr>
        <w:t>Housing security</w:t>
      </w:r>
    </w:p>
    <w:p w14:paraId="1CCEDA2C" w14:textId="3D3E1943" w:rsidR="00D22572" w:rsidRPr="005C214B" w:rsidRDefault="00D22572" w:rsidP="005C214B">
      <w:pPr>
        <w:rPr>
          <w:rFonts w:ascii="Arial" w:eastAsia="Arial" w:hAnsi="Arial" w:cs="Times New Roman"/>
        </w:rPr>
      </w:pPr>
      <w:r w:rsidRPr="005C214B">
        <w:rPr>
          <w:rFonts w:ascii="Arial" w:eastAsia="Arial" w:hAnsi="Arial" w:cs="Times New Roman"/>
        </w:rPr>
        <w:t>People with disability are</w:t>
      </w:r>
      <w:r w:rsidR="003A1518">
        <w:rPr>
          <w:rFonts w:ascii="Arial" w:eastAsia="Arial" w:hAnsi="Arial" w:cs="Times New Roman"/>
        </w:rPr>
        <w:t>, for example,</w:t>
      </w:r>
      <w:r w:rsidR="00FE55BB">
        <w:rPr>
          <w:rFonts w:ascii="Arial" w:eastAsia="Arial" w:hAnsi="Arial" w:cs="Times New Roman"/>
        </w:rPr>
        <w:t xml:space="preserve"> </w:t>
      </w:r>
      <w:r w:rsidRPr="005C214B">
        <w:rPr>
          <w:rFonts w:ascii="Arial" w:eastAsia="Arial" w:hAnsi="Arial" w:cs="Times New Roman"/>
        </w:rPr>
        <w:t>more likely</w:t>
      </w:r>
      <w:r w:rsidR="004150B7">
        <w:rPr>
          <w:rFonts w:ascii="Arial" w:eastAsia="Arial" w:hAnsi="Arial" w:cs="Times New Roman"/>
        </w:rPr>
        <w:t xml:space="preserve"> than people without disability</w:t>
      </w:r>
      <w:r w:rsidRPr="005C214B">
        <w:rPr>
          <w:rFonts w:ascii="Arial" w:eastAsia="Arial" w:hAnsi="Arial" w:cs="Times New Roman"/>
        </w:rPr>
        <w:t xml:space="preserve"> to experience difficulties affording secure housing due to low labour force participation</w:t>
      </w:r>
      <w:r w:rsidR="003A1518">
        <w:rPr>
          <w:rFonts w:ascii="Arial" w:eastAsia="Arial" w:hAnsi="Arial" w:cs="Times New Roman"/>
        </w:rPr>
        <w:t>,</w:t>
      </w:r>
      <w:r w:rsidRPr="005C214B">
        <w:rPr>
          <w:rFonts w:ascii="Arial" w:eastAsia="Arial" w:hAnsi="Arial" w:cs="Times New Roman"/>
        </w:rPr>
        <w:t xml:space="preserve"> reliance on the Disability Support Pension as a main income source, and additional housing costs such as home modifications</w:t>
      </w:r>
      <w:r w:rsidR="004150B7">
        <w:rPr>
          <w:rFonts w:ascii="Arial" w:eastAsia="Arial" w:hAnsi="Arial" w:cs="Times New Roman"/>
        </w:rPr>
        <w:t>.</w:t>
      </w:r>
      <w:r w:rsidRPr="005C214B">
        <w:rPr>
          <w:rFonts w:ascii="Arial" w:eastAsia="Arial" w:hAnsi="Arial" w:cs="Times New Roman"/>
          <w:b/>
          <w:vertAlign w:val="superscript"/>
        </w:rPr>
        <w:endnoteReference w:id="6"/>
      </w:r>
    </w:p>
    <w:p w14:paraId="166E2C97" w14:textId="2B824ED8" w:rsidR="00FD2909" w:rsidRDefault="00D22572" w:rsidP="005C214B">
      <w:pPr>
        <w:rPr>
          <w:rFonts w:ascii="Arial" w:eastAsia="Arial" w:hAnsi="Arial" w:cs="Arial"/>
          <w:color w:val="000000"/>
          <w:lang w:val="en-US"/>
        </w:rPr>
      </w:pPr>
      <w:r w:rsidRPr="005C214B">
        <w:rPr>
          <w:rFonts w:ascii="Arial" w:eastAsia="Arial" w:hAnsi="Arial" w:cs="Arial"/>
          <w:color w:val="000000"/>
          <w:lang w:val="en-US"/>
        </w:rPr>
        <w:t>An inability to secure affordable, accessible, suitable housing, contributes to</w:t>
      </w:r>
      <w:r w:rsidR="00FD2909">
        <w:rPr>
          <w:rFonts w:ascii="Arial" w:eastAsia="Arial" w:hAnsi="Arial" w:cs="Arial"/>
          <w:color w:val="000000"/>
          <w:lang w:val="en-US"/>
        </w:rPr>
        <w:t>:</w:t>
      </w:r>
      <w:r w:rsidRPr="005C214B">
        <w:rPr>
          <w:rFonts w:ascii="Arial" w:eastAsia="Arial" w:hAnsi="Arial" w:cs="Arial"/>
          <w:color w:val="000000"/>
          <w:lang w:val="en-US"/>
        </w:rPr>
        <w:t xml:space="preserve"> </w:t>
      </w:r>
    </w:p>
    <w:p w14:paraId="44E12BBA" w14:textId="63E49721" w:rsidR="00FD2909" w:rsidRPr="00FD2909" w:rsidRDefault="00F17067" w:rsidP="00FD2909">
      <w:pPr>
        <w:pStyle w:val="ListParagraph"/>
        <w:numPr>
          <w:ilvl w:val="0"/>
          <w:numId w:val="21"/>
        </w:numPr>
        <w:rPr>
          <w:rFonts w:cs="Arial"/>
          <w:color w:val="000000"/>
        </w:rPr>
      </w:pPr>
      <w:r>
        <w:rPr>
          <w:rFonts w:cs="Arial"/>
          <w:color w:val="000000"/>
        </w:rPr>
        <w:t>o</w:t>
      </w:r>
      <w:r w:rsidR="00D22572" w:rsidRPr="00FD2909">
        <w:rPr>
          <w:rFonts w:cs="Arial"/>
          <w:color w:val="000000"/>
        </w:rPr>
        <w:t>ver-reliance on social housing (notwithstanding long waitlists)</w:t>
      </w:r>
    </w:p>
    <w:p w14:paraId="4D4CA455" w14:textId="5386A64D" w:rsidR="00FD2909" w:rsidRPr="00FD2909" w:rsidRDefault="00F17067" w:rsidP="00FD2909">
      <w:pPr>
        <w:pStyle w:val="ListParagraph"/>
        <w:numPr>
          <w:ilvl w:val="0"/>
          <w:numId w:val="21"/>
        </w:numPr>
        <w:rPr>
          <w:rFonts w:cs="Arial"/>
          <w:color w:val="000000"/>
        </w:rPr>
      </w:pPr>
      <w:r>
        <w:rPr>
          <w:rFonts w:cs="Arial"/>
          <w:color w:val="000000"/>
        </w:rPr>
        <w:lastRenderedPageBreak/>
        <w:t>l</w:t>
      </w:r>
      <w:r w:rsidR="00FD2909" w:rsidRPr="00FD2909">
        <w:rPr>
          <w:rFonts w:cs="Arial"/>
          <w:color w:val="000000"/>
        </w:rPr>
        <w:t>a</w:t>
      </w:r>
      <w:r w:rsidR="00D22572" w:rsidRPr="00FD2909">
        <w:rPr>
          <w:rFonts w:cs="Arial"/>
          <w:color w:val="000000"/>
        </w:rPr>
        <w:t xml:space="preserve">ck of appropriate choices and being forced to accept unsuitable housing options such as nursing homes, hospitals, group homes, and boarding </w:t>
      </w:r>
      <w:proofErr w:type="gramStart"/>
      <w:r w:rsidR="00D22572" w:rsidRPr="00FD2909">
        <w:rPr>
          <w:rFonts w:cs="Arial"/>
          <w:color w:val="000000"/>
        </w:rPr>
        <w:t>houses</w:t>
      </w:r>
      <w:proofErr w:type="gramEnd"/>
    </w:p>
    <w:p w14:paraId="47BDC8BE" w14:textId="6CD16CC8" w:rsidR="00FD2909" w:rsidRPr="00FD2909" w:rsidRDefault="00F17067" w:rsidP="00FD2909">
      <w:pPr>
        <w:pStyle w:val="ListParagraph"/>
        <w:numPr>
          <w:ilvl w:val="0"/>
          <w:numId w:val="21"/>
        </w:numPr>
        <w:rPr>
          <w:rFonts w:cs="Arial"/>
          <w:color w:val="000000"/>
        </w:rPr>
      </w:pPr>
      <w:r>
        <w:rPr>
          <w:rFonts w:cs="Arial"/>
          <w:color w:val="000000"/>
        </w:rPr>
        <w:t>i</w:t>
      </w:r>
      <w:r w:rsidR="00D22572" w:rsidRPr="00FD2909">
        <w:rPr>
          <w:rFonts w:cs="Arial"/>
          <w:color w:val="000000"/>
        </w:rPr>
        <w:t xml:space="preserve">ncreased exposure to violence, abuse, </w:t>
      </w:r>
      <w:proofErr w:type="gramStart"/>
      <w:r w:rsidR="00D22572" w:rsidRPr="00FD2909">
        <w:rPr>
          <w:rFonts w:cs="Arial"/>
          <w:color w:val="000000"/>
        </w:rPr>
        <w:t>neglect</w:t>
      </w:r>
      <w:proofErr w:type="gramEnd"/>
      <w:r w:rsidR="00D22572" w:rsidRPr="00FD2909">
        <w:rPr>
          <w:rFonts w:cs="Arial"/>
          <w:color w:val="000000"/>
        </w:rPr>
        <w:t xml:space="preserve"> and exploitation</w:t>
      </w:r>
      <w:r w:rsidR="0058398D">
        <w:rPr>
          <w:rStyle w:val="EndnoteReference"/>
          <w:rFonts w:cs="Arial"/>
          <w:color w:val="000000"/>
        </w:rPr>
        <w:endnoteReference w:id="7"/>
      </w:r>
      <w:r w:rsidR="00D22572" w:rsidRPr="00FD2909">
        <w:rPr>
          <w:rFonts w:cs="Arial"/>
          <w:color w:val="000000"/>
        </w:rPr>
        <w:t xml:space="preserve"> </w:t>
      </w:r>
    </w:p>
    <w:p w14:paraId="4694912B" w14:textId="03C9EC7A" w:rsidR="00D22572" w:rsidRPr="00FD2909" w:rsidRDefault="00FE55BB" w:rsidP="00FD2909">
      <w:pPr>
        <w:pStyle w:val="ListParagraph"/>
        <w:numPr>
          <w:ilvl w:val="0"/>
          <w:numId w:val="21"/>
        </w:numPr>
        <w:rPr>
          <w:rFonts w:cs="Arial"/>
          <w:color w:val="000000"/>
        </w:rPr>
      </w:pPr>
      <w:r>
        <w:rPr>
          <w:rFonts w:cs="Arial"/>
          <w:color w:val="000000"/>
        </w:rPr>
        <w:t>i</w:t>
      </w:r>
      <w:r w:rsidR="00D22572" w:rsidRPr="00FD2909">
        <w:rPr>
          <w:rFonts w:cs="Arial"/>
          <w:color w:val="000000"/>
        </w:rPr>
        <w:t>ncreased susceptibility to homelessness.</w:t>
      </w:r>
    </w:p>
    <w:p w14:paraId="4C91E787" w14:textId="403801D0" w:rsidR="00D22572" w:rsidRPr="005C214B" w:rsidRDefault="00D22572" w:rsidP="005C214B">
      <w:pPr>
        <w:rPr>
          <w:rFonts w:ascii="Arial" w:eastAsia="Arial" w:hAnsi="Arial" w:cs="Arial"/>
          <w:color w:val="000000"/>
          <w:lang w:val="en-US"/>
        </w:rPr>
      </w:pPr>
      <w:r w:rsidRPr="005C214B">
        <w:rPr>
          <w:rFonts w:ascii="Arial" w:eastAsia="Arial" w:hAnsi="Arial" w:cs="Arial"/>
          <w:color w:val="000000"/>
          <w:lang w:val="en-US"/>
        </w:rPr>
        <w:t>According to the Australian Institute of Health and Welfare (AIHW), 2 in 5 people accessing social housing have a disability</w:t>
      </w:r>
      <w:r w:rsidR="00FE55BB">
        <w:rPr>
          <w:rFonts w:ascii="Arial" w:eastAsia="Arial" w:hAnsi="Arial" w:cs="Arial"/>
          <w:color w:val="000000"/>
          <w:lang w:val="en-US"/>
        </w:rPr>
        <w:t>;</w:t>
      </w:r>
      <w:r w:rsidRPr="005C214B">
        <w:rPr>
          <w:rFonts w:ascii="Arial" w:eastAsia="Arial" w:hAnsi="Arial" w:cs="Arial"/>
          <w:color w:val="000000"/>
          <w:lang w:val="en-US"/>
        </w:rPr>
        <w:t xml:space="preserve"> 1 in 12 people accessing Specialist Homelessness Services (SHS) have a disability, and of those who access SHS, people with disability are twice as likely to experience repeat homelessness, at a rate of 6</w:t>
      </w:r>
      <w:r w:rsidR="003A1518">
        <w:rPr>
          <w:rFonts w:ascii="Arial" w:eastAsia="Arial" w:hAnsi="Arial" w:cs="Arial"/>
          <w:color w:val="000000"/>
          <w:lang w:val="en-US"/>
        </w:rPr>
        <w:t xml:space="preserve"> per cent</w:t>
      </w:r>
      <w:r w:rsidRPr="005C214B">
        <w:rPr>
          <w:rFonts w:ascii="Arial" w:eastAsia="Arial" w:hAnsi="Arial" w:cs="Arial"/>
          <w:color w:val="000000"/>
          <w:lang w:val="en-US"/>
        </w:rPr>
        <w:t xml:space="preserve"> compared to 3</w:t>
      </w:r>
      <w:r w:rsidR="003A1518">
        <w:rPr>
          <w:rFonts w:ascii="Arial" w:eastAsia="Arial" w:hAnsi="Arial" w:cs="Arial"/>
          <w:color w:val="000000"/>
          <w:lang w:val="en-US"/>
        </w:rPr>
        <w:t xml:space="preserve"> per cent</w:t>
      </w:r>
      <w:r w:rsidRPr="005C214B">
        <w:rPr>
          <w:rFonts w:ascii="Arial" w:eastAsia="Arial" w:hAnsi="Arial" w:cs="Arial"/>
          <w:color w:val="000000"/>
          <w:lang w:val="en-US"/>
        </w:rPr>
        <w:t xml:space="preserve"> for those without disability.</w:t>
      </w:r>
      <w:r w:rsidRPr="005C214B">
        <w:rPr>
          <w:rFonts w:ascii="Arial" w:eastAsia="Arial" w:hAnsi="Arial" w:cs="Arial"/>
          <w:b/>
          <w:color w:val="000000"/>
          <w:vertAlign w:val="superscript"/>
          <w:lang w:val="en-US"/>
        </w:rPr>
        <w:endnoteReference w:id="8"/>
      </w:r>
    </w:p>
    <w:p w14:paraId="146BF5C5" w14:textId="0A15BA78" w:rsidR="00D22572" w:rsidRPr="005C214B" w:rsidRDefault="00D22572" w:rsidP="005C214B">
      <w:pPr>
        <w:rPr>
          <w:rFonts w:ascii="Arial" w:eastAsia="Arial" w:hAnsi="Arial" w:cs="Arial"/>
          <w:color w:val="000000"/>
          <w:lang w:val="en-US"/>
        </w:rPr>
      </w:pPr>
      <w:r w:rsidRPr="005C214B">
        <w:rPr>
          <w:rFonts w:ascii="Arial" w:eastAsia="Arial" w:hAnsi="Arial" w:cs="Arial"/>
          <w:color w:val="000000"/>
          <w:lang w:val="en-US"/>
        </w:rPr>
        <w:t xml:space="preserve">In turn, housing insecurity and homelessness create additional barriers to entering or re-entering the workforce, themselves becoming drivers of poverty, further fueling the </w:t>
      </w:r>
      <w:r w:rsidR="00175DB8">
        <w:rPr>
          <w:rFonts w:ascii="Arial" w:eastAsia="Arial" w:hAnsi="Arial" w:cs="Arial"/>
          <w:color w:val="000000"/>
          <w:lang w:val="en-US"/>
        </w:rPr>
        <w:t xml:space="preserve">disability-poverty </w:t>
      </w:r>
      <w:r w:rsidRPr="005C214B">
        <w:rPr>
          <w:rFonts w:ascii="Arial" w:eastAsia="Arial" w:hAnsi="Arial" w:cs="Arial"/>
          <w:color w:val="000000"/>
          <w:lang w:val="en-US"/>
        </w:rPr>
        <w:t>cycle.</w:t>
      </w:r>
    </w:p>
    <w:p w14:paraId="0CC0443C" w14:textId="77777777" w:rsidR="00D22572" w:rsidRPr="005C214B" w:rsidRDefault="00D22572" w:rsidP="005C214B">
      <w:pPr>
        <w:numPr>
          <w:ilvl w:val="0"/>
          <w:numId w:val="13"/>
        </w:numPr>
        <w:rPr>
          <w:rFonts w:ascii="Arial" w:eastAsia="Arial" w:hAnsi="Arial" w:cs="Arial"/>
          <w:b/>
          <w:bCs/>
          <w:color w:val="000000"/>
          <w:lang w:val="en-US"/>
        </w:rPr>
      </w:pPr>
      <w:r w:rsidRPr="005C214B">
        <w:rPr>
          <w:rFonts w:ascii="Arial" w:eastAsia="Arial" w:hAnsi="Arial" w:cs="Arial"/>
          <w:b/>
          <w:bCs/>
          <w:color w:val="000000"/>
          <w:lang w:val="en-US"/>
        </w:rPr>
        <w:t>Health</w:t>
      </w:r>
    </w:p>
    <w:p w14:paraId="47067814" w14:textId="62A9634F" w:rsidR="00D22572" w:rsidRPr="005C214B" w:rsidRDefault="00D22572" w:rsidP="005C214B">
      <w:pPr>
        <w:rPr>
          <w:rFonts w:ascii="Arial" w:eastAsia="Arial" w:hAnsi="Arial" w:cs="Arial"/>
          <w:color w:val="000000"/>
        </w:rPr>
      </w:pPr>
      <w:r w:rsidRPr="005C214B">
        <w:rPr>
          <w:rFonts w:ascii="Arial" w:eastAsia="Arial" w:hAnsi="Arial" w:cs="Arial"/>
          <w:color w:val="000000"/>
        </w:rPr>
        <w:t>Similarly, people with disability generally report poorer health and higher levels of psychological distress than people without disability.</w:t>
      </w:r>
      <w:r w:rsidRPr="005C214B">
        <w:rPr>
          <w:rFonts w:ascii="Arial" w:eastAsia="Arial" w:hAnsi="Arial" w:cs="Arial"/>
          <w:b/>
          <w:color w:val="000000"/>
          <w:vertAlign w:val="superscript"/>
        </w:rPr>
        <w:endnoteReference w:id="9"/>
      </w:r>
      <w:r w:rsidRPr="005C214B">
        <w:rPr>
          <w:rFonts w:ascii="Arial" w:eastAsia="Arial" w:hAnsi="Arial" w:cs="Arial"/>
          <w:color w:val="000000"/>
        </w:rPr>
        <w:t xml:space="preserve"> The economic (and social) disadvantage experienced by people with disability is likely a significant contributory factor to these poorer health outcomes.</w:t>
      </w:r>
      <w:r w:rsidRPr="005C214B">
        <w:rPr>
          <w:rFonts w:ascii="Arial" w:eastAsia="Arial" w:hAnsi="Arial" w:cs="Arial"/>
          <w:b/>
          <w:color w:val="000000"/>
          <w:vertAlign w:val="superscript"/>
        </w:rPr>
        <w:endnoteReference w:id="10"/>
      </w:r>
    </w:p>
    <w:p w14:paraId="5E397FA4" w14:textId="3DF04E4B" w:rsidR="00D22572" w:rsidRPr="005C214B" w:rsidRDefault="00D22572" w:rsidP="005C214B">
      <w:pPr>
        <w:rPr>
          <w:rFonts w:ascii="Arial" w:eastAsia="Arial" w:hAnsi="Arial" w:cs="Arial"/>
          <w:color w:val="000000"/>
        </w:rPr>
      </w:pPr>
      <w:r w:rsidRPr="005C214B">
        <w:rPr>
          <w:rFonts w:ascii="Arial" w:eastAsia="Arial" w:hAnsi="Arial" w:cs="Arial"/>
          <w:color w:val="000000"/>
        </w:rPr>
        <w:t>For example, 1 in 5 (19</w:t>
      </w:r>
      <w:r w:rsidR="003A1518">
        <w:rPr>
          <w:rFonts w:ascii="Arial" w:eastAsia="Arial" w:hAnsi="Arial" w:cs="Arial"/>
          <w:color w:val="000000"/>
        </w:rPr>
        <w:t xml:space="preserve"> per cent</w:t>
      </w:r>
      <w:r w:rsidRPr="005C214B">
        <w:rPr>
          <w:rFonts w:ascii="Arial" w:eastAsia="Arial" w:hAnsi="Arial" w:cs="Arial"/>
          <w:color w:val="000000"/>
        </w:rPr>
        <w:t xml:space="preserve">) </w:t>
      </w:r>
      <w:r w:rsidR="00175DB8">
        <w:rPr>
          <w:rFonts w:ascii="Arial" w:eastAsia="Arial" w:hAnsi="Arial" w:cs="Arial"/>
          <w:color w:val="000000"/>
        </w:rPr>
        <w:t xml:space="preserve">of </w:t>
      </w:r>
      <w:r w:rsidRPr="005C214B">
        <w:rPr>
          <w:rFonts w:ascii="Arial" w:eastAsia="Arial" w:hAnsi="Arial" w:cs="Arial"/>
          <w:color w:val="000000"/>
        </w:rPr>
        <w:t>people with disability who delay</w:t>
      </w:r>
      <w:r w:rsidR="00175DB8">
        <w:rPr>
          <w:rFonts w:ascii="Arial" w:eastAsia="Arial" w:hAnsi="Arial" w:cs="Arial"/>
          <w:color w:val="000000"/>
        </w:rPr>
        <w:t>, or do not</w:t>
      </w:r>
      <w:r w:rsidRPr="005C214B">
        <w:rPr>
          <w:rFonts w:ascii="Arial" w:eastAsia="Arial" w:hAnsi="Arial" w:cs="Arial"/>
          <w:color w:val="000000"/>
        </w:rPr>
        <w:t xml:space="preserve"> see a GP, do so because of the cost</w:t>
      </w:r>
      <w:r w:rsidR="00175DB8">
        <w:rPr>
          <w:rFonts w:ascii="Arial" w:eastAsia="Arial" w:hAnsi="Arial" w:cs="Arial"/>
          <w:color w:val="000000"/>
        </w:rPr>
        <w:t>;</w:t>
      </w:r>
      <w:r w:rsidRPr="005C214B">
        <w:rPr>
          <w:rFonts w:ascii="Arial" w:eastAsia="Arial" w:hAnsi="Arial" w:cs="Arial"/>
          <w:color w:val="000000"/>
        </w:rPr>
        <w:t xml:space="preserve"> 1 in 4 (27</w:t>
      </w:r>
      <w:r w:rsidR="003A1518">
        <w:rPr>
          <w:rFonts w:ascii="Arial" w:eastAsia="Arial" w:hAnsi="Arial" w:cs="Arial"/>
          <w:color w:val="000000"/>
        </w:rPr>
        <w:t xml:space="preserve"> per cent</w:t>
      </w:r>
      <w:r w:rsidRPr="005C214B">
        <w:rPr>
          <w:rFonts w:ascii="Arial" w:eastAsia="Arial" w:hAnsi="Arial" w:cs="Arial"/>
          <w:color w:val="000000"/>
        </w:rPr>
        <w:t>) who do not see a medical specialist when they need to, do so mainly because of the cost and 1 in 4 (24</w:t>
      </w:r>
      <w:r w:rsidR="003A1518">
        <w:rPr>
          <w:rFonts w:ascii="Arial" w:eastAsia="Arial" w:hAnsi="Arial" w:cs="Arial"/>
          <w:color w:val="000000"/>
        </w:rPr>
        <w:t xml:space="preserve"> per cent</w:t>
      </w:r>
      <w:r w:rsidRPr="005C214B">
        <w:rPr>
          <w:rFonts w:ascii="Arial" w:eastAsia="Arial" w:hAnsi="Arial" w:cs="Arial"/>
          <w:color w:val="000000"/>
        </w:rPr>
        <w:t>) who delay</w:t>
      </w:r>
      <w:r w:rsidR="00EC0E6F">
        <w:rPr>
          <w:rFonts w:ascii="Arial" w:eastAsia="Arial" w:hAnsi="Arial" w:cs="Arial"/>
          <w:color w:val="000000"/>
        </w:rPr>
        <w:t>,</w:t>
      </w:r>
      <w:r w:rsidRPr="005C214B">
        <w:rPr>
          <w:rFonts w:ascii="Arial" w:eastAsia="Arial" w:hAnsi="Arial" w:cs="Arial"/>
          <w:color w:val="000000"/>
        </w:rPr>
        <w:t xml:space="preserve"> or do not go to hospital, do so because of the cost.</w:t>
      </w:r>
      <w:r w:rsidRPr="005C214B">
        <w:rPr>
          <w:rFonts w:ascii="Arial" w:eastAsia="Arial" w:hAnsi="Arial" w:cs="Arial"/>
          <w:b/>
          <w:color w:val="000000"/>
          <w:vertAlign w:val="superscript"/>
        </w:rPr>
        <w:endnoteReference w:id="11"/>
      </w:r>
    </w:p>
    <w:p w14:paraId="5EE29164" w14:textId="0ECBD60E" w:rsidR="00D22572" w:rsidRPr="005C214B" w:rsidRDefault="00D22572" w:rsidP="005C214B">
      <w:pPr>
        <w:rPr>
          <w:rFonts w:ascii="Arial" w:eastAsia="Arial" w:hAnsi="Arial" w:cs="Arial"/>
          <w:color w:val="000000"/>
          <w:lang w:val="en-US"/>
        </w:rPr>
      </w:pPr>
      <w:r w:rsidRPr="005C214B">
        <w:rPr>
          <w:rFonts w:ascii="Arial" w:eastAsia="Arial" w:hAnsi="Arial" w:cs="Arial"/>
          <w:color w:val="000000"/>
          <w:lang w:val="en-US"/>
        </w:rPr>
        <w:t xml:space="preserve">The often-unaffordable higher health costs for people with disability, including additional disability-related costs such as medications, allied health, and specialist healthcare, coupled with lower employment rates and income, perpetuate </w:t>
      </w:r>
      <w:proofErr w:type="gramStart"/>
      <w:r w:rsidRPr="005C214B">
        <w:rPr>
          <w:rFonts w:ascii="Arial" w:eastAsia="Arial" w:hAnsi="Arial" w:cs="Arial"/>
          <w:color w:val="000000"/>
          <w:lang w:val="en-US"/>
        </w:rPr>
        <w:t>poverty</w:t>
      </w:r>
      <w:proofErr w:type="gramEnd"/>
      <w:r w:rsidRPr="005C214B">
        <w:rPr>
          <w:rFonts w:ascii="Arial" w:eastAsia="Arial" w:hAnsi="Arial" w:cs="Arial"/>
          <w:color w:val="000000"/>
          <w:lang w:val="en-US"/>
        </w:rPr>
        <w:t xml:space="preserve"> and add to psychological distress.</w:t>
      </w:r>
    </w:p>
    <w:p w14:paraId="34F088DD" w14:textId="16171B6D" w:rsidR="00D22572" w:rsidRPr="005C214B" w:rsidRDefault="00D22572" w:rsidP="005C214B">
      <w:pPr>
        <w:rPr>
          <w:rFonts w:ascii="Arial" w:eastAsia="Arial" w:hAnsi="Arial" w:cs="Arial"/>
          <w:color w:val="000000"/>
          <w:lang w:val="en-US"/>
        </w:rPr>
      </w:pPr>
      <w:r w:rsidRPr="005C214B">
        <w:rPr>
          <w:rFonts w:ascii="Arial" w:eastAsia="Arial" w:hAnsi="Arial" w:cs="Arial"/>
          <w:color w:val="000000"/>
          <w:lang w:val="en-US"/>
        </w:rPr>
        <w:lastRenderedPageBreak/>
        <w:t xml:space="preserve">Again, in turn, poor health creates an additional barrier to employment or re-employment and financial security, </w:t>
      </w:r>
      <w:r w:rsidR="00175DB8">
        <w:rPr>
          <w:rFonts w:ascii="Arial" w:eastAsia="Arial" w:hAnsi="Arial" w:cs="Arial"/>
          <w:color w:val="000000"/>
          <w:lang w:val="en-US"/>
        </w:rPr>
        <w:t>further</w:t>
      </w:r>
      <w:r w:rsidRPr="005C214B">
        <w:rPr>
          <w:rFonts w:ascii="Arial" w:eastAsia="Arial" w:hAnsi="Arial" w:cs="Arial"/>
          <w:color w:val="000000"/>
          <w:lang w:val="en-US"/>
        </w:rPr>
        <w:t xml:space="preserve"> perpetuating economic disadvantage.</w:t>
      </w:r>
    </w:p>
    <w:p w14:paraId="0ABF5078" w14:textId="77777777" w:rsidR="00D22572" w:rsidRPr="005C214B" w:rsidRDefault="00D22572" w:rsidP="005C214B">
      <w:pPr>
        <w:numPr>
          <w:ilvl w:val="0"/>
          <w:numId w:val="13"/>
        </w:numPr>
        <w:rPr>
          <w:rFonts w:ascii="Arial" w:eastAsia="Arial" w:hAnsi="Arial" w:cs="Arial"/>
          <w:b/>
          <w:bCs/>
          <w:color w:val="000000"/>
          <w:lang w:val="en-US"/>
        </w:rPr>
      </w:pPr>
      <w:r w:rsidRPr="005C214B">
        <w:rPr>
          <w:rFonts w:ascii="Arial" w:eastAsia="Arial" w:hAnsi="Arial" w:cs="Arial"/>
          <w:b/>
          <w:bCs/>
          <w:color w:val="000000"/>
          <w:lang w:val="en-US"/>
        </w:rPr>
        <w:t>Education</w:t>
      </w:r>
    </w:p>
    <w:p w14:paraId="687EB853" w14:textId="77777777" w:rsidR="00D22572" w:rsidRPr="005C214B" w:rsidRDefault="00D22572" w:rsidP="005C214B">
      <w:pPr>
        <w:rPr>
          <w:rFonts w:ascii="Arial" w:eastAsia="Arial" w:hAnsi="Arial" w:cs="Arial"/>
          <w:color w:val="000000"/>
        </w:rPr>
      </w:pPr>
      <w:r w:rsidRPr="005C214B">
        <w:rPr>
          <w:rFonts w:ascii="Arial" w:eastAsia="Arial" w:hAnsi="Arial" w:cs="Arial"/>
          <w:color w:val="000000"/>
        </w:rPr>
        <w:t>According to the OECD, the disability employment gap is aligned with a persistent education and skills gap for people with disability.</w:t>
      </w:r>
      <w:r w:rsidRPr="005C214B">
        <w:rPr>
          <w:rFonts w:ascii="Arial" w:eastAsia="Arial" w:hAnsi="Arial" w:cs="Arial"/>
          <w:b/>
          <w:color w:val="000000"/>
          <w:vertAlign w:val="superscript"/>
        </w:rPr>
        <w:endnoteReference w:id="12"/>
      </w:r>
      <w:r w:rsidRPr="005C214B">
        <w:rPr>
          <w:rFonts w:ascii="Arial" w:eastAsia="Arial" w:hAnsi="Arial" w:cs="Arial"/>
          <w:color w:val="000000"/>
        </w:rPr>
        <w:t xml:space="preserve"> A higher level of education generally results in better employment outcomes and higher income which are key factors in determining economic security.</w:t>
      </w:r>
      <w:r w:rsidRPr="005C214B">
        <w:rPr>
          <w:rFonts w:ascii="Arial" w:eastAsia="Arial" w:hAnsi="Arial" w:cs="Arial"/>
          <w:b/>
          <w:color w:val="000000"/>
          <w:vertAlign w:val="superscript"/>
        </w:rPr>
        <w:endnoteReference w:id="13"/>
      </w:r>
      <w:r w:rsidRPr="005C214B">
        <w:rPr>
          <w:rFonts w:ascii="Arial" w:eastAsia="Arial" w:hAnsi="Arial" w:cs="Arial"/>
          <w:color w:val="000000"/>
        </w:rPr>
        <w:t xml:space="preserve"> </w:t>
      </w:r>
    </w:p>
    <w:p w14:paraId="607232D9" w14:textId="3434E4AF" w:rsidR="00D22572" w:rsidRPr="005C214B" w:rsidRDefault="00D22572" w:rsidP="005C214B">
      <w:pPr>
        <w:rPr>
          <w:rFonts w:ascii="Arial" w:eastAsia="Arial" w:hAnsi="Arial" w:cs="Arial"/>
          <w:color w:val="000000"/>
        </w:rPr>
      </w:pPr>
      <w:r w:rsidRPr="005C214B">
        <w:rPr>
          <w:rFonts w:ascii="Arial" w:eastAsia="Arial" w:hAnsi="Arial" w:cs="Arial"/>
          <w:color w:val="000000"/>
        </w:rPr>
        <w:t>However, people with disability face significant barriers to safe, quality, inclusive education</w:t>
      </w:r>
      <w:r w:rsidR="00EC0E6F">
        <w:rPr>
          <w:rFonts w:ascii="Arial" w:eastAsia="Arial" w:hAnsi="Arial" w:cs="Arial"/>
          <w:color w:val="000000"/>
        </w:rPr>
        <w:t xml:space="preserve"> and</w:t>
      </w:r>
      <w:r w:rsidRPr="005C214B">
        <w:rPr>
          <w:rFonts w:ascii="Arial" w:eastAsia="Arial" w:hAnsi="Arial" w:cs="Arial"/>
          <w:color w:val="000000"/>
        </w:rPr>
        <w:t xml:space="preserve"> are more likely than people without disability to leave school early and to have a lower level of education. For example, only 32</w:t>
      </w:r>
      <w:r w:rsidR="003A1518">
        <w:rPr>
          <w:rFonts w:ascii="Arial" w:eastAsia="Arial" w:hAnsi="Arial" w:cs="Arial"/>
          <w:color w:val="000000"/>
        </w:rPr>
        <w:t xml:space="preserve"> per cent</w:t>
      </w:r>
      <w:r w:rsidRPr="005C214B">
        <w:rPr>
          <w:rFonts w:ascii="Arial" w:eastAsia="Arial" w:hAnsi="Arial" w:cs="Arial"/>
          <w:color w:val="000000"/>
        </w:rPr>
        <w:t xml:space="preserve"> of people with disability aged 20 and over have completed Year 12, compared with 62</w:t>
      </w:r>
      <w:r w:rsidR="003A1518">
        <w:rPr>
          <w:rFonts w:ascii="Arial" w:eastAsia="Arial" w:hAnsi="Arial" w:cs="Arial"/>
          <w:color w:val="000000"/>
        </w:rPr>
        <w:t xml:space="preserve"> per cent</w:t>
      </w:r>
      <w:r w:rsidRPr="005C214B">
        <w:rPr>
          <w:rFonts w:ascii="Arial" w:eastAsia="Arial" w:hAnsi="Arial" w:cs="Arial"/>
          <w:color w:val="000000"/>
        </w:rPr>
        <w:t xml:space="preserve"> of people without disability, and only 15</w:t>
      </w:r>
      <w:r w:rsidR="003A1518">
        <w:rPr>
          <w:rFonts w:ascii="Arial" w:eastAsia="Arial" w:hAnsi="Arial" w:cs="Arial"/>
          <w:color w:val="000000"/>
        </w:rPr>
        <w:t xml:space="preserve"> percent</w:t>
      </w:r>
      <w:r w:rsidRPr="005C214B">
        <w:rPr>
          <w:rFonts w:ascii="Arial" w:eastAsia="Arial" w:hAnsi="Arial" w:cs="Arial"/>
          <w:color w:val="000000"/>
        </w:rPr>
        <w:t xml:space="preserve"> of people with disability aged 20 and over have a </w:t>
      </w:r>
      <w:r w:rsidR="0058398D" w:rsidRPr="005C214B">
        <w:rPr>
          <w:rFonts w:ascii="Arial" w:eastAsia="Arial" w:hAnsi="Arial" w:cs="Arial"/>
          <w:color w:val="000000"/>
        </w:rPr>
        <w:t>bachelor’s</w:t>
      </w:r>
      <w:r w:rsidRPr="005C214B">
        <w:rPr>
          <w:rFonts w:ascii="Arial" w:eastAsia="Arial" w:hAnsi="Arial" w:cs="Arial"/>
          <w:color w:val="000000"/>
        </w:rPr>
        <w:t xml:space="preserve"> degree or higher, compared with 31</w:t>
      </w:r>
      <w:r w:rsidR="003A1518">
        <w:rPr>
          <w:rFonts w:ascii="Arial" w:eastAsia="Arial" w:hAnsi="Arial" w:cs="Arial"/>
          <w:color w:val="000000"/>
        </w:rPr>
        <w:t xml:space="preserve"> per cent</w:t>
      </w:r>
      <w:r w:rsidRPr="005C214B">
        <w:rPr>
          <w:rFonts w:ascii="Arial" w:eastAsia="Arial" w:hAnsi="Arial" w:cs="Arial"/>
          <w:color w:val="000000"/>
        </w:rPr>
        <w:t xml:space="preserve"> of people without disability.</w:t>
      </w:r>
      <w:r w:rsidRPr="005C214B">
        <w:rPr>
          <w:rFonts w:ascii="Arial" w:eastAsia="Arial" w:hAnsi="Arial" w:cs="Arial"/>
          <w:b/>
          <w:color w:val="000000"/>
          <w:vertAlign w:val="superscript"/>
        </w:rPr>
        <w:endnoteReference w:id="14"/>
      </w:r>
    </w:p>
    <w:p w14:paraId="1D72213E" w14:textId="02A3D9FE" w:rsidR="00FD2909" w:rsidRPr="005C214B" w:rsidRDefault="00D22572" w:rsidP="005C214B">
      <w:pPr>
        <w:rPr>
          <w:rFonts w:ascii="Arial" w:eastAsia="Arial" w:hAnsi="Arial" w:cs="Arial"/>
          <w:color w:val="000000"/>
        </w:rPr>
      </w:pPr>
      <w:r w:rsidRPr="005C214B">
        <w:rPr>
          <w:rFonts w:ascii="Arial" w:eastAsia="Arial" w:hAnsi="Arial" w:cs="Arial"/>
          <w:color w:val="000000"/>
        </w:rPr>
        <w:t>Yet, as highlighted by the Disability Royal Commission, education is critically important to the inclusion and independence of children and adults with disability and is an important determinant of future outcomes and the full development of an individual’s potential.</w:t>
      </w:r>
      <w:r w:rsidRPr="005C214B">
        <w:rPr>
          <w:rFonts w:ascii="Arial" w:eastAsia="Arial" w:hAnsi="Arial" w:cs="Arial"/>
          <w:b/>
          <w:color w:val="000000"/>
          <w:vertAlign w:val="superscript"/>
        </w:rPr>
        <w:endnoteReference w:id="15"/>
      </w:r>
    </w:p>
    <w:p w14:paraId="10EED4B5" w14:textId="0F68B735" w:rsidR="00D22572" w:rsidRPr="005C214B" w:rsidRDefault="00D22572" w:rsidP="002C1670">
      <w:pPr>
        <w:pStyle w:val="Heading4"/>
        <w:numPr>
          <w:ilvl w:val="0"/>
          <w:numId w:val="20"/>
        </w:numPr>
        <w:rPr>
          <w:rFonts w:eastAsia="Arial"/>
          <w:lang w:val="en-US"/>
        </w:rPr>
      </w:pPr>
      <w:r w:rsidRPr="005C214B">
        <w:rPr>
          <w:rFonts w:eastAsia="Arial"/>
          <w:lang w:val="en-US"/>
        </w:rPr>
        <w:t>Term of Reference (e) the relationship between income support payments and poverty</w:t>
      </w:r>
    </w:p>
    <w:p w14:paraId="3562D32F" w14:textId="7AF709AC" w:rsidR="00D22572" w:rsidRPr="005C214B" w:rsidRDefault="00D22572" w:rsidP="005C214B">
      <w:pPr>
        <w:rPr>
          <w:rFonts w:ascii="Arial" w:eastAsia="Arial" w:hAnsi="Arial" w:cs="Times New Roman"/>
        </w:rPr>
      </w:pPr>
      <w:r w:rsidRPr="005C214B">
        <w:rPr>
          <w:rFonts w:ascii="Arial" w:eastAsia="Arial" w:hAnsi="Arial" w:cs="Arial"/>
          <w:color w:val="000000"/>
          <w:lang w:val="en-US"/>
        </w:rPr>
        <w:t>People with disability in Australia are overly reliant on income support as a source of income</w:t>
      </w:r>
      <w:r w:rsidRPr="005C214B">
        <w:rPr>
          <w:rFonts w:ascii="Arial" w:eastAsia="Arial" w:hAnsi="Arial" w:cs="Arial"/>
          <w:color w:val="000000"/>
        </w:rPr>
        <w:t xml:space="preserve"> and increasingly likely to be on unemployment payments, struggling in deep poverty</w:t>
      </w:r>
      <w:r w:rsidRPr="005C214B">
        <w:rPr>
          <w:rFonts w:ascii="Arial" w:eastAsia="Arial" w:hAnsi="Arial" w:cs="Arial"/>
          <w:color w:val="000000"/>
          <w:lang w:val="en-US"/>
        </w:rPr>
        <w:t>.</w:t>
      </w:r>
      <w:r w:rsidRPr="005C214B">
        <w:rPr>
          <w:rFonts w:ascii="Arial" w:eastAsia="Arial" w:hAnsi="Arial" w:cs="Arial"/>
          <w:b/>
          <w:color w:val="000000"/>
          <w:vertAlign w:val="superscript"/>
          <w:lang w:val="en-US"/>
        </w:rPr>
        <w:endnoteReference w:id="16"/>
      </w:r>
      <w:r w:rsidRPr="005C214B">
        <w:rPr>
          <w:rFonts w:ascii="Arial" w:eastAsia="Arial" w:hAnsi="Arial" w:cs="Times New Roman"/>
        </w:rPr>
        <w:t xml:space="preserve"> Analysis from the AIHW </w:t>
      </w:r>
      <w:r w:rsidRPr="005C214B">
        <w:rPr>
          <w:rFonts w:ascii="Arial" w:eastAsia="Arial" w:hAnsi="Arial" w:cs="Arial"/>
          <w:color w:val="000000"/>
          <w:lang w:val="en-US"/>
        </w:rPr>
        <w:t>shows most Disability Support Pension recipients aged 16</w:t>
      </w:r>
      <w:r w:rsidR="00175DB8">
        <w:rPr>
          <w:rFonts w:ascii="Arial" w:eastAsia="Arial" w:hAnsi="Arial" w:cs="Arial"/>
          <w:color w:val="000000"/>
          <w:lang w:val="en-US"/>
        </w:rPr>
        <w:t xml:space="preserve"> to </w:t>
      </w:r>
      <w:r w:rsidRPr="005C214B">
        <w:rPr>
          <w:rFonts w:ascii="Arial" w:eastAsia="Arial" w:hAnsi="Arial" w:cs="Arial"/>
          <w:color w:val="000000"/>
          <w:lang w:val="en-US"/>
        </w:rPr>
        <w:t xml:space="preserve">64 </w:t>
      </w:r>
      <w:r w:rsidR="00175DB8">
        <w:rPr>
          <w:rFonts w:ascii="Arial" w:eastAsia="Arial" w:hAnsi="Arial" w:cs="Arial"/>
          <w:color w:val="000000"/>
          <w:lang w:val="en-US"/>
        </w:rPr>
        <w:t xml:space="preserve">years </w:t>
      </w:r>
      <w:r w:rsidRPr="005C214B">
        <w:rPr>
          <w:rFonts w:ascii="Arial" w:eastAsia="Arial" w:hAnsi="Arial" w:cs="Arial"/>
          <w:color w:val="000000"/>
          <w:lang w:val="en-US"/>
        </w:rPr>
        <w:t>tend to remain on this payment for a long time, with very few moving onto other income support payments or exiting the income support system.</w:t>
      </w:r>
      <w:r w:rsidRPr="005C214B">
        <w:rPr>
          <w:rFonts w:ascii="Arial" w:eastAsia="Arial" w:hAnsi="Arial" w:cs="Arial"/>
          <w:b/>
          <w:color w:val="000000"/>
          <w:vertAlign w:val="superscript"/>
          <w:lang w:val="en-US"/>
        </w:rPr>
        <w:endnoteReference w:id="17"/>
      </w:r>
    </w:p>
    <w:p w14:paraId="2B4C8B17" w14:textId="77777777" w:rsidR="00D22572" w:rsidRPr="005C214B" w:rsidRDefault="00D22572" w:rsidP="005C214B">
      <w:pPr>
        <w:rPr>
          <w:rFonts w:ascii="Arial" w:eastAsia="Arial" w:hAnsi="Arial" w:cs="Arial"/>
          <w:color w:val="000000"/>
          <w:lang w:val="en-US"/>
        </w:rPr>
      </w:pPr>
      <w:r w:rsidRPr="005C214B">
        <w:rPr>
          <w:rFonts w:ascii="Arial" w:eastAsia="Arial" w:hAnsi="Arial" w:cs="Arial"/>
          <w:color w:val="000000"/>
          <w:lang w:val="en-US"/>
        </w:rPr>
        <w:t>The Australian social security system, through its low payment rates and restrictive eligibility requirements, contributes significantly to the high levels of poverty experienced by people with disability.</w:t>
      </w:r>
      <w:r w:rsidRPr="005C214B">
        <w:rPr>
          <w:rFonts w:ascii="Arial" w:eastAsia="Arial" w:hAnsi="Arial" w:cs="Arial"/>
          <w:b/>
          <w:color w:val="000000"/>
          <w:vertAlign w:val="superscript"/>
          <w:lang w:val="en-US"/>
        </w:rPr>
        <w:endnoteReference w:id="18"/>
      </w:r>
    </w:p>
    <w:p w14:paraId="5E4A110F" w14:textId="3770501C" w:rsidR="00AB4AC0" w:rsidRDefault="005C214B" w:rsidP="005C214B">
      <w:pPr>
        <w:rPr>
          <w:rFonts w:ascii="Arial" w:eastAsia="Arial" w:hAnsi="Arial" w:cs="Arial"/>
          <w:color w:val="000000"/>
          <w:lang w:val="en-US"/>
        </w:rPr>
      </w:pPr>
      <w:r w:rsidRPr="005C214B">
        <w:rPr>
          <w:rFonts w:ascii="Arial" w:eastAsia="Arial" w:hAnsi="Arial" w:cs="Arial"/>
          <w:color w:val="000000"/>
          <w:lang w:val="en-US"/>
        </w:rPr>
        <w:lastRenderedPageBreak/>
        <w:t xml:space="preserve">While providing some basic income, these payments do not provide for an adequate safety net or standard of living. An adequate safety net through income support is particularly important for people with </w:t>
      </w:r>
      <w:proofErr w:type="gramStart"/>
      <w:r w:rsidRPr="005C214B">
        <w:rPr>
          <w:rFonts w:ascii="Arial" w:eastAsia="Arial" w:hAnsi="Arial" w:cs="Arial"/>
          <w:color w:val="000000"/>
          <w:lang w:val="en-US"/>
        </w:rPr>
        <w:t>disability</w:t>
      </w:r>
      <w:proofErr w:type="gramEnd"/>
      <w:r w:rsidRPr="005C214B">
        <w:rPr>
          <w:rFonts w:ascii="Arial" w:eastAsia="Arial" w:hAnsi="Arial" w:cs="Arial"/>
          <w:color w:val="000000"/>
          <w:lang w:val="en-US"/>
        </w:rPr>
        <w:t xml:space="preserve"> who face significant and complex barriers to education and employment. Inadequate rates of payment mean people trapped on income support fall further and further behind the living standards of the </w:t>
      </w:r>
      <w:proofErr w:type="gramStart"/>
      <w:r w:rsidRPr="005C214B">
        <w:rPr>
          <w:rFonts w:ascii="Arial" w:eastAsia="Arial" w:hAnsi="Arial" w:cs="Arial"/>
          <w:color w:val="000000"/>
          <w:lang w:val="en-US"/>
        </w:rPr>
        <w:t>community as a whole</w:t>
      </w:r>
      <w:proofErr w:type="gramEnd"/>
      <w:r w:rsidRPr="005C214B">
        <w:rPr>
          <w:rFonts w:ascii="Arial" w:eastAsia="Arial" w:hAnsi="Arial" w:cs="Arial"/>
          <w:color w:val="000000"/>
          <w:lang w:val="en-US"/>
        </w:rPr>
        <w:t>.</w:t>
      </w:r>
    </w:p>
    <w:p w14:paraId="74B97B44" w14:textId="7824BEA9" w:rsidR="00463445" w:rsidRPr="0058398D" w:rsidRDefault="00463445" w:rsidP="0058398D">
      <w:pPr>
        <w:pStyle w:val="Heading3"/>
        <w:rPr>
          <w:rFonts w:eastAsia="Arial"/>
          <w:sz w:val="44"/>
          <w:szCs w:val="44"/>
          <w:lang w:val="en-US"/>
        </w:rPr>
      </w:pPr>
      <w:bookmarkStart w:id="29" w:name="_Toc126321590"/>
      <w:r w:rsidRPr="0058398D">
        <w:rPr>
          <w:rFonts w:eastAsia="Arial"/>
          <w:sz w:val="44"/>
          <w:szCs w:val="44"/>
          <w:lang w:val="en-US"/>
        </w:rPr>
        <w:t>Recommendations</w:t>
      </w:r>
      <w:bookmarkEnd w:id="29"/>
    </w:p>
    <w:p w14:paraId="10C99CCE" w14:textId="4CBEA0D0" w:rsidR="005C214B" w:rsidRPr="005C214B" w:rsidRDefault="005C214B" w:rsidP="002C1670">
      <w:pPr>
        <w:pStyle w:val="Heading4"/>
        <w:numPr>
          <w:ilvl w:val="0"/>
          <w:numId w:val="20"/>
        </w:numPr>
        <w:rPr>
          <w:rFonts w:eastAsia="Arial"/>
          <w:lang w:val="en-US"/>
        </w:rPr>
      </w:pPr>
      <w:r w:rsidRPr="005C214B">
        <w:rPr>
          <w:rFonts w:eastAsia="Arial"/>
          <w:lang w:val="en-US"/>
        </w:rPr>
        <w:t xml:space="preserve">Term of reference (f) mechanisms to reduce and address </w:t>
      </w:r>
      <w:proofErr w:type="gramStart"/>
      <w:r w:rsidRPr="005C214B">
        <w:rPr>
          <w:rFonts w:eastAsia="Arial"/>
          <w:lang w:val="en-US"/>
        </w:rPr>
        <w:t>poverty</w:t>
      </w:r>
      <w:proofErr w:type="gramEnd"/>
    </w:p>
    <w:p w14:paraId="6999B2ED" w14:textId="77777777" w:rsidR="007374CB" w:rsidRDefault="005C214B" w:rsidP="005C214B">
      <w:pPr>
        <w:rPr>
          <w:rFonts w:ascii="Arial" w:eastAsia="Arial" w:hAnsi="Arial" w:cs="Arial"/>
          <w:color w:val="000000"/>
          <w:lang w:val="en-US"/>
        </w:rPr>
      </w:pPr>
      <w:r w:rsidRPr="005C214B">
        <w:rPr>
          <w:rFonts w:ascii="Arial" w:eastAsia="Arial" w:hAnsi="Arial" w:cs="Arial"/>
          <w:color w:val="000000"/>
          <w:lang w:val="en-US"/>
        </w:rPr>
        <w:t xml:space="preserve">PWDA has long advocated for systemic changes to education, employment, and income support systems to reduce and address poverty for people with </w:t>
      </w:r>
      <w:proofErr w:type="gramStart"/>
      <w:r w:rsidRPr="005C214B">
        <w:rPr>
          <w:rFonts w:ascii="Arial" w:eastAsia="Arial" w:hAnsi="Arial" w:cs="Arial"/>
          <w:color w:val="000000"/>
          <w:lang w:val="en-US"/>
        </w:rPr>
        <w:t>disability</w:t>
      </w:r>
      <w:proofErr w:type="gramEnd"/>
      <w:r w:rsidRPr="005C214B">
        <w:rPr>
          <w:rFonts w:ascii="Arial" w:eastAsia="Arial" w:hAnsi="Arial" w:cs="Arial"/>
          <w:color w:val="000000"/>
          <w:lang w:val="en-US"/>
        </w:rPr>
        <w:t xml:space="preserve"> and create equality of opportunity in all life domains, including housing and health. </w:t>
      </w:r>
    </w:p>
    <w:p w14:paraId="0E5D5C90" w14:textId="58050D55" w:rsidR="00AB4AC0" w:rsidRPr="005C214B" w:rsidRDefault="005C214B" w:rsidP="005C214B">
      <w:pPr>
        <w:rPr>
          <w:rFonts w:ascii="Arial" w:eastAsia="Arial" w:hAnsi="Arial" w:cs="Arial"/>
          <w:color w:val="000000"/>
          <w:lang w:val="en-US"/>
        </w:rPr>
      </w:pPr>
      <w:r w:rsidRPr="005C214B">
        <w:rPr>
          <w:rFonts w:ascii="Arial" w:eastAsia="Arial" w:hAnsi="Arial" w:cs="Arial"/>
          <w:color w:val="000000"/>
          <w:lang w:val="en-US"/>
        </w:rPr>
        <w:t>We reiterate the following key recommendations to this inquiry. These are discussed in more detail in the</w:t>
      </w:r>
      <w:r w:rsidR="002722A3">
        <w:rPr>
          <w:rFonts w:ascii="Arial" w:eastAsia="Arial" w:hAnsi="Arial" w:cs="Arial"/>
          <w:color w:val="000000"/>
          <w:lang w:val="en-US"/>
        </w:rPr>
        <w:t xml:space="preserve"> PWDA</w:t>
      </w:r>
      <w:r w:rsidRPr="005C214B">
        <w:rPr>
          <w:rFonts w:ascii="Arial" w:eastAsia="Arial" w:hAnsi="Arial" w:cs="Arial"/>
          <w:color w:val="000000"/>
          <w:lang w:val="en-US"/>
        </w:rPr>
        <w:t xml:space="preserve"> submissions </w:t>
      </w:r>
      <w:r w:rsidR="00BE2F19">
        <w:rPr>
          <w:rFonts w:ascii="Arial" w:eastAsia="Arial" w:hAnsi="Arial" w:cs="Arial"/>
          <w:color w:val="000000"/>
          <w:lang w:val="en-US"/>
        </w:rPr>
        <w:t xml:space="preserve">listed in </w:t>
      </w:r>
      <w:r w:rsidR="00175DB8">
        <w:rPr>
          <w:rFonts w:ascii="Arial" w:eastAsia="Arial" w:hAnsi="Arial" w:cs="Arial"/>
          <w:color w:val="000000"/>
          <w:lang w:val="en-US"/>
        </w:rPr>
        <w:t>A</w:t>
      </w:r>
      <w:r w:rsidR="00BE2F19">
        <w:rPr>
          <w:rFonts w:ascii="Arial" w:eastAsia="Arial" w:hAnsi="Arial" w:cs="Arial"/>
          <w:color w:val="000000"/>
          <w:lang w:val="en-US"/>
        </w:rPr>
        <w:t>ppendix</w:t>
      </w:r>
      <w:r w:rsidR="00175DB8">
        <w:rPr>
          <w:rFonts w:ascii="Arial" w:eastAsia="Arial" w:hAnsi="Arial" w:cs="Arial"/>
          <w:color w:val="000000"/>
          <w:lang w:val="en-US"/>
        </w:rPr>
        <w:t xml:space="preserve"> A</w:t>
      </w:r>
      <w:r w:rsidRPr="005C214B">
        <w:rPr>
          <w:rFonts w:ascii="Arial" w:eastAsia="Arial" w:hAnsi="Arial" w:cs="Arial"/>
          <w:color w:val="000000"/>
          <w:lang w:val="en-US"/>
        </w:rPr>
        <w:t>.</w:t>
      </w:r>
    </w:p>
    <w:p w14:paraId="5F746DAD" w14:textId="36D25157" w:rsidR="005C214B" w:rsidRPr="002C1670" w:rsidRDefault="005C214B" w:rsidP="002C1670">
      <w:pPr>
        <w:rPr>
          <w:b/>
          <w:bCs/>
          <w:lang w:val="en-US"/>
        </w:rPr>
      </w:pPr>
      <w:r w:rsidRPr="002C1670">
        <w:rPr>
          <w:b/>
          <w:bCs/>
          <w:lang w:val="en-US"/>
        </w:rPr>
        <w:t>Recommendation 1</w:t>
      </w:r>
      <w:r w:rsidR="0058398D">
        <w:rPr>
          <w:b/>
          <w:bCs/>
          <w:lang w:val="en-US"/>
        </w:rPr>
        <w:t xml:space="preserve"> – </w:t>
      </w:r>
      <w:r w:rsidRPr="002C1670">
        <w:rPr>
          <w:b/>
          <w:bCs/>
          <w:lang w:val="en-US"/>
        </w:rPr>
        <w:t xml:space="preserve">Break the links between poor educational outcomes, access to employment, and limited economic security by addressing barriers to education for people with </w:t>
      </w:r>
      <w:proofErr w:type="gramStart"/>
      <w:r w:rsidRPr="002C1670">
        <w:rPr>
          <w:b/>
          <w:bCs/>
          <w:lang w:val="en-US"/>
        </w:rPr>
        <w:t>disability</w:t>
      </w:r>
      <w:proofErr w:type="gramEnd"/>
      <w:r w:rsidRPr="002C1670">
        <w:rPr>
          <w:b/>
          <w:bCs/>
          <w:lang w:val="en-US"/>
        </w:rPr>
        <w:t xml:space="preserve">. </w:t>
      </w:r>
    </w:p>
    <w:p w14:paraId="50152225" w14:textId="0182DAA9" w:rsidR="002A3485" w:rsidRDefault="005C214B" w:rsidP="002A3485">
      <w:pPr>
        <w:rPr>
          <w:rFonts w:ascii="Arial" w:eastAsia="Arial" w:hAnsi="Arial" w:cs="Arial"/>
          <w:color w:val="000000"/>
          <w:lang w:val="en-US"/>
        </w:rPr>
      </w:pPr>
      <w:r w:rsidRPr="005C214B">
        <w:rPr>
          <w:rFonts w:ascii="Arial" w:eastAsia="Arial" w:hAnsi="Arial" w:cs="Arial"/>
          <w:color w:val="000000"/>
          <w:lang w:val="en-US"/>
        </w:rPr>
        <w:t>In particular:</w:t>
      </w:r>
      <w:r w:rsidR="0039264A">
        <w:rPr>
          <w:rFonts w:ascii="Arial" w:eastAsia="Arial" w:hAnsi="Arial" w:cs="Arial"/>
          <w:color w:val="000000"/>
          <w:lang w:val="en-US"/>
        </w:rPr>
        <w:t xml:space="preserve"> </w:t>
      </w:r>
    </w:p>
    <w:p w14:paraId="0C2D24BA" w14:textId="635F1B74" w:rsidR="0039264A" w:rsidRPr="00112520" w:rsidRDefault="00175DB8" w:rsidP="0039264A">
      <w:pPr>
        <w:pStyle w:val="ListParagraph"/>
        <w:numPr>
          <w:ilvl w:val="0"/>
          <w:numId w:val="17"/>
        </w:numPr>
      </w:pPr>
      <w:r>
        <w:t>p</w:t>
      </w:r>
      <w:r w:rsidR="0039264A" w:rsidRPr="00112520">
        <w:t>hase out segregated education</w:t>
      </w:r>
    </w:p>
    <w:p w14:paraId="3AE69806" w14:textId="589896A8" w:rsidR="0039264A" w:rsidRPr="00112520" w:rsidRDefault="00175DB8" w:rsidP="0039264A">
      <w:pPr>
        <w:pStyle w:val="ListParagraph"/>
        <w:numPr>
          <w:ilvl w:val="0"/>
          <w:numId w:val="17"/>
        </w:numPr>
      </w:pPr>
      <w:r>
        <w:t>i</w:t>
      </w:r>
      <w:r w:rsidR="0039264A" w:rsidRPr="00112520">
        <w:t xml:space="preserve">ncrease resources, supports and training for mainstream schools to provide safe, quality, inclusive education that dismantles barriers to people with disability achieving higher educational </w:t>
      </w:r>
      <w:proofErr w:type="gramStart"/>
      <w:r w:rsidR="0039264A" w:rsidRPr="00112520">
        <w:t>outcomes</w:t>
      </w:r>
      <w:proofErr w:type="gramEnd"/>
    </w:p>
    <w:p w14:paraId="140B2F95" w14:textId="6BD0C85D" w:rsidR="0039264A" w:rsidRPr="0039264A" w:rsidRDefault="00C33569" w:rsidP="002A3485">
      <w:pPr>
        <w:pStyle w:val="ListParagraph"/>
        <w:numPr>
          <w:ilvl w:val="0"/>
          <w:numId w:val="17"/>
        </w:numPr>
      </w:pPr>
      <w:r>
        <w:t xml:space="preserve">remove </w:t>
      </w:r>
      <w:r w:rsidR="0039264A" w:rsidRPr="00112520">
        <w:t xml:space="preserve">tuition fees </w:t>
      </w:r>
      <w:r w:rsidR="0039264A">
        <w:t>for vocational courses</w:t>
      </w:r>
      <w:r w:rsidR="0039264A" w:rsidRPr="00112520">
        <w:t xml:space="preserve"> and public universities for people with </w:t>
      </w:r>
      <w:proofErr w:type="gramStart"/>
      <w:r w:rsidR="0039264A" w:rsidRPr="00112520">
        <w:t>disability</w:t>
      </w:r>
      <w:proofErr w:type="gramEnd"/>
      <w:r w:rsidR="0039264A" w:rsidRPr="00112520">
        <w:t>.</w:t>
      </w:r>
    </w:p>
    <w:p w14:paraId="47B0AC93" w14:textId="167374D2" w:rsidR="005C214B" w:rsidRPr="002C1670" w:rsidRDefault="005C214B" w:rsidP="002C1670">
      <w:pPr>
        <w:rPr>
          <w:b/>
          <w:bCs/>
          <w:lang w:val="en-US"/>
        </w:rPr>
      </w:pPr>
      <w:r w:rsidRPr="002C1670">
        <w:rPr>
          <w:b/>
          <w:bCs/>
          <w:lang w:val="en-US"/>
        </w:rPr>
        <w:t>Recommendation 2</w:t>
      </w:r>
      <w:r w:rsidR="0039264A">
        <w:rPr>
          <w:b/>
          <w:bCs/>
          <w:lang w:val="en-US"/>
        </w:rPr>
        <w:t xml:space="preserve"> – B</w:t>
      </w:r>
      <w:r w:rsidRPr="002C1670">
        <w:rPr>
          <w:b/>
          <w:bCs/>
          <w:lang w:val="en-US"/>
        </w:rPr>
        <w:t xml:space="preserve">reak the link between disability and poverty by addressing barriers to employment for people with disability. </w:t>
      </w:r>
    </w:p>
    <w:p w14:paraId="5FD962A2" w14:textId="0FBC66E8" w:rsidR="005C214B" w:rsidRPr="005C214B" w:rsidRDefault="006369C4" w:rsidP="005C214B">
      <w:pPr>
        <w:rPr>
          <w:rFonts w:ascii="Arial" w:eastAsia="Arial" w:hAnsi="Arial" w:cs="Arial"/>
          <w:color w:val="000000"/>
          <w:lang w:val="en-US"/>
        </w:rPr>
      </w:pPr>
      <w:r>
        <w:rPr>
          <w:rFonts w:ascii="Arial" w:eastAsia="Arial" w:hAnsi="Arial" w:cs="Arial"/>
          <w:color w:val="000000"/>
          <w:lang w:val="en-US"/>
        </w:rPr>
        <w:lastRenderedPageBreak/>
        <w:t>The recommended</w:t>
      </w:r>
      <w:r w:rsidR="000F6CAB">
        <w:rPr>
          <w:rFonts w:ascii="Arial" w:eastAsia="Arial" w:hAnsi="Arial" w:cs="Arial"/>
          <w:color w:val="000000"/>
          <w:lang w:val="en-US"/>
        </w:rPr>
        <w:t xml:space="preserve"> first</w:t>
      </w:r>
      <w:r>
        <w:rPr>
          <w:rFonts w:ascii="Arial" w:eastAsia="Arial" w:hAnsi="Arial" w:cs="Arial"/>
          <w:color w:val="000000"/>
          <w:lang w:val="en-US"/>
        </w:rPr>
        <w:t xml:space="preserve"> steps are: </w:t>
      </w:r>
    </w:p>
    <w:p w14:paraId="1E7AF8E8" w14:textId="0AAB2F18" w:rsidR="0058398D" w:rsidRPr="00112520" w:rsidRDefault="006369C4" w:rsidP="0058398D">
      <w:pPr>
        <w:pStyle w:val="ListParagraph"/>
        <w:numPr>
          <w:ilvl w:val="0"/>
          <w:numId w:val="18"/>
        </w:numPr>
      </w:pPr>
      <w:r>
        <w:t>p</w:t>
      </w:r>
      <w:r w:rsidR="0058398D" w:rsidRPr="00112520">
        <w:t>has</w:t>
      </w:r>
      <w:r>
        <w:t>e</w:t>
      </w:r>
      <w:r w:rsidR="0058398D" w:rsidRPr="00112520">
        <w:t xml:space="preserve"> out the segregated employment created through Australian Disability Enterprises</w:t>
      </w:r>
    </w:p>
    <w:p w14:paraId="6EABA33C" w14:textId="71247650" w:rsidR="0058398D" w:rsidRPr="00112520" w:rsidRDefault="00FE55BB" w:rsidP="0058398D">
      <w:pPr>
        <w:pStyle w:val="ListParagraph"/>
        <w:numPr>
          <w:ilvl w:val="0"/>
          <w:numId w:val="18"/>
        </w:numPr>
      </w:pPr>
      <w:r w:rsidRPr="00112520">
        <w:t>establish</w:t>
      </w:r>
      <w:r w:rsidR="0058398D" w:rsidRPr="00112520">
        <w:t xml:space="preserve"> a Centre of Excellence for Disability Employment and specialist Disability Employment Service</w:t>
      </w:r>
      <w:r w:rsidR="0058398D">
        <w:t>s</w:t>
      </w:r>
      <w:r w:rsidR="0058398D" w:rsidRPr="00112520">
        <w:t xml:space="preserve"> providers for specific </w:t>
      </w:r>
      <w:proofErr w:type="gramStart"/>
      <w:r w:rsidR="0058398D" w:rsidRPr="00112520">
        <w:t>cohorts</w:t>
      </w:r>
      <w:proofErr w:type="gramEnd"/>
    </w:p>
    <w:p w14:paraId="49A23586" w14:textId="72C27985" w:rsidR="0058398D" w:rsidRPr="00112520" w:rsidRDefault="006369C4" w:rsidP="0058398D">
      <w:pPr>
        <w:pStyle w:val="ListParagraph"/>
        <w:numPr>
          <w:ilvl w:val="0"/>
          <w:numId w:val="18"/>
        </w:numPr>
      </w:pPr>
      <w:r>
        <w:t>i</w:t>
      </w:r>
      <w:r w:rsidR="0058398D" w:rsidRPr="00112520">
        <w:t>mprov</w:t>
      </w:r>
      <w:r>
        <w:t>e</w:t>
      </w:r>
      <w:r w:rsidR="0058398D" w:rsidRPr="00112520">
        <w:t xml:space="preserve"> accessibility and inclusive practice in all </w:t>
      </w:r>
      <w:proofErr w:type="gramStart"/>
      <w:r w:rsidR="0058398D" w:rsidRPr="00112520">
        <w:t>workplaces</w:t>
      </w:r>
      <w:proofErr w:type="gramEnd"/>
    </w:p>
    <w:p w14:paraId="0533CC56" w14:textId="77777777" w:rsidR="00FB3B85" w:rsidRDefault="006369C4" w:rsidP="0058398D">
      <w:pPr>
        <w:pStyle w:val="ListParagraph"/>
        <w:numPr>
          <w:ilvl w:val="0"/>
          <w:numId w:val="18"/>
        </w:numPr>
      </w:pPr>
      <w:r>
        <w:t>r</w:t>
      </w:r>
      <w:r w:rsidR="0058398D" w:rsidRPr="00112520">
        <w:t>edesign the D</w:t>
      </w:r>
      <w:r w:rsidR="0058398D">
        <w:t>isability Support Pension</w:t>
      </w:r>
      <w:r w:rsidR="0058398D" w:rsidRPr="00112520">
        <w:t xml:space="preserve"> so people with disability are guaranteed lifelong access to support if they meet other eligibility </w:t>
      </w:r>
      <w:proofErr w:type="gramStart"/>
      <w:r w:rsidR="0058398D" w:rsidRPr="00112520">
        <w:t>criteria</w:t>
      </w:r>
      <w:proofErr w:type="gramEnd"/>
    </w:p>
    <w:p w14:paraId="2DF81316" w14:textId="5A9C60FE" w:rsidR="00FB3B85" w:rsidRDefault="0058398D" w:rsidP="00FB3B85">
      <w:pPr>
        <w:pStyle w:val="ListParagraph"/>
        <w:numPr>
          <w:ilvl w:val="1"/>
          <w:numId w:val="18"/>
        </w:numPr>
      </w:pPr>
      <w:r w:rsidRPr="00112520">
        <w:t>remov</w:t>
      </w:r>
      <w:r w:rsidR="00B759E8">
        <w:t>e</w:t>
      </w:r>
      <w:r w:rsidRPr="00112520">
        <w:t xml:space="preserve"> any requirement to re-establish qualification upon </w:t>
      </w:r>
      <w:proofErr w:type="gramStart"/>
      <w:r w:rsidRPr="00112520">
        <w:t>reclaiming</w:t>
      </w:r>
      <w:proofErr w:type="gramEnd"/>
    </w:p>
    <w:p w14:paraId="262565B5" w14:textId="638C183C" w:rsidR="00FB3B85" w:rsidRDefault="0058398D" w:rsidP="00FB3B85">
      <w:pPr>
        <w:pStyle w:val="ListParagraph"/>
        <w:numPr>
          <w:ilvl w:val="1"/>
          <w:numId w:val="18"/>
        </w:numPr>
      </w:pPr>
      <w:r w:rsidRPr="00112520">
        <w:t>remov</w:t>
      </w:r>
      <w:r w:rsidR="00FB3B85">
        <w:t>e</w:t>
      </w:r>
      <w:r w:rsidRPr="00112520">
        <w:t xml:space="preserve"> the cap on hours that can be </w:t>
      </w:r>
      <w:proofErr w:type="gramStart"/>
      <w:r w:rsidRPr="00112520">
        <w:t>worked</w:t>
      </w:r>
      <w:proofErr w:type="gramEnd"/>
    </w:p>
    <w:p w14:paraId="6EEC31EA" w14:textId="5DF1061B" w:rsidR="0058398D" w:rsidRPr="00112520" w:rsidRDefault="0058398D" w:rsidP="00FB3B85">
      <w:pPr>
        <w:pStyle w:val="ListParagraph"/>
        <w:numPr>
          <w:ilvl w:val="1"/>
          <w:numId w:val="18"/>
        </w:numPr>
      </w:pPr>
      <w:r w:rsidRPr="00112520">
        <w:t>permit people who meet requirements across multiple tables to access the D</w:t>
      </w:r>
      <w:r>
        <w:t>isability Support Pension</w:t>
      </w:r>
      <w:r w:rsidR="00FE55BB" w:rsidRPr="00112520" w:rsidDel="00FE55BB">
        <w:t xml:space="preserve"> </w:t>
      </w:r>
    </w:p>
    <w:p w14:paraId="34747A9E" w14:textId="2618927B" w:rsidR="002A3485" w:rsidRPr="0058398D" w:rsidRDefault="00FE55BB" w:rsidP="002A3485">
      <w:pPr>
        <w:pStyle w:val="ListParagraph"/>
        <w:numPr>
          <w:ilvl w:val="0"/>
          <w:numId w:val="18"/>
        </w:numPr>
      </w:pPr>
      <w:r>
        <w:t>e</w:t>
      </w:r>
      <w:r w:rsidR="006369C4">
        <w:t xml:space="preserve">mploy </w:t>
      </w:r>
      <w:r w:rsidR="0058398D" w:rsidRPr="00112520">
        <w:t xml:space="preserve">a co-design and co-implementation approach to new initiatives to increase labor force participation of people with </w:t>
      </w:r>
      <w:proofErr w:type="gramStart"/>
      <w:r w:rsidR="0058398D" w:rsidRPr="00112520">
        <w:t>disability</w:t>
      </w:r>
      <w:proofErr w:type="gramEnd"/>
      <w:r w:rsidR="0058398D" w:rsidRPr="00112520">
        <w:t>.</w:t>
      </w:r>
    </w:p>
    <w:p w14:paraId="1ADB8E6C" w14:textId="635EA420" w:rsidR="005C214B" w:rsidRPr="002C1670" w:rsidRDefault="005C214B" w:rsidP="002C1670">
      <w:pPr>
        <w:rPr>
          <w:b/>
          <w:bCs/>
          <w:lang w:val="en-US"/>
        </w:rPr>
      </w:pPr>
      <w:r w:rsidRPr="002C1670">
        <w:rPr>
          <w:b/>
          <w:bCs/>
          <w:lang w:val="en-US"/>
        </w:rPr>
        <w:t>Recommendation 3</w:t>
      </w:r>
      <w:r w:rsidR="0039264A">
        <w:rPr>
          <w:b/>
          <w:bCs/>
          <w:lang w:val="en-US"/>
        </w:rPr>
        <w:t xml:space="preserve"> – </w:t>
      </w:r>
      <w:r w:rsidRPr="002C1670">
        <w:rPr>
          <w:b/>
          <w:bCs/>
          <w:lang w:val="en-US"/>
        </w:rPr>
        <w:t xml:space="preserve">Provide for an adequate standard of living, in relation to the rest of the community, for people with </w:t>
      </w:r>
      <w:proofErr w:type="gramStart"/>
      <w:r w:rsidRPr="002C1670">
        <w:rPr>
          <w:b/>
          <w:bCs/>
          <w:lang w:val="en-US"/>
        </w:rPr>
        <w:t>disability</w:t>
      </w:r>
      <w:proofErr w:type="gramEnd"/>
      <w:r w:rsidRPr="002C1670">
        <w:rPr>
          <w:b/>
          <w:bCs/>
          <w:lang w:val="en-US"/>
        </w:rPr>
        <w:t xml:space="preserve"> who cannot access employment.</w:t>
      </w:r>
    </w:p>
    <w:p w14:paraId="73F397F4" w14:textId="77777777" w:rsidR="005C214B" w:rsidRPr="005C214B" w:rsidRDefault="005C214B" w:rsidP="005C214B">
      <w:pPr>
        <w:rPr>
          <w:rFonts w:ascii="Arial" w:eastAsia="Arial" w:hAnsi="Arial" w:cs="Arial"/>
          <w:color w:val="000000"/>
          <w:lang w:val="en-US"/>
        </w:rPr>
      </w:pPr>
      <w:r w:rsidRPr="005C214B">
        <w:rPr>
          <w:rFonts w:ascii="Arial" w:eastAsia="Arial" w:hAnsi="Arial" w:cs="Arial"/>
          <w:color w:val="000000"/>
          <w:lang w:val="en-US"/>
        </w:rPr>
        <w:t>This must include:</w:t>
      </w:r>
    </w:p>
    <w:p w14:paraId="07D42F60" w14:textId="7F193C3E" w:rsidR="0058398D" w:rsidRPr="00112520" w:rsidRDefault="006369C4" w:rsidP="0058398D">
      <w:pPr>
        <w:pStyle w:val="ListParagraph"/>
        <w:numPr>
          <w:ilvl w:val="0"/>
          <w:numId w:val="19"/>
        </w:numPr>
      </w:pPr>
      <w:r>
        <w:t>m</w:t>
      </w:r>
      <w:r w:rsidR="0058398D" w:rsidRPr="00112520">
        <w:t xml:space="preserve">aking income support payments available to all who need </w:t>
      </w:r>
      <w:proofErr w:type="gramStart"/>
      <w:r w:rsidR="0058398D" w:rsidRPr="00112520">
        <w:t>them</w:t>
      </w:r>
      <w:proofErr w:type="gramEnd"/>
      <w:r w:rsidR="0058398D" w:rsidRPr="00112520">
        <w:t xml:space="preserve"> </w:t>
      </w:r>
    </w:p>
    <w:p w14:paraId="722A3C88" w14:textId="5DE5455F" w:rsidR="0058398D" w:rsidRPr="00112520" w:rsidRDefault="006369C4" w:rsidP="0058398D">
      <w:pPr>
        <w:pStyle w:val="ListParagraph"/>
        <w:numPr>
          <w:ilvl w:val="0"/>
          <w:numId w:val="19"/>
        </w:numPr>
      </w:pPr>
      <w:r>
        <w:t>m</w:t>
      </w:r>
      <w:r w:rsidR="0058398D">
        <w:t>aking sure the Disability Support Pension is always</w:t>
      </w:r>
      <w:r w:rsidR="0058398D" w:rsidRPr="00112520">
        <w:t xml:space="preserve"> </w:t>
      </w:r>
      <w:r w:rsidR="0058398D">
        <w:t>above the</w:t>
      </w:r>
      <w:r w:rsidR="0058398D" w:rsidRPr="00112520">
        <w:t xml:space="preserve"> Henderson poverty line and increasing </w:t>
      </w:r>
      <w:r w:rsidR="0058398D">
        <w:t>it</w:t>
      </w:r>
      <w:r w:rsidR="0058398D" w:rsidRPr="00112520">
        <w:t xml:space="preserve"> annually</w:t>
      </w:r>
      <w:r>
        <w:t xml:space="preserve">, at </w:t>
      </w:r>
      <w:r w:rsidR="00FE55BB">
        <w:t xml:space="preserve">least </w:t>
      </w:r>
      <w:r w:rsidR="00FE55BB" w:rsidRPr="00112520">
        <w:t>until</w:t>
      </w:r>
      <w:r w:rsidR="0058398D" w:rsidRPr="00112520">
        <w:t xml:space="preserve"> a better measure is </w:t>
      </w:r>
      <w:proofErr w:type="gramStart"/>
      <w:r w:rsidR="0058398D" w:rsidRPr="00112520">
        <w:t>established</w:t>
      </w:r>
      <w:proofErr w:type="gramEnd"/>
    </w:p>
    <w:p w14:paraId="7BB0500B" w14:textId="3FA324A7" w:rsidR="005C214B" w:rsidRPr="0058398D" w:rsidRDefault="006369C4" w:rsidP="005C214B">
      <w:pPr>
        <w:pStyle w:val="ListParagraph"/>
        <w:numPr>
          <w:ilvl w:val="0"/>
          <w:numId w:val="19"/>
        </w:numPr>
      </w:pPr>
      <w:r>
        <w:t>i</w:t>
      </w:r>
      <w:r w:rsidR="0058398D" w:rsidRPr="00112520">
        <w:t xml:space="preserve">ncreasing the rate of </w:t>
      </w:r>
      <w:proofErr w:type="spellStart"/>
      <w:r w:rsidR="0058398D">
        <w:t>JobSeeker</w:t>
      </w:r>
      <w:proofErr w:type="spellEnd"/>
      <w:r w:rsidR="0058398D">
        <w:t xml:space="preserve"> payments to the same rate as the Disability Support Pension inclusive of pension supplements</w:t>
      </w:r>
      <w:r>
        <w:t>.</w:t>
      </w:r>
    </w:p>
    <w:p w14:paraId="35FBA9B0" w14:textId="77777777" w:rsidR="005C214B" w:rsidRPr="005C214B" w:rsidRDefault="005C214B" w:rsidP="005C214B">
      <w:pPr>
        <w:rPr>
          <w:rFonts w:ascii="Arial" w:eastAsia="Arial" w:hAnsi="Arial" w:cs="Arial"/>
          <w:color w:val="000000"/>
          <w:lang w:val="en-US"/>
        </w:rPr>
      </w:pPr>
      <w:r w:rsidRPr="005C214B">
        <w:rPr>
          <w:rFonts w:ascii="Arial" w:eastAsia="Arial" w:hAnsi="Arial" w:cs="Arial"/>
          <w:color w:val="000000"/>
          <w:lang w:val="en-US"/>
        </w:rPr>
        <w:lastRenderedPageBreak/>
        <w:t xml:space="preserve">PWDA looks forward to engaging with the Community Affairs References Committee to further examine and address the specific contexts, drivers, and impacts of poverty for people with disability in Australia. </w:t>
      </w:r>
    </w:p>
    <w:p w14:paraId="22E59C08" w14:textId="05DEA87F" w:rsidR="002C72E5" w:rsidRPr="00460300" w:rsidRDefault="00D27F74" w:rsidP="00460300">
      <w:r>
        <w:br w:type="page"/>
      </w:r>
      <w:bookmarkStart w:id="30" w:name="_Toc126321591"/>
      <w:r w:rsidR="002C72E5" w:rsidRPr="00460300">
        <w:rPr>
          <w:rStyle w:val="Heading1Char"/>
          <w:color w:val="005496" w:themeColor="accent1"/>
          <w:sz w:val="52"/>
          <w:szCs w:val="52"/>
        </w:rPr>
        <w:lastRenderedPageBreak/>
        <w:t xml:space="preserve">Appendix </w:t>
      </w:r>
      <w:r w:rsidR="006E7831">
        <w:rPr>
          <w:rStyle w:val="Heading1Char"/>
          <w:color w:val="005496" w:themeColor="accent1"/>
          <w:sz w:val="52"/>
          <w:szCs w:val="52"/>
        </w:rPr>
        <w:t>A</w:t>
      </w:r>
      <w:bookmarkEnd w:id="30"/>
    </w:p>
    <w:p w14:paraId="5186F956" w14:textId="2C460A73" w:rsidR="00C159CA" w:rsidRPr="00C159CA" w:rsidRDefault="00C159CA" w:rsidP="00C159CA">
      <w:pPr>
        <w:spacing w:before="120" w:after="120"/>
        <w:rPr>
          <w:rFonts w:ascii="Arial" w:hAnsi="Arial" w:cs="Arial"/>
          <w:b/>
        </w:rPr>
      </w:pPr>
      <w:r w:rsidRPr="00C159CA">
        <w:rPr>
          <w:rFonts w:ascii="Arial" w:hAnsi="Arial" w:cs="Arial"/>
          <w:b/>
        </w:rPr>
        <w:t>PWDA submissions</w:t>
      </w:r>
      <w:r w:rsidR="0058398D">
        <w:rPr>
          <w:rFonts w:ascii="Arial" w:hAnsi="Arial" w:cs="Arial"/>
          <w:b/>
        </w:rPr>
        <w:t xml:space="preserve"> relevant to this inquiry</w:t>
      </w:r>
      <w:r>
        <w:rPr>
          <w:rFonts w:ascii="Arial" w:hAnsi="Arial" w:cs="Arial"/>
          <w:b/>
        </w:rPr>
        <w:t xml:space="preserve"> are available at the following links:</w:t>
      </w:r>
    </w:p>
    <w:p w14:paraId="42184C62" w14:textId="77777777" w:rsidR="00C159CA" w:rsidRPr="00C159CA" w:rsidRDefault="00C159CA" w:rsidP="00C159CA">
      <w:pPr>
        <w:spacing w:before="120" w:after="120"/>
        <w:rPr>
          <w:rFonts w:ascii="Arial" w:hAnsi="Arial" w:cs="Arial"/>
          <w:b/>
        </w:rPr>
      </w:pPr>
    </w:p>
    <w:p w14:paraId="393713E8" w14:textId="77777777" w:rsidR="00C159CA" w:rsidRPr="00C159CA" w:rsidRDefault="00C159CA" w:rsidP="00C159CA">
      <w:pPr>
        <w:spacing w:before="120" w:after="120"/>
        <w:rPr>
          <w:rFonts w:ascii="Arial" w:hAnsi="Arial" w:cs="Arial"/>
          <w:b/>
          <w:bCs/>
          <w:lang w:val="en-IE"/>
        </w:rPr>
      </w:pPr>
      <w:bookmarkStart w:id="31" w:name="x__Toc121899840"/>
      <w:r w:rsidRPr="00C159CA">
        <w:rPr>
          <w:rFonts w:ascii="Arial" w:hAnsi="Arial" w:cs="Arial"/>
          <w:b/>
          <w:bCs/>
          <w:lang w:val="en-IE"/>
        </w:rPr>
        <w:t>2022</w:t>
      </w:r>
      <w:bookmarkEnd w:id="31"/>
    </w:p>
    <w:p w14:paraId="0AF5A314" w14:textId="77777777" w:rsidR="0058398D" w:rsidRDefault="00C159CA" w:rsidP="00C159CA">
      <w:pPr>
        <w:pStyle w:val="ListParagraph"/>
        <w:numPr>
          <w:ilvl w:val="0"/>
          <w:numId w:val="22"/>
        </w:numPr>
        <w:spacing w:before="120" w:after="120"/>
        <w:rPr>
          <w:rFonts w:cs="Arial"/>
          <w:bCs/>
        </w:rPr>
      </w:pPr>
      <w:r w:rsidRPr="0058398D">
        <w:rPr>
          <w:rFonts w:cs="Arial"/>
          <w:bCs/>
        </w:rPr>
        <w:t xml:space="preserve">Joint </w:t>
      </w:r>
      <w:hyperlink r:id="rId20" w:history="1">
        <w:r w:rsidRPr="0058398D">
          <w:rPr>
            <w:rStyle w:val="Hyperlink"/>
            <w:rFonts w:cs="Arial"/>
            <w:bCs/>
          </w:rPr>
          <w:t>submission</w:t>
        </w:r>
      </w:hyperlink>
      <w:r w:rsidRPr="0058398D">
        <w:rPr>
          <w:rFonts w:cs="Arial"/>
          <w:bCs/>
        </w:rPr>
        <w:t xml:space="preserve"> to the Australian Treasury’s employment white paper</w:t>
      </w:r>
    </w:p>
    <w:p w14:paraId="0AB9C04E" w14:textId="77777777" w:rsidR="0058398D" w:rsidRPr="0058398D" w:rsidRDefault="00000000" w:rsidP="00C159CA">
      <w:pPr>
        <w:pStyle w:val="ListParagraph"/>
        <w:numPr>
          <w:ilvl w:val="0"/>
          <w:numId w:val="22"/>
        </w:numPr>
        <w:spacing w:before="120" w:after="120"/>
        <w:rPr>
          <w:rFonts w:cs="Arial"/>
          <w:bCs/>
        </w:rPr>
      </w:pPr>
      <w:hyperlink r:id="rId21" w:history="1">
        <w:r w:rsidR="00C159CA" w:rsidRPr="0058398D">
          <w:rPr>
            <w:rStyle w:val="Hyperlink"/>
            <w:rFonts w:cs="Arial"/>
            <w:lang w:val="en-IE"/>
          </w:rPr>
          <w:t>Submission</w:t>
        </w:r>
      </w:hyperlink>
      <w:r w:rsidR="00C159CA" w:rsidRPr="0058398D">
        <w:rPr>
          <w:rFonts w:cs="Arial"/>
          <w:lang w:val="en-IE"/>
        </w:rPr>
        <w:t xml:space="preserve"> to Department of Social Services Review of Disability Employment Services</w:t>
      </w:r>
    </w:p>
    <w:p w14:paraId="4B3D7283" w14:textId="5DCC893D" w:rsidR="00C159CA" w:rsidRPr="0058398D" w:rsidRDefault="00000000" w:rsidP="00C159CA">
      <w:pPr>
        <w:pStyle w:val="ListParagraph"/>
        <w:numPr>
          <w:ilvl w:val="0"/>
          <w:numId w:val="22"/>
        </w:numPr>
        <w:spacing w:before="120" w:after="120"/>
        <w:rPr>
          <w:rFonts w:cs="Arial"/>
          <w:bCs/>
        </w:rPr>
      </w:pPr>
      <w:hyperlink r:id="rId22" w:tgtFrame="_blank" w:history="1">
        <w:r w:rsidR="00C159CA" w:rsidRPr="0058398D">
          <w:rPr>
            <w:rStyle w:val="Hyperlink"/>
            <w:rFonts w:cs="Arial"/>
            <w:lang w:val="en-IE"/>
          </w:rPr>
          <w:t>Report</w:t>
        </w:r>
      </w:hyperlink>
      <w:r w:rsidR="00C159CA" w:rsidRPr="0058398D">
        <w:rPr>
          <w:rFonts w:cs="Arial"/>
          <w:lang w:val="en-IE"/>
        </w:rPr>
        <w:t> on wage equity and more choices in employment for people with an intellectual disability</w:t>
      </w:r>
    </w:p>
    <w:p w14:paraId="0F5EDC24" w14:textId="77777777" w:rsidR="00C159CA" w:rsidRPr="00C159CA" w:rsidRDefault="00C159CA" w:rsidP="00C159CA">
      <w:pPr>
        <w:spacing w:before="120" w:after="120"/>
        <w:rPr>
          <w:rFonts w:ascii="Arial" w:hAnsi="Arial" w:cs="Arial"/>
          <w:b/>
          <w:bCs/>
          <w:lang w:val="en-IE"/>
        </w:rPr>
      </w:pPr>
      <w:bookmarkStart w:id="32" w:name="x__Toc121899841"/>
    </w:p>
    <w:p w14:paraId="45300EAB" w14:textId="77777777" w:rsidR="00C159CA" w:rsidRPr="00C159CA" w:rsidRDefault="00C159CA" w:rsidP="00C159CA">
      <w:pPr>
        <w:spacing w:before="120" w:after="120"/>
        <w:rPr>
          <w:rFonts w:ascii="Arial" w:hAnsi="Arial" w:cs="Arial"/>
          <w:lang w:val="en-IE"/>
        </w:rPr>
      </w:pPr>
      <w:r w:rsidRPr="00C159CA">
        <w:rPr>
          <w:rFonts w:ascii="Arial" w:hAnsi="Arial" w:cs="Arial"/>
          <w:b/>
          <w:bCs/>
          <w:lang w:val="en-IE"/>
        </w:rPr>
        <w:t>2021</w:t>
      </w:r>
      <w:bookmarkEnd w:id="32"/>
    </w:p>
    <w:p w14:paraId="5768C221" w14:textId="77777777" w:rsidR="0058398D" w:rsidRDefault="00000000" w:rsidP="00C159CA">
      <w:pPr>
        <w:pStyle w:val="ListParagraph"/>
        <w:numPr>
          <w:ilvl w:val="0"/>
          <w:numId w:val="23"/>
        </w:numPr>
        <w:spacing w:before="120" w:after="120"/>
        <w:rPr>
          <w:rFonts w:cs="Arial"/>
          <w:lang w:val="en-IE"/>
        </w:rPr>
      </w:pPr>
      <w:hyperlink r:id="rId23" w:tgtFrame="_blank" w:history="1">
        <w:r w:rsidR="00C159CA" w:rsidRPr="0058398D">
          <w:rPr>
            <w:rStyle w:val="Hyperlink"/>
            <w:rFonts w:cs="Arial"/>
            <w:lang w:val="en-IE"/>
          </w:rPr>
          <w:t>Submission</w:t>
        </w:r>
      </w:hyperlink>
      <w:r w:rsidR="00C159CA" w:rsidRPr="0058398D">
        <w:rPr>
          <w:rFonts w:cs="Arial"/>
        </w:rPr>
        <w:t xml:space="preserve"> to </w:t>
      </w:r>
      <w:r w:rsidR="00C159CA" w:rsidRPr="0058398D">
        <w:rPr>
          <w:rFonts w:cs="Arial"/>
          <w:lang w:val="en-IE"/>
        </w:rPr>
        <w:t>Senate Community Affairs References Committee’s inquiry into the purpose, intent, and adequacy of the Disability Support Pension</w:t>
      </w:r>
    </w:p>
    <w:p w14:paraId="59F48DBF" w14:textId="1582D66D" w:rsidR="00C159CA" w:rsidRPr="0058398D" w:rsidRDefault="00000000" w:rsidP="00C159CA">
      <w:pPr>
        <w:pStyle w:val="ListParagraph"/>
        <w:numPr>
          <w:ilvl w:val="0"/>
          <w:numId w:val="23"/>
        </w:numPr>
        <w:spacing w:before="120" w:after="120"/>
        <w:rPr>
          <w:rFonts w:cs="Arial"/>
          <w:lang w:val="en-IE"/>
        </w:rPr>
      </w:pPr>
      <w:hyperlink r:id="rId24" w:tgtFrame="_blank" w:history="1">
        <w:r w:rsidR="00C159CA" w:rsidRPr="0058398D">
          <w:rPr>
            <w:rStyle w:val="Hyperlink"/>
            <w:rFonts w:cs="Arial"/>
            <w:lang w:val="en-IE"/>
          </w:rPr>
          <w:t>Submission</w:t>
        </w:r>
      </w:hyperlink>
      <w:r w:rsidR="00C159CA" w:rsidRPr="0058398D">
        <w:rPr>
          <w:rFonts w:cs="Arial"/>
          <w:lang w:val="en-IE"/>
        </w:rPr>
        <w:t> to the Department of Social Services review of the Disability Support Pension impairment tables</w:t>
      </w:r>
    </w:p>
    <w:p w14:paraId="15EEBB85" w14:textId="77777777" w:rsidR="00C159CA" w:rsidRPr="00C159CA" w:rsidRDefault="00C159CA" w:rsidP="00C159CA">
      <w:pPr>
        <w:spacing w:before="120" w:after="120"/>
        <w:rPr>
          <w:rFonts w:ascii="Arial" w:hAnsi="Arial" w:cs="Arial"/>
          <w:b/>
          <w:bCs/>
          <w:lang w:val="en-IE"/>
        </w:rPr>
      </w:pPr>
      <w:bookmarkStart w:id="33" w:name="x__Toc121899843"/>
    </w:p>
    <w:p w14:paraId="029C9CB6" w14:textId="77777777" w:rsidR="00C159CA" w:rsidRPr="00C159CA" w:rsidRDefault="00C159CA" w:rsidP="00C159CA">
      <w:pPr>
        <w:spacing w:before="120" w:after="120"/>
        <w:rPr>
          <w:rFonts w:ascii="Arial" w:hAnsi="Arial" w:cs="Arial"/>
          <w:b/>
          <w:bCs/>
          <w:lang w:val="en-IE"/>
        </w:rPr>
      </w:pPr>
      <w:r w:rsidRPr="00C159CA">
        <w:rPr>
          <w:rFonts w:ascii="Arial" w:hAnsi="Arial" w:cs="Arial"/>
          <w:b/>
          <w:bCs/>
          <w:lang w:val="en-IE"/>
        </w:rPr>
        <w:t>2019</w:t>
      </w:r>
      <w:bookmarkEnd w:id="33"/>
    </w:p>
    <w:p w14:paraId="5D4DB35C" w14:textId="4506DB0F" w:rsidR="00C159CA" w:rsidRPr="0058398D" w:rsidRDefault="00000000" w:rsidP="0058398D">
      <w:pPr>
        <w:pStyle w:val="ListParagraph"/>
        <w:numPr>
          <w:ilvl w:val="0"/>
          <w:numId w:val="24"/>
        </w:numPr>
        <w:spacing w:before="120" w:after="120"/>
        <w:rPr>
          <w:rFonts w:cs="Arial"/>
          <w:lang w:val="en-IE"/>
        </w:rPr>
      </w:pPr>
      <w:hyperlink r:id="rId25" w:tgtFrame="_blank" w:history="1">
        <w:r w:rsidR="00C159CA" w:rsidRPr="0058398D">
          <w:rPr>
            <w:rStyle w:val="Hyperlink"/>
            <w:rFonts w:cs="Arial"/>
            <w:lang w:val="en-IE"/>
          </w:rPr>
          <w:t>Submission</w:t>
        </w:r>
      </w:hyperlink>
      <w:r w:rsidR="00C159CA" w:rsidRPr="0058398D">
        <w:rPr>
          <w:rFonts w:cs="Arial"/>
        </w:rPr>
        <w:t xml:space="preserve"> to </w:t>
      </w:r>
      <w:r w:rsidR="00C159CA" w:rsidRPr="0058398D">
        <w:rPr>
          <w:rFonts w:cs="Arial"/>
          <w:lang w:val="en-IE"/>
        </w:rPr>
        <w:t>Standing Committee on Community Affairs Inquiry into the adequacy of Newstart and alternative mechanisms to determine the level of income support payments in Australia</w:t>
      </w:r>
    </w:p>
    <w:p w14:paraId="6607C509" w14:textId="77777777" w:rsidR="00C159CA" w:rsidRDefault="00C159CA" w:rsidP="00E5281A">
      <w:pPr>
        <w:spacing w:before="120" w:after="120"/>
        <w:rPr>
          <w:rFonts w:ascii="Arial" w:hAnsi="Arial" w:cs="Arial"/>
        </w:rPr>
      </w:pPr>
    </w:p>
    <w:p w14:paraId="1C9363CA" w14:textId="3BFF7E2A" w:rsidR="00D219D6" w:rsidRDefault="00D219D6" w:rsidP="00E5281A">
      <w:pPr>
        <w:spacing w:before="120" w:after="120"/>
        <w:rPr>
          <w:rFonts w:ascii="Arial" w:hAnsi="Arial" w:cs="Arial"/>
        </w:rPr>
      </w:pPr>
    </w:p>
    <w:p w14:paraId="5397F86F" w14:textId="77777777" w:rsidR="00D219D6" w:rsidRDefault="00D219D6" w:rsidP="00E5281A">
      <w:pPr>
        <w:spacing w:before="120" w:after="120"/>
        <w:rPr>
          <w:rFonts w:ascii="Arial" w:hAnsi="Arial" w:cs="Arial"/>
        </w:rPr>
      </w:pPr>
    </w:p>
    <w:p w14:paraId="0FCCBC30" w14:textId="77777777" w:rsidR="00D219D6" w:rsidRDefault="00D219D6" w:rsidP="00E5281A">
      <w:pPr>
        <w:spacing w:before="120" w:after="120"/>
        <w:rPr>
          <w:rFonts w:ascii="Arial" w:hAnsi="Arial" w:cs="Arial"/>
        </w:rPr>
      </w:pPr>
    </w:p>
    <w:p w14:paraId="0F9C8B02" w14:textId="2B650050" w:rsidR="00D219D6" w:rsidRPr="00E5281A" w:rsidRDefault="00D219D6" w:rsidP="00D219D6">
      <w:pPr>
        <w:pStyle w:val="Heading3"/>
        <w:sectPr w:rsidR="00D219D6" w:rsidRPr="00E5281A" w:rsidSect="00CD4D83">
          <w:footerReference w:type="default" r:id="rId26"/>
          <w:endnotePr>
            <w:numFmt w:val="decimal"/>
          </w:endnotePr>
          <w:pgSz w:w="11906" w:h="16838" w:code="9"/>
          <w:pgMar w:top="1701" w:right="1134" w:bottom="1928" w:left="1134" w:header="284" w:footer="510" w:gutter="0"/>
          <w:cols w:space="708"/>
          <w:docGrid w:linePitch="360"/>
        </w:sectPr>
      </w:pPr>
      <w:bookmarkStart w:id="34" w:name="_Toc126321592"/>
      <w:r>
        <w:lastRenderedPageBreak/>
        <w:t>E</w:t>
      </w:r>
      <w:r w:rsidR="00B83309">
        <w:t>ndnotes</w:t>
      </w:r>
      <w:bookmarkEnd w:id="34"/>
    </w:p>
    <w:p w14:paraId="5960C641" w14:textId="4895B720"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62848" behindDoc="1" locked="1" layoutInCell="1" allowOverlap="1" wp14:anchorId="0A0E0F67" wp14:editId="587195BE">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28"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7DEDEA8"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29" w:history="1">
        <w:r w:rsidR="00240EE7" w:rsidRPr="00943B90">
          <w:rPr>
            <w:rStyle w:val="Hyperlink"/>
            <w:rFonts w:cstheme="minorHAnsi"/>
            <w:bCs/>
            <w:szCs w:val="20"/>
          </w:rPr>
          <w:t>pwd@pwd.org.au</w:t>
        </w:r>
      </w:hyperlink>
      <w:r w:rsidR="00E020C6">
        <w:rPr>
          <w:rStyle w:val="Hyperlink"/>
          <w:rFonts w:cstheme="minorHAnsi"/>
          <w:bCs/>
          <w:szCs w:val="20"/>
        </w:rPr>
        <w:t xml:space="preserve"> </w:t>
      </w:r>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3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2D17" w14:textId="77777777" w:rsidR="0001621D" w:rsidRDefault="0001621D" w:rsidP="00F1283C">
      <w:pPr>
        <w:spacing w:after="0" w:line="240" w:lineRule="auto"/>
      </w:pPr>
      <w:r>
        <w:separator/>
      </w:r>
    </w:p>
  </w:endnote>
  <w:endnote w:type="continuationSeparator" w:id="0">
    <w:p w14:paraId="78CC09E3" w14:textId="77777777" w:rsidR="0001621D" w:rsidRDefault="0001621D" w:rsidP="00F1283C">
      <w:pPr>
        <w:spacing w:after="0" w:line="240" w:lineRule="auto"/>
      </w:pPr>
      <w:r>
        <w:continuationSeparator/>
      </w:r>
    </w:p>
  </w:endnote>
  <w:endnote w:id="1">
    <w:p w14:paraId="12A989CD" w14:textId="36576D66" w:rsidR="00D22572" w:rsidRPr="0058398D" w:rsidRDefault="00D22572" w:rsidP="005C214B">
      <w:pPr>
        <w:pStyle w:val="EndnoteText"/>
      </w:pPr>
      <w:r w:rsidRPr="0058398D">
        <w:rPr>
          <w:rStyle w:val="EndnoteReference"/>
        </w:rPr>
        <w:endnoteRef/>
      </w:r>
      <w:r w:rsidRPr="0058398D">
        <w:t xml:space="preserve"> Australian Institute of Health and Welfare (AIHW), </w:t>
      </w:r>
      <w:hyperlink r:id="rId1" w:history="1">
        <w:r w:rsidRPr="0058398D">
          <w:rPr>
            <w:rStyle w:val="Hyperlink"/>
          </w:rPr>
          <w:t>The Geography of disability and economic disadvantage in Australian capital cities</w:t>
        </w:r>
      </w:hyperlink>
      <w:r w:rsidRPr="0058398D">
        <w:t xml:space="preserve">, AIHW, Australian Government, 2009, accessed 4 January 2023; AIHW, </w:t>
      </w:r>
      <w:hyperlink r:id="rId2" w:history="1">
        <w:r w:rsidRPr="0058398D">
          <w:rPr>
            <w:rStyle w:val="Hyperlink"/>
          </w:rPr>
          <w:t>People with disability in Australia (income and finance)</w:t>
        </w:r>
      </w:hyperlink>
      <w:r w:rsidRPr="0058398D">
        <w:t xml:space="preserve">, </w:t>
      </w:r>
      <w:bookmarkStart w:id="24" w:name="_Hlk123743660"/>
      <w:r w:rsidRPr="0058398D">
        <w:t>AIHW, Australian Government, 2022, accessed 4 January 2023; Organisation for Economic Co-operation and Development</w:t>
      </w:r>
      <w:bookmarkEnd w:id="24"/>
      <w:r w:rsidRPr="0058398D">
        <w:t xml:space="preserve"> (OECD), </w:t>
      </w:r>
      <w:hyperlink r:id="rId3" w:history="1">
        <w:r w:rsidRPr="0058398D">
          <w:rPr>
            <w:rStyle w:val="Hyperlink"/>
          </w:rPr>
          <w:t>Sickness, disability and work: breaking the barriers</w:t>
        </w:r>
      </w:hyperlink>
      <w:r w:rsidRPr="0058398D">
        <w:rPr>
          <w:rStyle w:val="Hyperlink"/>
        </w:rPr>
        <w:t>; a synthesis of findings across OECD countries</w:t>
      </w:r>
      <w:r w:rsidRPr="0058398D">
        <w:t>, OECD Publishing, 2010, accessed 4 January 2023</w:t>
      </w:r>
      <w:r w:rsidR="00435956">
        <w:t xml:space="preserve">; Australian Council </w:t>
      </w:r>
      <w:r w:rsidR="00456C80">
        <w:t>of</w:t>
      </w:r>
      <w:r w:rsidR="00435956">
        <w:t xml:space="preserve"> Social Service (ACOSS) and University of New South Wales (UNSW), </w:t>
      </w:r>
      <w:hyperlink r:id="rId4" w:history="1">
        <w:r w:rsidR="00435956" w:rsidRPr="006B4BBF">
          <w:rPr>
            <w:rStyle w:val="Hyperlink"/>
          </w:rPr>
          <w:t>Rate of poverty by income support payment</w:t>
        </w:r>
      </w:hyperlink>
      <w:r w:rsidR="00435956">
        <w:t>, ACOSS and UNSW</w:t>
      </w:r>
      <w:r w:rsidR="006B4BBF">
        <w:t xml:space="preserve"> (n.d.), accessed 3 February 2023</w:t>
      </w:r>
      <w:r w:rsidRPr="0058398D">
        <w:t>.</w:t>
      </w:r>
      <w:r w:rsidRPr="0058398D">
        <w:rPr>
          <w:b/>
          <w:bCs/>
          <w:highlight w:val="yellow"/>
        </w:rPr>
        <w:t xml:space="preserve"> </w:t>
      </w:r>
    </w:p>
  </w:endnote>
  <w:endnote w:id="2">
    <w:p w14:paraId="0D182E2E" w14:textId="77777777" w:rsidR="00D22572" w:rsidRPr="0058398D" w:rsidRDefault="00D22572" w:rsidP="005C214B">
      <w:pPr>
        <w:pStyle w:val="EndnoteText"/>
        <w:rPr>
          <w:lang w:val="en-IE"/>
        </w:rPr>
      </w:pPr>
      <w:r w:rsidRPr="0058398D">
        <w:rPr>
          <w:rStyle w:val="EndnoteReference"/>
        </w:rPr>
        <w:endnoteRef/>
      </w:r>
      <w:r w:rsidRPr="0058398D">
        <w:t xml:space="preserve"> </w:t>
      </w:r>
      <w:bookmarkStart w:id="25" w:name="_Hlk123897126"/>
      <w:r w:rsidRPr="0058398D">
        <w:rPr>
          <w:lang w:val="en-IE"/>
        </w:rPr>
        <w:t>OECD</w:t>
      </w:r>
      <w:bookmarkEnd w:id="25"/>
      <w:r w:rsidRPr="0058398D">
        <w:rPr>
          <w:lang w:val="en-IE"/>
        </w:rPr>
        <w:t xml:space="preserve">, </w:t>
      </w:r>
      <w:hyperlink r:id="rId5" w:history="1">
        <w:r w:rsidRPr="0058398D">
          <w:rPr>
            <w:rStyle w:val="Hyperlink"/>
            <w:lang w:val="en-IE"/>
          </w:rPr>
          <w:t>Society at a glance 2014: OECD Social indicators</w:t>
        </w:r>
      </w:hyperlink>
      <w:r w:rsidRPr="0058398D">
        <w:rPr>
          <w:lang w:val="en-IE"/>
        </w:rPr>
        <w:t>, OECD Publishing, 2014, accessed 6 January 2023.</w:t>
      </w:r>
    </w:p>
  </w:endnote>
  <w:endnote w:id="3">
    <w:p w14:paraId="4E675D6B" w14:textId="77777777" w:rsidR="001B245A" w:rsidRPr="0058398D" w:rsidRDefault="001B245A" w:rsidP="001B245A">
      <w:pPr>
        <w:pStyle w:val="EndnoteText"/>
        <w:rPr>
          <w:lang w:val="en-IE"/>
        </w:rPr>
      </w:pPr>
      <w:r w:rsidRPr="0058398D">
        <w:rPr>
          <w:rStyle w:val="EndnoteReference"/>
        </w:rPr>
        <w:endnoteRef/>
      </w:r>
      <w:r w:rsidRPr="0058398D">
        <w:t xml:space="preserve"> </w:t>
      </w:r>
      <w:r w:rsidRPr="0058398D">
        <w:rPr>
          <w:lang w:val="en-IE"/>
        </w:rPr>
        <w:t>OECD (2010)</w:t>
      </w:r>
    </w:p>
  </w:endnote>
  <w:endnote w:id="4">
    <w:p w14:paraId="4E1614B6" w14:textId="77777777" w:rsidR="00D22572" w:rsidRPr="0058398D" w:rsidRDefault="00D22572" w:rsidP="005C214B">
      <w:pPr>
        <w:pStyle w:val="EndnoteText"/>
        <w:rPr>
          <w:lang w:val="en-IE"/>
        </w:rPr>
      </w:pPr>
      <w:r w:rsidRPr="0058398D">
        <w:rPr>
          <w:rStyle w:val="EndnoteReference"/>
        </w:rPr>
        <w:endnoteRef/>
      </w:r>
      <w:r w:rsidRPr="0058398D">
        <w:t xml:space="preserve"> Australian Government Productivity Commission, </w:t>
      </w:r>
      <w:hyperlink r:id="rId6" w:history="1">
        <w:r w:rsidRPr="0058398D">
          <w:rPr>
            <w:rStyle w:val="Hyperlink"/>
          </w:rPr>
          <w:t>Deep and persistent disadvantage in Australia: productivity commission staff working paper</w:t>
        </w:r>
      </w:hyperlink>
      <w:r w:rsidRPr="0058398D">
        <w:t>, prepared by Rosalie McLachlan, Geoff Gilfillan and Jenny Gordon, Australian Government, 2013, accessed 4 January 2023. </w:t>
      </w:r>
    </w:p>
  </w:endnote>
  <w:endnote w:id="5">
    <w:p w14:paraId="402570D8" w14:textId="77777777" w:rsidR="00D22572" w:rsidRPr="0058398D" w:rsidRDefault="00D22572" w:rsidP="005C214B">
      <w:pPr>
        <w:pStyle w:val="EndnoteText"/>
        <w:rPr>
          <w:lang w:val="en-IE"/>
        </w:rPr>
      </w:pPr>
      <w:r w:rsidRPr="0058398D">
        <w:rPr>
          <w:rStyle w:val="EndnoteReference"/>
        </w:rPr>
        <w:endnoteRef/>
      </w:r>
      <w:r w:rsidRPr="0058398D">
        <w:t xml:space="preserve"> OECD, </w:t>
      </w:r>
      <w:hyperlink r:id="rId7" w:history="1">
        <w:r w:rsidRPr="0058398D">
          <w:rPr>
            <w:rStyle w:val="Hyperlink"/>
          </w:rPr>
          <w:t>Disability, work and inclusion</w:t>
        </w:r>
      </w:hyperlink>
      <w:r w:rsidRPr="0058398D">
        <w:rPr>
          <w:rStyle w:val="Hyperlink"/>
        </w:rPr>
        <w:t>; mainstreaming in all policies and practices</w:t>
      </w:r>
      <w:r w:rsidRPr="0058398D">
        <w:t>, OECD Publishing, 2022, accessed 4 January 2023.</w:t>
      </w:r>
    </w:p>
  </w:endnote>
  <w:endnote w:id="6">
    <w:p w14:paraId="7766E96E" w14:textId="77777777" w:rsidR="00D22572" w:rsidRPr="0058398D" w:rsidRDefault="00D22572" w:rsidP="005C214B">
      <w:pPr>
        <w:pStyle w:val="EndnoteText"/>
        <w:rPr>
          <w:lang w:val="en-IE"/>
        </w:rPr>
      </w:pPr>
      <w:r w:rsidRPr="0058398D">
        <w:rPr>
          <w:rStyle w:val="EndnoteReference"/>
        </w:rPr>
        <w:endnoteRef/>
      </w:r>
      <w:r w:rsidRPr="0058398D">
        <w:t xml:space="preserve"> AIHW, </w:t>
      </w:r>
      <w:hyperlink r:id="rId8" w:history="1">
        <w:r w:rsidRPr="0058398D">
          <w:rPr>
            <w:rStyle w:val="Hyperlink"/>
          </w:rPr>
          <w:t>People with disability in Australia (housing)</w:t>
        </w:r>
      </w:hyperlink>
      <w:r w:rsidRPr="0058398D">
        <w:t>, AIHW, Australian Government, 2022, accessed 5 January 2023.</w:t>
      </w:r>
    </w:p>
  </w:endnote>
  <w:endnote w:id="7">
    <w:p w14:paraId="0F2857B7" w14:textId="491009B6" w:rsidR="0058398D" w:rsidRPr="0058398D" w:rsidRDefault="0058398D">
      <w:pPr>
        <w:pStyle w:val="EndnoteText"/>
      </w:pPr>
      <w:r w:rsidRPr="0058398D">
        <w:rPr>
          <w:rStyle w:val="EndnoteReference"/>
        </w:rPr>
        <w:endnoteRef/>
      </w:r>
      <w:r w:rsidRPr="0058398D">
        <w:t xml:space="preserve"> </w:t>
      </w:r>
      <w:r w:rsidRPr="0058398D">
        <w:rPr>
          <w:rFonts w:cstheme="minorHAnsi"/>
        </w:rPr>
        <w:t xml:space="preserve">Senate Community Affairs Reference Committee, ‘Chapter 3: Lived experience of violence, abuse and neglect’, </w:t>
      </w:r>
      <w:hyperlink r:id="rId9" w:history="1">
        <w:r w:rsidRPr="0058398D">
          <w:rPr>
            <w:rStyle w:val="Hyperlink"/>
            <w:rFonts w:cstheme="minorHAns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58398D">
        <w:rPr>
          <w:rFonts w:cstheme="minorHAnsi"/>
        </w:rPr>
        <w:t>,</w:t>
      </w:r>
      <w:r w:rsidRPr="0058398D">
        <w:rPr>
          <w:rFonts w:cstheme="minorHAnsi"/>
          <w:i/>
          <w:iCs/>
        </w:rPr>
        <w:t xml:space="preserve"> </w:t>
      </w:r>
      <w:r w:rsidRPr="0058398D">
        <w:rPr>
          <w:rFonts w:cstheme="minorHAnsi"/>
        </w:rPr>
        <w:t xml:space="preserve">November 2015, accessed 25 January 2023. </w:t>
      </w:r>
    </w:p>
  </w:endnote>
  <w:endnote w:id="8">
    <w:p w14:paraId="42160E6E" w14:textId="77777777" w:rsidR="00D22572" w:rsidRPr="0058398D" w:rsidRDefault="00D22572" w:rsidP="005C214B">
      <w:pPr>
        <w:pStyle w:val="EndnoteText"/>
      </w:pPr>
      <w:r w:rsidRPr="0058398D">
        <w:rPr>
          <w:rStyle w:val="EndnoteReference"/>
        </w:rPr>
        <w:endnoteRef/>
      </w:r>
      <w:r w:rsidRPr="0058398D">
        <w:t xml:space="preserve"> AIHW, </w:t>
      </w:r>
      <w:hyperlink r:id="rId10" w:history="1">
        <w:r w:rsidRPr="0058398D">
          <w:rPr>
            <w:rStyle w:val="Hyperlink"/>
          </w:rPr>
          <w:t>People with disability in Australia 2019: in brief</w:t>
        </w:r>
      </w:hyperlink>
      <w:r w:rsidRPr="0058398D">
        <w:t>, AIHW, Australian Government, 2019, accessed 9 January 2023.</w:t>
      </w:r>
    </w:p>
  </w:endnote>
  <w:endnote w:id="9">
    <w:p w14:paraId="63347A56" w14:textId="77777777" w:rsidR="00D22572" w:rsidRPr="0058398D" w:rsidRDefault="00D22572" w:rsidP="005C214B">
      <w:pPr>
        <w:pStyle w:val="EndnoteText"/>
        <w:rPr>
          <w:lang w:val="en-IE"/>
        </w:rPr>
      </w:pPr>
      <w:r w:rsidRPr="0058398D">
        <w:rPr>
          <w:rStyle w:val="EndnoteReference"/>
        </w:rPr>
        <w:endnoteRef/>
      </w:r>
      <w:r w:rsidRPr="0058398D">
        <w:t xml:space="preserve"> </w:t>
      </w:r>
      <w:bookmarkStart w:id="26" w:name="_Hlk123897401"/>
      <w:r w:rsidRPr="0058398D">
        <w:t>AIHW</w:t>
      </w:r>
      <w:bookmarkEnd w:id="26"/>
      <w:r w:rsidRPr="0058398D">
        <w:t xml:space="preserve">, </w:t>
      </w:r>
      <w:hyperlink r:id="rId11" w:history="1">
        <w:r w:rsidRPr="0058398D">
          <w:rPr>
            <w:rStyle w:val="Hyperlink"/>
          </w:rPr>
          <w:t>People with disability in Australia (health)</w:t>
        </w:r>
      </w:hyperlink>
      <w:r w:rsidRPr="0058398D">
        <w:t>, AIHW, Australian Government, 2022, accessed 5 January 2023.</w:t>
      </w:r>
    </w:p>
  </w:endnote>
  <w:endnote w:id="10">
    <w:p w14:paraId="6F46100D" w14:textId="77777777" w:rsidR="00D22572" w:rsidRPr="0058398D" w:rsidRDefault="00D22572" w:rsidP="005C214B">
      <w:pPr>
        <w:pStyle w:val="EndnoteText"/>
        <w:rPr>
          <w:lang w:val="en-IE"/>
        </w:rPr>
      </w:pPr>
      <w:r w:rsidRPr="0058398D">
        <w:rPr>
          <w:rStyle w:val="EndnoteReference"/>
        </w:rPr>
        <w:endnoteRef/>
      </w:r>
      <w:r w:rsidRPr="0058398D">
        <w:t xml:space="preserve"> VicHealth, </w:t>
      </w:r>
      <w:hyperlink r:id="rId12" w:history="1">
        <w:r w:rsidRPr="0058398D">
          <w:rPr>
            <w:rStyle w:val="Hyperlink"/>
          </w:rPr>
          <w:t>Disability and health inequalities in Australia: research summary</w:t>
        </w:r>
      </w:hyperlink>
      <w:r w:rsidRPr="0058398D">
        <w:t>, VicHealth, Victorian Government, n.d., accessed 6 January 2023</w:t>
      </w:r>
    </w:p>
  </w:endnote>
  <w:endnote w:id="11">
    <w:p w14:paraId="6DE2C89E" w14:textId="77777777" w:rsidR="00D22572" w:rsidRPr="0058398D" w:rsidRDefault="00D22572" w:rsidP="005C214B">
      <w:pPr>
        <w:pStyle w:val="EndnoteText"/>
        <w:rPr>
          <w:lang w:val="en-IE"/>
        </w:rPr>
      </w:pPr>
      <w:r w:rsidRPr="0058398D">
        <w:rPr>
          <w:rStyle w:val="EndnoteReference"/>
        </w:rPr>
        <w:endnoteRef/>
      </w:r>
      <w:r w:rsidRPr="0058398D">
        <w:t xml:space="preserve"> </w:t>
      </w:r>
      <w:r w:rsidRPr="0058398D">
        <w:rPr>
          <w:lang w:val="en-IE"/>
        </w:rPr>
        <w:t>AIHW (2019)</w:t>
      </w:r>
    </w:p>
  </w:endnote>
  <w:endnote w:id="12">
    <w:p w14:paraId="30374604" w14:textId="77777777" w:rsidR="00D22572" w:rsidRPr="0058398D" w:rsidRDefault="00D22572" w:rsidP="005C214B">
      <w:pPr>
        <w:pStyle w:val="EndnoteText"/>
        <w:rPr>
          <w:lang w:val="en-IE"/>
        </w:rPr>
      </w:pPr>
      <w:r w:rsidRPr="0058398D">
        <w:rPr>
          <w:rStyle w:val="EndnoteReference"/>
        </w:rPr>
        <w:endnoteRef/>
      </w:r>
      <w:r w:rsidRPr="0058398D">
        <w:t xml:space="preserve"> </w:t>
      </w:r>
      <w:r w:rsidRPr="0058398D">
        <w:rPr>
          <w:lang w:val="en-IE"/>
        </w:rPr>
        <w:t>OECD (2022)</w:t>
      </w:r>
    </w:p>
  </w:endnote>
  <w:endnote w:id="13">
    <w:p w14:paraId="5385E197" w14:textId="77777777" w:rsidR="00D22572" w:rsidRPr="0058398D" w:rsidRDefault="00D22572" w:rsidP="005C214B">
      <w:pPr>
        <w:pStyle w:val="EndnoteText"/>
        <w:rPr>
          <w:lang w:val="en-IE"/>
        </w:rPr>
      </w:pPr>
      <w:r w:rsidRPr="0058398D">
        <w:rPr>
          <w:rStyle w:val="EndnoteReference"/>
        </w:rPr>
        <w:endnoteRef/>
      </w:r>
      <w:r w:rsidRPr="0058398D">
        <w:t xml:space="preserve"> </w:t>
      </w:r>
      <w:bookmarkStart w:id="27" w:name="_Hlk123896649"/>
      <w:r w:rsidRPr="0058398D">
        <w:t xml:space="preserve">AIHW, </w:t>
      </w:r>
      <w:hyperlink r:id="rId13" w:history="1">
        <w:r w:rsidRPr="0058398D">
          <w:rPr>
            <w:rStyle w:val="Hyperlink"/>
          </w:rPr>
          <w:t>People with disability in Australia (education and skills)</w:t>
        </w:r>
      </w:hyperlink>
      <w:bookmarkEnd w:id="27"/>
      <w:r w:rsidRPr="0058398D">
        <w:t>, AIHW, Australian Government, 2022, accessed 5 January 2023.</w:t>
      </w:r>
    </w:p>
  </w:endnote>
  <w:endnote w:id="14">
    <w:p w14:paraId="522C4B66" w14:textId="77777777" w:rsidR="00D22572" w:rsidRPr="0058398D" w:rsidRDefault="00D22572" w:rsidP="005C214B">
      <w:pPr>
        <w:pStyle w:val="EndnoteText"/>
        <w:rPr>
          <w:lang w:val="en-IE"/>
        </w:rPr>
      </w:pPr>
      <w:r w:rsidRPr="0058398D">
        <w:rPr>
          <w:rStyle w:val="EndnoteReference"/>
        </w:rPr>
        <w:endnoteRef/>
      </w:r>
      <w:r w:rsidRPr="0058398D">
        <w:t xml:space="preserve"> </w:t>
      </w:r>
      <w:r w:rsidRPr="0058398D">
        <w:rPr>
          <w:lang w:val="en-IE"/>
        </w:rPr>
        <w:t>AIHW (2019)</w:t>
      </w:r>
    </w:p>
  </w:endnote>
  <w:endnote w:id="15">
    <w:p w14:paraId="08557754" w14:textId="77777777" w:rsidR="00D22572" w:rsidRPr="0058398D" w:rsidRDefault="00D22572" w:rsidP="005C214B">
      <w:pPr>
        <w:pStyle w:val="EndnoteText"/>
        <w:rPr>
          <w:highlight w:val="yellow"/>
          <w:lang w:val="en-IE"/>
        </w:rPr>
      </w:pPr>
      <w:r w:rsidRPr="0058398D">
        <w:rPr>
          <w:rStyle w:val="EndnoteReference"/>
        </w:rPr>
        <w:endnoteRef/>
      </w:r>
      <w:r w:rsidRPr="0058398D">
        <w:t xml:space="preserve"> </w:t>
      </w:r>
      <w:r w:rsidRPr="0058398D">
        <w:rPr>
          <w:lang w:val="en-IE"/>
        </w:rPr>
        <w:t xml:space="preserve">Royal Commission into Abuse, Neglect and Exploitation of People with Disability (Royal Commission), </w:t>
      </w:r>
      <w:hyperlink r:id="rId14" w:history="1">
        <w:r w:rsidRPr="0058398D">
          <w:rPr>
            <w:rStyle w:val="Hyperlink"/>
            <w:lang w:val="en-IE"/>
          </w:rPr>
          <w:t>Students with disability face serious barriers accessing safe, quality and inclusive education,</w:t>
        </w:r>
      </w:hyperlink>
      <w:r w:rsidRPr="0058398D">
        <w:rPr>
          <w:lang w:val="en-IE"/>
        </w:rPr>
        <w:t xml:space="preserve"> Royal Commission, 2021, accessed 6 January 2023. </w:t>
      </w:r>
    </w:p>
  </w:endnote>
  <w:endnote w:id="16">
    <w:p w14:paraId="51CF7AE0" w14:textId="77777777" w:rsidR="00D22572" w:rsidRPr="0058398D" w:rsidRDefault="00D22572" w:rsidP="005C214B">
      <w:pPr>
        <w:pStyle w:val="EndnoteText"/>
        <w:rPr>
          <w:lang w:val="en-IE"/>
        </w:rPr>
      </w:pPr>
      <w:r w:rsidRPr="0058398D">
        <w:rPr>
          <w:rStyle w:val="EndnoteReference"/>
        </w:rPr>
        <w:endnoteRef/>
      </w:r>
      <w:r w:rsidRPr="0058398D">
        <w:t xml:space="preserve"> </w:t>
      </w:r>
      <w:r w:rsidRPr="0058398D">
        <w:rPr>
          <w:lang w:val="en-IE"/>
        </w:rPr>
        <w:t>OECD (2014)</w:t>
      </w:r>
    </w:p>
  </w:endnote>
  <w:endnote w:id="17">
    <w:p w14:paraId="1FA9C768" w14:textId="77777777" w:rsidR="00D22572" w:rsidRPr="0058398D" w:rsidRDefault="00D22572" w:rsidP="005C214B">
      <w:pPr>
        <w:pStyle w:val="EndnoteText"/>
        <w:rPr>
          <w:lang w:val="en-IE"/>
        </w:rPr>
      </w:pPr>
      <w:r w:rsidRPr="0058398D">
        <w:rPr>
          <w:rStyle w:val="EndnoteReference"/>
        </w:rPr>
        <w:endnoteRef/>
      </w:r>
      <w:r w:rsidRPr="0058398D">
        <w:t xml:space="preserve"> </w:t>
      </w:r>
      <w:bookmarkStart w:id="28" w:name="_Hlk123896582"/>
      <w:r w:rsidRPr="0058398D">
        <w:t xml:space="preserve">AIHW, </w:t>
      </w:r>
      <w:hyperlink r:id="rId15" w:history="1">
        <w:r w:rsidRPr="0058398D">
          <w:rPr>
            <w:rStyle w:val="Hyperlink"/>
          </w:rPr>
          <w:t>People with disability in Australia (income support)</w:t>
        </w:r>
      </w:hyperlink>
      <w:bookmarkEnd w:id="28"/>
      <w:r w:rsidRPr="0058398D">
        <w:t>, AIHW, Australian Government, 2022, accessed 5 January 23.</w:t>
      </w:r>
    </w:p>
  </w:endnote>
  <w:endnote w:id="18">
    <w:p w14:paraId="4F53A710" w14:textId="77777777" w:rsidR="00D22572" w:rsidRPr="00EF1C0C" w:rsidRDefault="00D22572" w:rsidP="005C214B">
      <w:pPr>
        <w:pStyle w:val="recipientaddress"/>
        <w:rPr>
          <w:b/>
          <w:bCs/>
          <w:sz w:val="20"/>
          <w:szCs w:val="20"/>
          <w:highlight w:val="yellow"/>
        </w:rPr>
      </w:pPr>
      <w:r w:rsidRPr="0058398D">
        <w:rPr>
          <w:rStyle w:val="EndnoteReference"/>
          <w:sz w:val="20"/>
          <w:szCs w:val="20"/>
        </w:rPr>
        <w:endnoteRef/>
      </w:r>
      <w:r w:rsidRPr="0058398D">
        <w:rPr>
          <w:sz w:val="20"/>
          <w:szCs w:val="20"/>
        </w:rPr>
        <w:t xml:space="preserve"> Australian Federation of Disability Organisations (AFDO), </w:t>
      </w:r>
      <w:hyperlink r:id="rId16" w:history="1">
        <w:r w:rsidRPr="0058398D">
          <w:rPr>
            <w:rStyle w:val="Hyperlink"/>
            <w:sz w:val="20"/>
            <w:szCs w:val="20"/>
          </w:rPr>
          <w:t>Poverty and disability: fast facts</w:t>
        </w:r>
      </w:hyperlink>
      <w:r w:rsidRPr="0058398D">
        <w:rPr>
          <w:sz w:val="20"/>
          <w:szCs w:val="20"/>
        </w:rPr>
        <w:t>, AFDO, n.d., accessed 6 January 2023.</w:t>
      </w:r>
      <w:r w:rsidRPr="00EF1C0C">
        <w:rPr>
          <w:b/>
          <w:bCs/>
          <w:sz w:val="20"/>
          <w:szCs w:val="20"/>
          <w:highlight w:val="yello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97E6" w14:textId="77777777" w:rsidR="00E51FE8" w:rsidRDefault="00E51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4B00D8FE"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7216"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2D4A" w14:textId="77777777" w:rsidR="00E51FE8" w:rsidRDefault="00E51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771EC456" w:rsidR="00AF4139" w:rsidRDefault="00AF4139" w:rsidP="001C3534">
    <w:pPr>
      <w:pStyle w:val="Footer"/>
      <w:tabs>
        <w:tab w:val="clear" w:pos="4680"/>
        <w:tab w:val="clear" w:pos="9360"/>
        <w:tab w:val="right" w:pos="8505"/>
        <w:tab w:val="right" w:pos="9639"/>
      </w:tabs>
      <w:jc w:val="right"/>
    </w:pPr>
    <w:r>
      <w:rPr>
        <w:noProof/>
        <w:lang w:eastAsia="en-AU"/>
      </w:rPr>
      <w:drawing>
        <wp:inline distT="0" distB="0" distL="0" distR="0" wp14:anchorId="098107C3" wp14:editId="36136795">
          <wp:extent cx="468000" cy="496036"/>
          <wp:effectExtent l="0" t="0" r="8255"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1C3534">
      <w:rPr>
        <w:rFonts w:asciiTheme="minorHAnsi" w:hAnsiTheme="minorHAnsi" w:cstheme="minorHAnsi"/>
        <w:noProof/>
      </w:rPr>
      <w:t xml:space="preserve">Vision for Realising Our Human Rights </w:t>
    </w:r>
    <w:r w:rsidR="001C3534" w:rsidRPr="0016209B">
      <w:rPr>
        <w:rFonts w:asciiTheme="minorHAnsi" w:hAnsiTheme="minorHAnsi" w:cstheme="minorHAnsi"/>
      </w:rPr>
      <w:t xml:space="preserve"> </w:t>
    </w:r>
    <w:r w:rsidR="001C3534">
      <w:rPr>
        <w:rFonts w:asciiTheme="minorHAnsi" w:hAnsiTheme="minorHAnsi" w:cstheme="minorHAnsi"/>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73E1" w14:textId="77777777" w:rsidR="0001621D" w:rsidRDefault="0001621D" w:rsidP="00F1283C">
      <w:pPr>
        <w:spacing w:after="0" w:line="240" w:lineRule="auto"/>
      </w:pPr>
      <w:r>
        <w:separator/>
      </w:r>
    </w:p>
  </w:footnote>
  <w:footnote w:type="continuationSeparator" w:id="0">
    <w:p w14:paraId="4E166641" w14:textId="77777777" w:rsidR="0001621D" w:rsidRDefault="0001621D"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C4B2" w14:textId="77777777" w:rsidR="00E51FE8" w:rsidRDefault="00E5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C2E2" w14:textId="10CE4141" w:rsidR="00E51FE8" w:rsidRDefault="00E51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7D6C" w14:textId="77777777" w:rsidR="00E51FE8" w:rsidRDefault="00E51F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0BB13823"/>
    <w:multiLevelType w:val="hybridMultilevel"/>
    <w:tmpl w:val="1F288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556C9"/>
    <w:multiLevelType w:val="hybridMultilevel"/>
    <w:tmpl w:val="2D464E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D71F9A"/>
    <w:multiLevelType w:val="hybridMultilevel"/>
    <w:tmpl w:val="31DE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873497"/>
    <w:multiLevelType w:val="multilevel"/>
    <w:tmpl w:val="3F002D38"/>
    <w:name w:val="PWDA_Bullets2"/>
    <w:numStyleLink w:val="PWDABullets"/>
  </w:abstractNum>
  <w:abstractNum w:abstractNumId="7" w15:restartNumberingAfterBreak="0">
    <w:nsid w:val="20551492"/>
    <w:multiLevelType w:val="hybridMultilevel"/>
    <w:tmpl w:val="C242F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9E7455"/>
    <w:multiLevelType w:val="hybridMultilevel"/>
    <w:tmpl w:val="4F4212F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0"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25507C"/>
    <w:multiLevelType w:val="hybridMultilevel"/>
    <w:tmpl w:val="92B812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724EF9"/>
    <w:multiLevelType w:val="hybridMultilevel"/>
    <w:tmpl w:val="C696E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5C11668"/>
    <w:multiLevelType w:val="hybridMultilevel"/>
    <w:tmpl w:val="A300A46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7F0AF5"/>
    <w:multiLevelType w:val="hybridMultilevel"/>
    <w:tmpl w:val="1C74E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A83747"/>
    <w:multiLevelType w:val="hybridMultilevel"/>
    <w:tmpl w:val="997A6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7E57AB"/>
    <w:multiLevelType w:val="hybridMultilevel"/>
    <w:tmpl w:val="2766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64598"/>
    <w:multiLevelType w:val="hybridMultilevel"/>
    <w:tmpl w:val="48AA1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9F1C15"/>
    <w:multiLevelType w:val="hybridMultilevel"/>
    <w:tmpl w:val="14BE4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3D0E99"/>
    <w:multiLevelType w:val="hybridMultilevel"/>
    <w:tmpl w:val="1D0A7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9"/>
  </w:num>
  <w:num w:numId="2" w16cid:durableId="1383677892">
    <w:abstractNumId w:val="0"/>
  </w:num>
  <w:num w:numId="3" w16cid:durableId="1588730485">
    <w:abstractNumId w:val="5"/>
  </w:num>
  <w:num w:numId="4" w16cid:durableId="1461730697">
    <w:abstractNumId w:val="24"/>
  </w:num>
  <w:num w:numId="5" w16cid:durableId="682515836">
    <w:abstractNumId w:val="10"/>
  </w:num>
  <w:num w:numId="6" w16cid:durableId="1632325700">
    <w:abstractNumId w:val="2"/>
  </w:num>
  <w:num w:numId="7" w16cid:durableId="644118729">
    <w:abstractNumId w:val="22"/>
  </w:num>
  <w:num w:numId="8" w16cid:durableId="497579325">
    <w:abstractNumId w:val="16"/>
  </w:num>
  <w:num w:numId="9" w16cid:durableId="544678651">
    <w:abstractNumId w:val="12"/>
  </w:num>
  <w:num w:numId="10" w16cid:durableId="240144165">
    <w:abstractNumId w:val="14"/>
  </w:num>
  <w:num w:numId="11" w16cid:durableId="1350334878">
    <w:abstractNumId w:val="23"/>
  </w:num>
  <w:num w:numId="12" w16cid:durableId="843128933">
    <w:abstractNumId w:val="1"/>
  </w:num>
  <w:num w:numId="13" w16cid:durableId="1112015459">
    <w:abstractNumId w:val="8"/>
  </w:num>
  <w:num w:numId="14" w16cid:durableId="1268852947">
    <w:abstractNumId w:val="20"/>
  </w:num>
  <w:num w:numId="15" w16cid:durableId="1549877887">
    <w:abstractNumId w:val="7"/>
  </w:num>
  <w:num w:numId="16" w16cid:durableId="1395081040">
    <w:abstractNumId w:val="15"/>
  </w:num>
  <w:num w:numId="17" w16cid:durableId="1027833015">
    <w:abstractNumId w:val="13"/>
  </w:num>
  <w:num w:numId="18" w16cid:durableId="1404839758">
    <w:abstractNumId w:val="3"/>
  </w:num>
  <w:num w:numId="19" w16cid:durableId="925768658">
    <w:abstractNumId w:val="21"/>
  </w:num>
  <w:num w:numId="20" w16cid:durableId="1334378600">
    <w:abstractNumId w:val="11"/>
  </w:num>
  <w:num w:numId="21" w16cid:durableId="1761751159">
    <w:abstractNumId w:val="18"/>
  </w:num>
  <w:num w:numId="22" w16cid:durableId="1411461576">
    <w:abstractNumId w:val="19"/>
  </w:num>
  <w:num w:numId="23" w16cid:durableId="433673340">
    <w:abstractNumId w:val="17"/>
  </w:num>
  <w:num w:numId="24" w16cid:durableId="163663914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0FAEcQwjstAAAA"/>
  </w:docVars>
  <w:rsids>
    <w:rsidRoot w:val="00D402C8"/>
    <w:rsid w:val="00000E32"/>
    <w:rsid w:val="00003077"/>
    <w:rsid w:val="00003112"/>
    <w:rsid w:val="00007E0C"/>
    <w:rsid w:val="00011B59"/>
    <w:rsid w:val="00013C30"/>
    <w:rsid w:val="00014092"/>
    <w:rsid w:val="00015058"/>
    <w:rsid w:val="0001621D"/>
    <w:rsid w:val="000171EA"/>
    <w:rsid w:val="0002294E"/>
    <w:rsid w:val="0002393D"/>
    <w:rsid w:val="00023C7C"/>
    <w:rsid w:val="000254A2"/>
    <w:rsid w:val="00033909"/>
    <w:rsid w:val="00033D42"/>
    <w:rsid w:val="0003541F"/>
    <w:rsid w:val="0003779A"/>
    <w:rsid w:val="00041A17"/>
    <w:rsid w:val="00043E96"/>
    <w:rsid w:val="00044041"/>
    <w:rsid w:val="00045BF3"/>
    <w:rsid w:val="000470F4"/>
    <w:rsid w:val="00053D40"/>
    <w:rsid w:val="000574B0"/>
    <w:rsid w:val="000659D1"/>
    <w:rsid w:val="00067167"/>
    <w:rsid w:val="00072059"/>
    <w:rsid w:val="0008014F"/>
    <w:rsid w:val="00083A95"/>
    <w:rsid w:val="00085087"/>
    <w:rsid w:val="0009360F"/>
    <w:rsid w:val="000952BC"/>
    <w:rsid w:val="0009533C"/>
    <w:rsid w:val="000A3A77"/>
    <w:rsid w:val="000A69E6"/>
    <w:rsid w:val="000B16E6"/>
    <w:rsid w:val="000B3536"/>
    <w:rsid w:val="000B5D63"/>
    <w:rsid w:val="000B7E7D"/>
    <w:rsid w:val="000C147C"/>
    <w:rsid w:val="000C6881"/>
    <w:rsid w:val="000D525D"/>
    <w:rsid w:val="000E0BB7"/>
    <w:rsid w:val="000E2282"/>
    <w:rsid w:val="000E296B"/>
    <w:rsid w:val="000E3CEE"/>
    <w:rsid w:val="000E6A39"/>
    <w:rsid w:val="000E7AEA"/>
    <w:rsid w:val="000F029B"/>
    <w:rsid w:val="000F1412"/>
    <w:rsid w:val="000F6CAB"/>
    <w:rsid w:val="00100AF7"/>
    <w:rsid w:val="001025AE"/>
    <w:rsid w:val="001048F2"/>
    <w:rsid w:val="00105867"/>
    <w:rsid w:val="00106472"/>
    <w:rsid w:val="00110481"/>
    <w:rsid w:val="0011098F"/>
    <w:rsid w:val="00112520"/>
    <w:rsid w:val="00113059"/>
    <w:rsid w:val="00113E7C"/>
    <w:rsid w:val="00114AC8"/>
    <w:rsid w:val="001154EB"/>
    <w:rsid w:val="001172A8"/>
    <w:rsid w:val="00120A98"/>
    <w:rsid w:val="001230DF"/>
    <w:rsid w:val="0012328C"/>
    <w:rsid w:val="001234CE"/>
    <w:rsid w:val="00123F5D"/>
    <w:rsid w:val="0012500F"/>
    <w:rsid w:val="00130422"/>
    <w:rsid w:val="00130813"/>
    <w:rsid w:val="001421EA"/>
    <w:rsid w:val="001430C1"/>
    <w:rsid w:val="0015041C"/>
    <w:rsid w:val="001564EF"/>
    <w:rsid w:val="00161179"/>
    <w:rsid w:val="0016209B"/>
    <w:rsid w:val="0016427C"/>
    <w:rsid w:val="00164F55"/>
    <w:rsid w:val="00166927"/>
    <w:rsid w:val="0017439A"/>
    <w:rsid w:val="00175DB8"/>
    <w:rsid w:val="001802A0"/>
    <w:rsid w:val="001805F9"/>
    <w:rsid w:val="001818A8"/>
    <w:rsid w:val="00182010"/>
    <w:rsid w:val="0018424F"/>
    <w:rsid w:val="00184C99"/>
    <w:rsid w:val="00185435"/>
    <w:rsid w:val="001926DC"/>
    <w:rsid w:val="0019713F"/>
    <w:rsid w:val="00197440"/>
    <w:rsid w:val="001A0243"/>
    <w:rsid w:val="001A151F"/>
    <w:rsid w:val="001A2BA7"/>
    <w:rsid w:val="001A3C5D"/>
    <w:rsid w:val="001A4D38"/>
    <w:rsid w:val="001A60E3"/>
    <w:rsid w:val="001A67EB"/>
    <w:rsid w:val="001B0509"/>
    <w:rsid w:val="001B0A96"/>
    <w:rsid w:val="001B1BC1"/>
    <w:rsid w:val="001B1F8B"/>
    <w:rsid w:val="001B2422"/>
    <w:rsid w:val="001B245A"/>
    <w:rsid w:val="001B595B"/>
    <w:rsid w:val="001C3534"/>
    <w:rsid w:val="001C6892"/>
    <w:rsid w:val="001C7BEF"/>
    <w:rsid w:val="001D3467"/>
    <w:rsid w:val="001D7D1D"/>
    <w:rsid w:val="001E22E7"/>
    <w:rsid w:val="001E3286"/>
    <w:rsid w:val="001E3584"/>
    <w:rsid w:val="001E53AF"/>
    <w:rsid w:val="001E6834"/>
    <w:rsid w:val="001F108D"/>
    <w:rsid w:val="001F17EC"/>
    <w:rsid w:val="001F2B1F"/>
    <w:rsid w:val="001F522A"/>
    <w:rsid w:val="001F5464"/>
    <w:rsid w:val="001F558C"/>
    <w:rsid w:val="00201A09"/>
    <w:rsid w:val="002033A1"/>
    <w:rsid w:val="0020340C"/>
    <w:rsid w:val="002106BB"/>
    <w:rsid w:val="0021583F"/>
    <w:rsid w:val="002162A5"/>
    <w:rsid w:val="002211C3"/>
    <w:rsid w:val="00221FA0"/>
    <w:rsid w:val="00222028"/>
    <w:rsid w:val="002230C2"/>
    <w:rsid w:val="002247B2"/>
    <w:rsid w:val="00224E16"/>
    <w:rsid w:val="00226ACA"/>
    <w:rsid w:val="002324CA"/>
    <w:rsid w:val="00232893"/>
    <w:rsid w:val="00234768"/>
    <w:rsid w:val="00237972"/>
    <w:rsid w:val="00240EE7"/>
    <w:rsid w:val="00242422"/>
    <w:rsid w:val="0024256B"/>
    <w:rsid w:val="00243342"/>
    <w:rsid w:val="00243E7F"/>
    <w:rsid w:val="002446AA"/>
    <w:rsid w:val="002455EA"/>
    <w:rsid w:val="00245BC5"/>
    <w:rsid w:val="00251283"/>
    <w:rsid w:val="002521A5"/>
    <w:rsid w:val="00252D00"/>
    <w:rsid w:val="002549F7"/>
    <w:rsid w:val="0025661C"/>
    <w:rsid w:val="00257CE8"/>
    <w:rsid w:val="00261019"/>
    <w:rsid w:val="00264E30"/>
    <w:rsid w:val="00265D3E"/>
    <w:rsid w:val="00266586"/>
    <w:rsid w:val="002668AC"/>
    <w:rsid w:val="00267903"/>
    <w:rsid w:val="00271A43"/>
    <w:rsid w:val="00271CC5"/>
    <w:rsid w:val="002722A3"/>
    <w:rsid w:val="00272DFB"/>
    <w:rsid w:val="00275CCB"/>
    <w:rsid w:val="00275E16"/>
    <w:rsid w:val="00277F81"/>
    <w:rsid w:val="00282AEE"/>
    <w:rsid w:val="00283311"/>
    <w:rsid w:val="00284CEB"/>
    <w:rsid w:val="002863C8"/>
    <w:rsid w:val="00287C66"/>
    <w:rsid w:val="00291B9E"/>
    <w:rsid w:val="002937C8"/>
    <w:rsid w:val="00296AEE"/>
    <w:rsid w:val="002A1218"/>
    <w:rsid w:val="002A18A6"/>
    <w:rsid w:val="002A3485"/>
    <w:rsid w:val="002A4F1A"/>
    <w:rsid w:val="002A558C"/>
    <w:rsid w:val="002B039E"/>
    <w:rsid w:val="002B2B29"/>
    <w:rsid w:val="002B5542"/>
    <w:rsid w:val="002B6DFD"/>
    <w:rsid w:val="002B6FDF"/>
    <w:rsid w:val="002C1670"/>
    <w:rsid w:val="002C22FE"/>
    <w:rsid w:val="002C4B48"/>
    <w:rsid w:val="002C61E5"/>
    <w:rsid w:val="002C6731"/>
    <w:rsid w:val="002C6A88"/>
    <w:rsid w:val="002C71B1"/>
    <w:rsid w:val="002C72E5"/>
    <w:rsid w:val="002C7F8C"/>
    <w:rsid w:val="002D0F85"/>
    <w:rsid w:val="002D1004"/>
    <w:rsid w:val="002D32E8"/>
    <w:rsid w:val="002D4AFF"/>
    <w:rsid w:val="002D75AF"/>
    <w:rsid w:val="002E0331"/>
    <w:rsid w:val="002E1E31"/>
    <w:rsid w:val="002E4D98"/>
    <w:rsid w:val="002E526C"/>
    <w:rsid w:val="002F27C1"/>
    <w:rsid w:val="002F565C"/>
    <w:rsid w:val="002F60EC"/>
    <w:rsid w:val="002F7353"/>
    <w:rsid w:val="00304682"/>
    <w:rsid w:val="00307C65"/>
    <w:rsid w:val="00310308"/>
    <w:rsid w:val="00316E1E"/>
    <w:rsid w:val="00320A93"/>
    <w:rsid w:val="00324F23"/>
    <w:rsid w:val="0032632D"/>
    <w:rsid w:val="003277B6"/>
    <w:rsid w:val="00330365"/>
    <w:rsid w:val="0033198C"/>
    <w:rsid w:val="00334074"/>
    <w:rsid w:val="00334A38"/>
    <w:rsid w:val="003350C0"/>
    <w:rsid w:val="00341121"/>
    <w:rsid w:val="00345EFE"/>
    <w:rsid w:val="003469CC"/>
    <w:rsid w:val="00351AEA"/>
    <w:rsid w:val="00352E71"/>
    <w:rsid w:val="0036142C"/>
    <w:rsid w:val="0036258C"/>
    <w:rsid w:val="003642C3"/>
    <w:rsid w:val="003643AB"/>
    <w:rsid w:val="00364C03"/>
    <w:rsid w:val="003658C6"/>
    <w:rsid w:val="003671DA"/>
    <w:rsid w:val="00367EE2"/>
    <w:rsid w:val="003751A4"/>
    <w:rsid w:val="00382441"/>
    <w:rsid w:val="00382C69"/>
    <w:rsid w:val="003849A1"/>
    <w:rsid w:val="00384BDA"/>
    <w:rsid w:val="00384DD1"/>
    <w:rsid w:val="00384F0C"/>
    <w:rsid w:val="003879BD"/>
    <w:rsid w:val="0039264A"/>
    <w:rsid w:val="003932E7"/>
    <w:rsid w:val="00395BA7"/>
    <w:rsid w:val="003A05F9"/>
    <w:rsid w:val="003A08C5"/>
    <w:rsid w:val="003A0AA2"/>
    <w:rsid w:val="003A1451"/>
    <w:rsid w:val="003A1518"/>
    <w:rsid w:val="003A502B"/>
    <w:rsid w:val="003A6C68"/>
    <w:rsid w:val="003B0491"/>
    <w:rsid w:val="003B2C86"/>
    <w:rsid w:val="003B5C17"/>
    <w:rsid w:val="003C1241"/>
    <w:rsid w:val="003C1AD3"/>
    <w:rsid w:val="003C1F67"/>
    <w:rsid w:val="003C225A"/>
    <w:rsid w:val="003C3976"/>
    <w:rsid w:val="003C3A7B"/>
    <w:rsid w:val="003C3B04"/>
    <w:rsid w:val="003C4198"/>
    <w:rsid w:val="003C682D"/>
    <w:rsid w:val="003D1E46"/>
    <w:rsid w:val="003D38D6"/>
    <w:rsid w:val="003D5880"/>
    <w:rsid w:val="003D5BA1"/>
    <w:rsid w:val="003D64EC"/>
    <w:rsid w:val="003D666B"/>
    <w:rsid w:val="003E5486"/>
    <w:rsid w:val="003F1B9A"/>
    <w:rsid w:val="003F2267"/>
    <w:rsid w:val="003F488C"/>
    <w:rsid w:val="003F5300"/>
    <w:rsid w:val="003F5E46"/>
    <w:rsid w:val="003F7AC3"/>
    <w:rsid w:val="00400E57"/>
    <w:rsid w:val="00402196"/>
    <w:rsid w:val="00402B62"/>
    <w:rsid w:val="004033EF"/>
    <w:rsid w:val="00403AA6"/>
    <w:rsid w:val="00403EC9"/>
    <w:rsid w:val="00413FFB"/>
    <w:rsid w:val="00414752"/>
    <w:rsid w:val="004150B7"/>
    <w:rsid w:val="0041611E"/>
    <w:rsid w:val="00417DEA"/>
    <w:rsid w:val="00420675"/>
    <w:rsid w:val="00423F41"/>
    <w:rsid w:val="0042553A"/>
    <w:rsid w:val="004279EF"/>
    <w:rsid w:val="00427BD4"/>
    <w:rsid w:val="00435956"/>
    <w:rsid w:val="004370E9"/>
    <w:rsid w:val="00440A6F"/>
    <w:rsid w:val="00443754"/>
    <w:rsid w:val="004455B4"/>
    <w:rsid w:val="004455E7"/>
    <w:rsid w:val="00445AEC"/>
    <w:rsid w:val="00446172"/>
    <w:rsid w:val="004478BB"/>
    <w:rsid w:val="00447D23"/>
    <w:rsid w:val="0045046B"/>
    <w:rsid w:val="0045277E"/>
    <w:rsid w:val="0045379B"/>
    <w:rsid w:val="00456C80"/>
    <w:rsid w:val="00457171"/>
    <w:rsid w:val="004577B6"/>
    <w:rsid w:val="00460300"/>
    <w:rsid w:val="004603B3"/>
    <w:rsid w:val="00463445"/>
    <w:rsid w:val="0046384C"/>
    <w:rsid w:val="00463FD0"/>
    <w:rsid w:val="00464845"/>
    <w:rsid w:val="00465230"/>
    <w:rsid w:val="00467A02"/>
    <w:rsid w:val="004712EA"/>
    <w:rsid w:val="00471457"/>
    <w:rsid w:val="004735D8"/>
    <w:rsid w:val="004763DC"/>
    <w:rsid w:val="00476625"/>
    <w:rsid w:val="00477340"/>
    <w:rsid w:val="00480221"/>
    <w:rsid w:val="004807D8"/>
    <w:rsid w:val="00480C11"/>
    <w:rsid w:val="00480FE1"/>
    <w:rsid w:val="0048418C"/>
    <w:rsid w:val="004852AF"/>
    <w:rsid w:val="004863CE"/>
    <w:rsid w:val="004865A0"/>
    <w:rsid w:val="00486D8F"/>
    <w:rsid w:val="004951E5"/>
    <w:rsid w:val="004953A0"/>
    <w:rsid w:val="00496DF2"/>
    <w:rsid w:val="00497143"/>
    <w:rsid w:val="004A0538"/>
    <w:rsid w:val="004A158C"/>
    <w:rsid w:val="004A29B4"/>
    <w:rsid w:val="004B4E74"/>
    <w:rsid w:val="004B7E3D"/>
    <w:rsid w:val="004C34D9"/>
    <w:rsid w:val="004C5976"/>
    <w:rsid w:val="004D39B5"/>
    <w:rsid w:val="004D4980"/>
    <w:rsid w:val="004D4C35"/>
    <w:rsid w:val="004D7717"/>
    <w:rsid w:val="004D7EEE"/>
    <w:rsid w:val="004E62D8"/>
    <w:rsid w:val="004E7BBE"/>
    <w:rsid w:val="004E7EB7"/>
    <w:rsid w:val="004F1BC0"/>
    <w:rsid w:val="004F3CD9"/>
    <w:rsid w:val="004F48F3"/>
    <w:rsid w:val="0050026A"/>
    <w:rsid w:val="00500F25"/>
    <w:rsid w:val="00504EC1"/>
    <w:rsid w:val="0050703D"/>
    <w:rsid w:val="005119D1"/>
    <w:rsid w:val="00520559"/>
    <w:rsid w:val="005212CD"/>
    <w:rsid w:val="00523BDC"/>
    <w:rsid w:val="00523ED7"/>
    <w:rsid w:val="00526D97"/>
    <w:rsid w:val="00530CC4"/>
    <w:rsid w:val="0053774A"/>
    <w:rsid w:val="00541F6C"/>
    <w:rsid w:val="00542657"/>
    <w:rsid w:val="005442F2"/>
    <w:rsid w:val="00546873"/>
    <w:rsid w:val="00546B2A"/>
    <w:rsid w:val="0055011C"/>
    <w:rsid w:val="00553960"/>
    <w:rsid w:val="005573FF"/>
    <w:rsid w:val="00557A6C"/>
    <w:rsid w:val="00560063"/>
    <w:rsid w:val="00561E6C"/>
    <w:rsid w:val="005621F1"/>
    <w:rsid w:val="005633D7"/>
    <w:rsid w:val="005639F0"/>
    <w:rsid w:val="00564927"/>
    <w:rsid w:val="00565ECC"/>
    <w:rsid w:val="00566BBD"/>
    <w:rsid w:val="00567166"/>
    <w:rsid w:val="00573D04"/>
    <w:rsid w:val="00577D64"/>
    <w:rsid w:val="00577FE2"/>
    <w:rsid w:val="00581B0A"/>
    <w:rsid w:val="005829C5"/>
    <w:rsid w:val="005835FE"/>
    <w:rsid w:val="0058363D"/>
    <w:rsid w:val="0058398D"/>
    <w:rsid w:val="0058525B"/>
    <w:rsid w:val="00585437"/>
    <w:rsid w:val="00586B48"/>
    <w:rsid w:val="00586B75"/>
    <w:rsid w:val="005873EC"/>
    <w:rsid w:val="005879C2"/>
    <w:rsid w:val="00587B8F"/>
    <w:rsid w:val="005906C0"/>
    <w:rsid w:val="005916DB"/>
    <w:rsid w:val="0059420C"/>
    <w:rsid w:val="0059617D"/>
    <w:rsid w:val="005969AA"/>
    <w:rsid w:val="005A1098"/>
    <w:rsid w:val="005A2D6A"/>
    <w:rsid w:val="005B32CD"/>
    <w:rsid w:val="005B4E1A"/>
    <w:rsid w:val="005B69A3"/>
    <w:rsid w:val="005B6E1E"/>
    <w:rsid w:val="005B7BDF"/>
    <w:rsid w:val="005C214B"/>
    <w:rsid w:val="005C23D7"/>
    <w:rsid w:val="005C5AA7"/>
    <w:rsid w:val="005C73E6"/>
    <w:rsid w:val="005D04A6"/>
    <w:rsid w:val="005D436E"/>
    <w:rsid w:val="005D685D"/>
    <w:rsid w:val="005D7474"/>
    <w:rsid w:val="005D7540"/>
    <w:rsid w:val="005E2716"/>
    <w:rsid w:val="005E5C76"/>
    <w:rsid w:val="005E66DF"/>
    <w:rsid w:val="005E72A8"/>
    <w:rsid w:val="005E7E71"/>
    <w:rsid w:val="005F660C"/>
    <w:rsid w:val="006022F9"/>
    <w:rsid w:val="00613DC5"/>
    <w:rsid w:val="0061479A"/>
    <w:rsid w:val="00622247"/>
    <w:rsid w:val="006226D8"/>
    <w:rsid w:val="00622CD9"/>
    <w:rsid w:val="00624C09"/>
    <w:rsid w:val="00630678"/>
    <w:rsid w:val="00630A08"/>
    <w:rsid w:val="00632616"/>
    <w:rsid w:val="00633BC3"/>
    <w:rsid w:val="00634320"/>
    <w:rsid w:val="006369C4"/>
    <w:rsid w:val="006371CE"/>
    <w:rsid w:val="00637733"/>
    <w:rsid w:val="006402D8"/>
    <w:rsid w:val="006426D7"/>
    <w:rsid w:val="006428F4"/>
    <w:rsid w:val="006513ED"/>
    <w:rsid w:val="0065468D"/>
    <w:rsid w:val="00660582"/>
    <w:rsid w:val="00663E0F"/>
    <w:rsid w:val="0066438F"/>
    <w:rsid w:val="006652D7"/>
    <w:rsid w:val="006700C2"/>
    <w:rsid w:val="006716B4"/>
    <w:rsid w:val="006722AA"/>
    <w:rsid w:val="00672BA5"/>
    <w:rsid w:val="00673575"/>
    <w:rsid w:val="006741BD"/>
    <w:rsid w:val="006750C0"/>
    <w:rsid w:val="006752FE"/>
    <w:rsid w:val="00677144"/>
    <w:rsid w:val="00680A6E"/>
    <w:rsid w:val="006824C3"/>
    <w:rsid w:val="00683E87"/>
    <w:rsid w:val="006856EB"/>
    <w:rsid w:val="00690E11"/>
    <w:rsid w:val="0069530E"/>
    <w:rsid w:val="0069628F"/>
    <w:rsid w:val="006A3757"/>
    <w:rsid w:val="006A508E"/>
    <w:rsid w:val="006A573C"/>
    <w:rsid w:val="006A5F53"/>
    <w:rsid w:val="006B3D77"/>
    <w:rsid w:val="006B4011"/>
    <w:rsid w:val="006B4BBF"/>
    <w:rsid w:val="006B6C6C"/>
    <w:rsid w:val="006C2FBB"/>
    <w:rsid w:val="006C4AD4"/>
    <w:rsid w:val="006C7285"/>
    <w:rsid w:val="006D2C29"/>
    <w:rsid w:val="006D5717"/>
    <w:rsid w:val="006D7CCE"/>
    <w:rsid w:val="006E48ED"/>
    <w:rsid w:val="006E49BC"/>
    <w:rsid w:val="006E4FE0"/>
    <w:rsid w:val="006E7831"/>
    <w:rsid w:val="006F12F4"/>
    <w:rsid w:val="006F383C"/>
    <w:rsid w:val="006F4209"/>
    <w:rsid w:val="006F4C6F"/>
    <w:rsid w:val="006F57FF"/>
    <w:rsid w:val="006F5E70"/>
    <w:rsid w:val="006F6520"/>
    <w:rsid w:val="0070157C"/>
    <w:rsid w:val="0070161E"/>
    <w:rsid w:val="007017C9"/>
    <w:rsid w:val="0070255E"/>
    <w:rsid w:val="00702F10"/>
    <w:rsid w:val="00703C92"/>
    <w:rsid w:val="007058E4"/>
    <w:rsid w:val="00710223"/>
    <w:rsid w:val="007169B9"/>
    <w:rsid w:val="00723B6A"/>
    <w:rsid w:val="007248CB"/>
    <w:rsid w:val="00724971"/>
    <w:rsid w:val="00724AB0"/>
    <w:rsid w:val="00725D43"/>
    <w:rsid w:val="007263C7"/>
    <w:rsid w:val="00726B43"/>
    <w:rsid w:val="007316B9"/>
    <w:rsid w:val="00731AAB"/>
    <w:rsid w:val="007374CB"/>
    <w:rsid w:val="00740A01"/>
    <w:rsid w:val="00745791"/>
    <w:rsid w:val="007508DC"/>
    <w:rsid w:val="00750F01"/>
    <w:rsid w:val="007554E9"/>
    <w:rsid w:val="0075572D"/>
    <w:rsid w:val="0075624C"/>
    <w:rsid w:val="00756602"/>
    <w:rsid w:val="00756CF0"/>
    <w:rsid w:val="007620B6"/>
    <w:rsid w:val="0076258D"/>
    <w:rsid w:val="00765073"/>
    <w:rsid w:val="00766CD1"/>
    <w:rsid w:val="0076799D"/>
    <w:rsid w:val="00771157"/>
    <w:rsid w:val="0077265D"/>
    <w:rsid w:val="00772AB5"/>
    <w:rsid w:val="00783141"/>
    <w:rsid w:val="00783426"/>
    <w:rsid w:val="00784626"/>
    <w:rsid w:val="0078533B"/>
    <w:rsid w:val="007914D2"/>
    <w:rsid w:val="0079265C"/>
    <w:rsid w:val="00793F88"/>
    <w:rsid w:val="00795D85"/>
    <w:rsid w:val="007969F1"/>
    <w:rsid w:val="007A25DB"/>
    <w:rsid w:val="007A4B0D"/>
    <w:rsid w:val="007A4C27"/>
    <w:rsid w:val="007A4F37"/>
    <w:rsid w:val="007A5015"/>
    <w:rsid w:val="007B2435"/>
    <w:rsid w:val="007B4B89"/>
    <w:rsid w:val="007B5F83"/>
    <w:rsid w:val="007B644C"/>
    <w:rsid w:val="007B6EDD"/>
    <w:rsid w:val="007B77CB"/>
    <w:rsid w:val="007C05C0"/>
    <w:rsid w:val="007C67DD"/>
    <w:rsid w:val="007D123D"/>
    <w:rsid w:val="007D215F"/>
    <w:rsid w:val="007D291C"/>
    <w:rsid w:val="007D55A4"/>
    <w:rsid w:val="007D7BA8"/>
    <w:rsid w:val="007E1309"/>
    <w:rsid w:val="007E1964"/>
    <w:rsid w:val="007E1F24"/>
    <w:rsid w:val="007E29D1"/>
    <w:rsid w:val="007E4735"/>
    <w:rsid w:val="007E4A90"/>
    <w:rsid w:val="007E4E88"/>
    <w:rsid w:val="007E5E5E"/>
    <w:rsid w:val="007E6285"/>
    <w:rsid w:val="007E6AF3"/>
    <w:rsid w:val="007F0AB9"/>
    <w:rsid w:val="007F13DF"/>
    <w:rsid w:val="007F1C84"/>
    <w:rsid w:val="007F2F09"/>
    <w:rsid w:val="007F3F79"/>
    <w:rsid w:val="007F5C44"/>
    <w:rsid w:val="007F6FA4"/>
    <w:rsid w:val="007F7318"/>
    <w:rsid w:val="00800199"/>
    <w:rsid w:val="0080121D"/>
    <w:rsid w:val="008129DB"/>
    <w:rsid w:val="008141D7"/>
    <w:rsid w:val="00817560"/>
    <w:rsid w:val="008201BE"/>
    <w:rsid w:val="00821D90"/>
    <w:rsid w:val="00824E93"/>
    <w:rsid w:val="00825B69"/>
    <w:rsid w:val="0082651F"/>
    <w:rsid w:val="00834F36"/>
    <w:rsid w:val="0083559F"/>
    <w:rsid w:val="00835B4C"/>
    <w:rsid w:val="0083676F"/>
    <w:rsid w:val="0083739A"/>
    <w:rsid w:val="008400F3"/>
    <w:rsid w:val="00841611"/>
    <w:rsid w:val="00841946"/>
    <w:rsid w:val="00842573"/>
    <w:rsid w:val="00842AD2"/>
    <w:rsid w:val="00843266"/>
    <w:rsid w:val="00844F06"/>
    <w:rsid w:val="008473D1"/>
    <w:rsid w:val="00847A20"/>
    <w:rsid w:val="00847F30"/>
    <w:rsid w:val="00850EBD"/>
    <w:rsid w:val="00851F74"/>
    <w:rsid w:val="0085230B"/>
    <w:rsid w:val="0085280A"/>
    <w:rsid w:val="00854AB3"/>
    <w:rsid w:val="0085519F"/>
    <w:rsid w:val="00855C93"/>
    <w:rsid w:val="00860DCD"/>
    <w:rsid w:val="00861136"/>
    <w:rsid w:val="00863BA3"/>
    <w:rsid w:val="00866511"/>
    <w:rsid w:val="00870087"/>
    <w:rsid w:val="00871BAC"/>
    <w:rsid w:val="00873633"/>
    <w:rsid w:val="00874030"/>
    <w:rsid w:val="008741AB"/>
    <w:rsid w:val="00876BEB"/>
    <w:rsid w:val="00881C0C"/>
    <w:rsid w:val="00882088"/>
    <w:rsid w:val="008835DE"/>
    <w:rsid w:val="00884C48"/>
    <w:rsid w:val="00892A79"/>
    <w:rsid w:val="008940DB"/>
    <w:rsid w:val="00894322"/>
    <w:rsid w:val="008955C7"/>
    <w:rsid w:val="00896E04"/>
    <w:rsid w:val="0089769D"/>
    <w:rsid w:val="008977E1"/>
    <w:rsid w:val="00897833"/>
    <w:rsid w:val="008A18ED"/>
    <w:rsid w:val="008A6C5D"/>
    <w:rsid w:val="008B0F25"/>
    <w:rsid w:val="008B1945"/>
    <w:rsid w:val="008B1A55"/>
    <w:rsid w:val="008B1BBC"/>
    <w:rsid w:val="008B225A"/>
    <w:rsid w:val="008B2407"/>
    <w:rsid w:val="008B4ED6"/>
    <w:rsid w:val="008B5DC2"/>
    <w:rsid w:val="008C353C"/>
    <w:rsid w:val="008C5E84"/>
    <w:rsid w:val="008C7B2C"/>
    <w:rsid w:val="008D6134"/>
    <w:rsid w:val="008D7E7E"/>
    <w:rsid w:val="008E037D"/>
    <w:rsid w:val="008E173C"/>
    <w:rsid w:val="008E288C"/>
    <w:rsid w:val="008E2BF3"/>
    <w:rsid w:val="008E2E47"/>
    <w:rsid w:val="008E3EED"/>
    <w:rsid w:val="008E6B52"/>
    <w:rsid w:val="008E6D35"/>
    <w:rsid w:val="008F13B2"/>
    <w:rsid w:val="008F1D28"/>
    <w:rsid w:val="008F26E1"/>
    <w:rsid w:val="008F4049"/>
    <w:rsid w:val="00900AA5"/>
    <w:rsid w:val="00902221"/>
    <w:rsid w:val="00903E7B"/>
    <w:rsid w:val="00910154"/>
    <w:rsid w:val="00910156"/>
    <w:rsid w:val="00910BEC"/>
    <w:rsid w:val="009119D7"/>
    <w:rsid w:val="00911B79"/>
    <w:rsid w:val="009144F0"/>
    <w:rsid w:val="0091467A"/>
    <w:rsid w:val="00914F6F"/>
    <w:rsid w:val="00916E0C"/>
    <w:rsid w:val="00920BBD"/>
    <w:rsid w:val="009223C0"/>
    <w:rsid w:val="00926A4B"/>
    <w:rsid w:val="00927710"/>
    <w:rsid w:val="00935B37"/>
    <w:rsid w:val="009364E2"/>
    <w:rsid w:val="00936854"/>
    <w:rsid w:val="00940B64"/>
    <w:rsid w:val="0094128D"/>
    <w:rsid w:val="009412A0"/>
    <w:rsid w:val="00942D5E"/>
    <w:rsid w:val="00943BF3"/>
    <w:rsid w:val="00946F7C"/>
    <w:rsid w:val="009508B4"/>
    <w:rsid w:val="00951595"/>
    <w:rsid w:val="009543E1"/>
    <w:rsid w:val="00955EA8"/>
    <w:rsid w:val="00960474"/>
    <w:rsid w:val="00967C57"/>
    <w:rsid w:val="00972F99"/>
    <w:rsid w:val="0097739C"/>
    <w:rsid w:val="00981564"/>
    <w:rsid w:val="00984DAD"/>
    <w:rsid w:val="0098531B"/>
    <w:rsid w:val="00985C0D"/>
    <w:rsid w:val="00986ADB"/>
    <w:rsid w:val="00987EC9"/>
    <w:rsid w:val="00990C42"/>
    <w:rsid w:val="009944B0"/>
    <w:rsid w:val="009A2A69"/>
    <w:rsid w:val="009A53D6"/>
    <w:rsid w:val="009A6E09"/>
    <w:rsid w:val="009A769D"/>
    <w:rsid w:val="009B1458"/>
    <w:rsid w:val="009B23A7"/>
    <w:rsid w:val="009B254B"/>
    <w:rsid w:val="009D02CE"/>
    <w:rsid w:val="009D35B4"/>
    <w:rsid w:val="009D3CD0"/>
    <w:rsid w:val="009D4FF4"/>
    <w:rsid w:val="009D672B"/>
    <w:rsid w:val="009D7113"/>
    <w:rsid w:val="009D714D"/>
    <w:rsid w:val="009D7662"/>
    <w:rsid w:val="009E0346"/>
    <w:rsid w:val="009E523C"/>
    <w:rsid w:val="009E589F"/>
    <w:rsid w:val="009E6BE2"/>
    <w:rsid w:val="009E7C01"/>
    <w:rsid w:val="009F0054"/>
    <w:rsid w:val="009F10D8"/>
    <w:rsid w:val="009F2862"/>
    <w:rsid w:val="009F2CC7"/>
    <w:rsid w:val="009F4D5B"/>
    <w:rsid w:val="009F5D69"/>
    <w:rsid w:val="009F7D7F"/>
    <w:rsid w:val="009F7E3F"/>
    <w:rsid w:val="00A018DD"/>
    <w:rsid w:val="00A02561"/>
    <w:rsid w:val="00A04C0F"/>
    <w:rsid w:val="00A05BEB"/>
    <w:rsid w:val="00A06642"/>
    <w:rsid w:val="00A12BEC"/>
    <w:rsid w:val="00A1736D"/>
    <w:rsid w:val="00A20B7E"/>
    <w:rsid w:val="00A2101C"/>
    <w:rsid w:val="00A2394C"/>
    <w:rsid w:val="00A25195"/>
    <w:rsid w:val="00A251D7"/>
    <w:rsid w:val="00A26E4E"/>
    <w:rsid w:val="00A27EC2"/>
    <w:rsid w:val="00A3256E"/>
    <w:rsid w:val="00A33A7B"/>
    <w:rsid w:val="00A3644C"/>
    <w:rsid w:val="00A400AF"/>
    <w:rsid w:val="00A40B18"/>
    <w:rsid w:val="00A40BA5"/>
    <w:rsid w:val="00A410BA"/>
    <w:rsid w:val="00A410EA"/>
    <w:rsid w:val="00A42A58"/>
    <w:rsid w:val="00A44A18"/>
    <w:rsid w:val="00A44D94"/>
    <w:rsid w:val="00A46029"/>
    <w:rsid w:val="00A4609C"/>
    <w:rsid w:val="00A465D4"/>
    <w:rsid w:val="00A50E58"/>
    <w:rsid w:val="00A5118E"/>
    <w:rsid w:val="00A52875"/>
    <w:rsid w:val="00A55DA9"/>
    <w:rsid w:val="00A6248E"/>
    <w:rsid w:val="00A6468F"/>
    <w:rsid w:val="00A66E96"/>
    <w:rsid w:val="00A67734"/>
    <w:rsid w:val="00A67A15"/>
    <w:rsid w:val="00A73066"/>
    <w:rsid w:val="00A731E9"/>
    <w:rsid w:val="00A739B1"/>
    <w:rsid w:val="00A80307"/>
    <w:rsid w:val="00A847BC"/>
    <w:rsid w:val="00A84DB6"/>
    <w:rsid w:val="00A90CE5"/>
    <w:rsid w:val="00A91F09"/>
    <w:rsid w:val="00AA1853"/>
    <w:rsid w:val="00AA2814"/>
    <w:rsid w:val="00AA3D15"/>
    <w:rsid w:val="00AA425D"/>
    <w:rsid w:val="00AA56CF"/>
    <w:rsid w:val="00AA605D"/>
    <w:rsid w:val="00AA6AAE"/>
    <w:rsid w:val="00AA6CF7"/>
    <w:rsid w:val="00AA7645"/>
    <w:rsid w:val="00AA7689"/>
    <w:rsid w:val="00AB13C8"/>
    <w:rsid w:val="00AB4AC0"/>
    <w:rsid w:val="00AB6BBA"/>
    <w:rsid w:val="00AB7760"/>
    <w:rsid w:val="00AC10DA"/>
    <w:rsid w:val="00AC1EC7"/>
    <w:rsid w:val="00AC3A93"/>
    <w:rsid w:val="00AC5D9B"/>
    <w:rsid w:val="00AC7C30"/>
    <w:rsid w:val="00AD1819"/>
    <w:rsid w:val="00AD1C6C"/>
    <w:rsid w:val="00AD2512"/>
    <w:rsid w:val="00AD296E"/>
    <w:rsid w:val="00AD48C4"/>
    <w:rsid w:val="00AD618D"/>
    <w:rsid w:val="00AD6467"/>
    <w:rsid w:val="00AD67C7"/>
    <w:rsid w:val="00AD6F29"/>
    <w:rsid w:val="00AE0C9A"/>
    <w:rsid w:val="00AE3F91"/>
    <w:rsid w:val="00AE4EB4"/>
    <w:rsid w:val="00AE715A"/>
    <w:rsid w:val="00AE7683"/>
    <w:rsid w:val="00AF3C9F"/>
    <w:rsid w:val="00AF4139"/>
    <w:rsid w:val="00AF62E4"/>
    <w:rsid w:val="00B0033E"/>
    <w:rsid w:val="00B00EBC"/>
    <w:rsid w:val="00B01FC7"/>
    <w:rsid w:val="00B02A85"/>
    <w:rsid w:val="00B070BD"/>
    <w:rsid w:val="00B076F5"/>
    <w:rsid w:val="00B07931"/>
    <w:rsid w:val="00B1505A"/>
    <w:rsid w:val="00B220E5"/>
    <w:rsid w:val="00B2402C"/>
    <w:rsid w:val="00B248A6"/>
    <w:rsid w:val="00B25B45"/>
    <w:rsid w:val="00B264F0"/>
    <w:rsid w:val="00B27F33"/>
    <w:rsid w:val="00B3070A"/>
    <w:rsid w:val="00B3288B"/>
    <w:rsid w:val="00B33965"/>
    <w:rsid w:val="00B34965"/>
    <w:rsid w:val="00B37582"/>
    <w:rsid w:val="00B41659"/>
    <w:rsid w:val="00B41F4B"/>
    <w:rsid w:val="00B42355"/>
    <w:rsid w:val="00B43024"/>
    <w:rsid w:val="00B446E1"/>
    <w:rsid w:val="00B46F65"/>
    <w:rsid w:val="00B471EE"/>
    <w:rsid w:val="00B517C7"/>
    <w:rsid w:val="00B51FB4"/>
    <w:rsid w:val="00B53DF3"/>
    <w:rsid w:val="00B56FB7"/>
    <w:rsid w:val="00B61223"/>
    <w:rsid w:val="00B61356"/>
    <w:rsid w:val="00B62239"/>
    <w:rsid w:val="00B62DB3"/>
    <w:rsid w:val="00B658D2"/>
    <w:rsid w:val="00B662C9"/>
    <w:rsid w:val="00B66326"/>
    <w:rsid w:val="00B70880"/>
    <w:rsid w:val="00B7584D"/>
    <w:rsid w:val="00B759E8"/>
    <w:rsid w:val="00B76D7E"/>
    <w:rsid w:val="00B81734"/>
    <w:rsid w:val="00B8266E"/>
    <w:rsid w:val="00B83309"/>
    <w:rsid w:val="00B84771"/>
    <w:rsid w:val="00B84943"/>
    <w:rsid w:val="00B8640E"/>
    <w:rsid w:val="00B87B08"/>
    <w:rsid w:val="00B906F8"/>
    <w:rsid w:val="00B9467E"/>
    <w:rsid w:val="00BA0C15"/>
    <w:rsid w:val="00BA0DE5"/>
    <w:rsid w:val="00BA0EDD"/>
    <w:rsid w:val="00BA1D7C"/>
    <w:rsid w:val="00BA6199"/>
    <w:rsid w:val="00BB30A1"/>
    <w:rsid w:val="00BB3ACB"/>
    <w:rsid w:val="00BB5B34"/>
    <w:rsid w:val="00BC125C"/>
    <w:rsid w:val="00BC1C88"/>
    <w:rsid w:val="00BC29D5"/>
    <w:rsid w:val="00BC5057"/>
    <w:rsid w:val="00BD0ADE"/>
    <w:rsid w:val="00BD3BCF"/>
    <w:rsid w:val="00BE2F19"/>
    <w:rsid w:val="00BE500F"/>
    <w:rsid w:val="00BE73AE"/>
    <w:rsid w:val="00BF130F"/>
    <w:rsid w:val="00BF1CFF"/>
    <w:rsid w:val="00BF2CEC"/>
    <w:rsid w:val="00BF2ED2"/>
    <w:rsid w:val="00BF4BA5"/>
    <w:rsid w:val="00BF4DE3"/>
    <w:rsid w:val="00C00795"/>
    <w:rsid w:val="00C00CE9"/>
    <w:rsid w:val="00C01F9C"/>
    <w:rsid w:val="00C02BFC"/>
    <w:rsid w:val="00C05135"/>
    <w:rsid w:val="00C064E4"/>
    <w:rsid w:val="00C0692C"/>
    <w:rsid w:val="00C072E1"/>
    <w:rsid w:val="00C11376"/>
    <w:rsid w:val="00C115F0"/>
    <w:rsid w:val="00C14589"/>
    <w:rsid w:val="00C159CA"/>
    <w:rsid w:val="00C17FCD"/>
    <w:rsid w:val="00C20BB0"/>
    <w:rsid w:val="00C24DD8"/>
    <w:rsid w:val="00C25927"/>
    <w:rsid w:val="00C25F45"/>
    <w:rsid w:val="00C26CE0"/>
    <w:rsid w:val="00C274D3"/>
    <w:rsid w:val="00C3123D"/>
    <w:rsid w:val="00C33569"/>
    <w:rsid w:val="00C35315"/>
    <w:rsid w:val="00C35392"/>
    <w:rsid w:val="00C36922"/>
    <w:rsid w:val="00C46CDE"/>
    <w:rsid w:val="00C5458F"/>
    <w:rsid w:val="00C55F42"/>
    <w:rsid w:val="00C63A3D"/>
    <w:rsid w:val="00C63E13"/>
    <w:rsid w:val="00C64023"/>
    <w:rsid w:val="00C6432D"/>
    <w:rsid w:val="00C674B0"/>
    <w:rsid w:val="00C72D76"/>
    <w:rsid w:val="00C74256"/>
    <w:rsid w:val="00C76BE2"/>
    <w:rsid w:val="00C7744A"/>
    <w:rsid w:val="00C800CA"/>
    <w:rsid w:val="00C8024E"/>
    <w:rsid w:val="00C82451"/>
    <w:rsid w:val="00C82A0E"/>
    <w:rsid w:val="00C8711F"/>
    <w:rsid w:val="00C9056C"/>
    <w:rsid w:val="00C94CB0"/>
    <w:rsid w:val="00C952CA"/>
    <w:rsid w:val="00C96FC2"/>
    <w:rsid w:val="00CA0322"/>
    <w:rsid w:val="00CA1B07"/>
    <w:rsid w:val="00CA24B8"/>
    <w:rsid w:val="00CA2837"/>
    <w:rsid w:val="00CA48FC"/>
    <w:rsid w:val="00CA4E4B"/>
    <w:rsid w:val="00CB100B"/>
    <w:rsid w:val="00CB18DC"/>
    <w:rsid w:val="00CB19AC"/>
    <w:rsid w:val="00CB2E90"/>
    <w:rsid w:val="00CC2FC3"/>
    <w:rsid w:val="00CC3329"/>
    <w:rsid w:val="00CC33DD"/>
    <w:rsid w:val="00CC55B9"/>
    <w:rsid w:val="00CC60A0"/>
    <w:rsid w:val="00CC7E36"/>
    <w:rsid w:val="00CC7F5B"/>
    <w:rsid w:val="00CD10E5"/>
    <w:rsid w:val="00CD1C66"/>
    <w:rsid w:val="00CD2664"/>
    <w:rsid w:val="00CD4D83"/>
    <w:rsid w:val="00CD61B2"/>
    <w:rsid w:val="00CD68DB"/>
    <w:rsid w:val="00CD6CC2"/>
    <w:rsid w:val="00CD7019"/>
    <w:rsid w:val="00CE0714"/>
    <w:rsid w:val="00CE1841"/>
    <w:rsid w:val="00CE2F9C"/>
    <w:rsid w:val="00CE4538"/>
    <w:rsid w:val="00CE69C9"/>
    <w:rsid w:val="00CE69E8"/>
    <w:rsid w:val="00CE77C7"/>
    <w:rsid w:val="00CE7C8A"/>
    <w:rsid w:val="00CE7CF8"/>
    <w:rsid w:val="00CF0814"/>
    <w:rsid w:val="00CF1E7A"/>
    <w:rsid w:val="00CF3443"/>
    <w:rsid w:val="00CF3906"/>
    <w:rsid w:val="00CF7610"/>
    <w:rsid w:val="00D01E59"/>
    <w:rsid w:val="00D0402B"/>
    <w:rsid w:val="00D04F7C"/>
    <w:rsid w:val="00D059CF"/>
    <w:rsid w:val="00D10986"/>
    <w:rsid w:val="00D1602A"/>
    <w:rsid w:val="00D2011A"/>
    <w:rsid w:val="00D219D6"/>
    <w:rsid w:val="00D21BD6"/>
    <w:rsid w:val="00D2229A"/>
    <w:rsid w:val="00D22572"/>
    <w:rsid w:val="00D25618"/>
    <w:rsid w:val="00D27D1D"/>
    <w:rsid w:val="00D27F74"/>
    <w:rsid w:val="00D301DA"/>
    <w:rsid w:val="00D31DA1"/>
    <w:rsid w:val="00D324BB"/>
    <w:rsid w:val="00D32C6F"/>
    <w:rsid w:val="00D402C8"/>
    <w:rsid w:val="00D4298B"/>
    <w:rsid w:val="00D42A45"/>
    <w:rsid w:val="00D44037"/>
    <w:rsid w:val="00D461C7"/>
    <w:rsid w:val="00D5055A"/>
    <w:rsid w:val="00D53511"/>
    <w:rsid w:val="00D57EB0"/>
    <w:rsid w:val="00D6287A"/>
    <w:rsid w:val="00D63911"/>
    <w:rsid w:val="00D63ECE"/>
    <w:rsid w:val="00D7346C"/>
    <w:rsid w:val="00D73D1D"/>
    <w:rsid w:val="00D740EA"/>
    <w:rsid w:val="00D775B2"/>
    <w:rsid w:val="00D80C03"/>
    <w:rsid w:val="00D8191E"/>
    <w:rsid w:val="00D82A72"/>
    <w:rsid w:val="00D833FB"/>
    <w:rsid w:val="00D876BD"/>
    <w:rsid w:val="00D87D2C"/>
    <w:rsid w:val="00D9161C"/>
    <w:rsid w:val="00D9237D"/>
    <w:rsid w:val="00D9577F"/>
    <w:rsid w:val="00D9789A"/>
    <w:rsid w:val="00DA0293"/>
    <w:rsid w:val="00DA1C16"/>
    <w:rsid w:val="00DA217E"/>
    <w:rsid w:val="00DA2F34"/>
    <w:rsid w:val="00DA30B8"/>
    <w:rsid w:val="00DA3C2A"/>
    <w:rsid w:val="00DA4ABA"/>
    <w:rsid w:val="00DA5471"/>
    <w:rsid w:val="00DA67CD"/>
    <w:rsid w:val="00DB27FE"/>
    <w:rsid w:val="00DB3BDA"/>
    <w:rsid w:val="00DB56F8"/>
    <w:rsid w:val="00DB5CCF"/>
    <w:rsid w:val="00DB61DB"/>
    <w:rsid w:val="00DC39F1"/>
    <w:rsid w:val="00DC51C7"/>
    <w:rsid w:val="00DC555A"/>
    <w:rsid w:val="00DC6C0A"/>
    <w:rsid w:val="00DD2598"/>
    <w:rsid w:val="00DD4915"/>
    <w:rsid w:val="00DD780D"/>
    <w:rsid w:val="00DE1256"/>
    <w:rsid w:val="00DE2196"/>
    <w:rsid w:val="00DE41F4"/>
    <w:rsid w:val="00DF0449"/>
    <w:rsid w:val="00DF07C7"/>
    <w:rsid w:val="00DF0EC7"/>
    <w:rsid w:val="00DF4E4A"/>
    <w:rsid w:val="00DF5274"/>
    <w:rsid w:val="00DF547E"/>
    <w:rsid w:val="00E020C6"/>
    <w:rsid w:val="00E06097"/>
    <w:rsid w:val="00E07190"/>
    <w:rsid w:val="00E11909"/>
    <w:rsid w:val="00E1701A"/>
    <w:rsid w:val="00E201E6"/>
    <w:rsid w:val="00E2065A"/>
    <w:rsid w:val="00E22D04"/>
    <w:rsid w:val="00E2679C"/>
    <w:rsid w:val="00E300B4"/>
    <w:rsid w:val="00E3046D"/>
    <w:rsid w:val="00E31ED9"/>
    <w:rsid w:val="00E32556"/>
    <w:rsid w:val="00E33396"/>
    <w:rsid w:val="00E3624D"/>
    <w:rsid w:val="00E36B11"/>
    <w:rsid w:val="00E37AF2"/>
    <w:rsid w:val="00E42D39"/>
    <w:rsid w:val="00E51FE8"/>
    <w:rsid w:val="00E5281A"/>
    <w:rsid w:val="00E52A0C"/>
    <w:rsid w:val="00E54A32"/>
    <w:rsid w:val="00E56331"/>
    <w:rsid w:val="00E566BA"/>
    <w:rsid w:val="00E56842"/>
    <w:rsid w:val="00E56970"/>
    <w:rsid w:val="00E57031"/>
    <w:rsid w:val="00E5781F"/>
    <w:rsid w:val="00E60298"/>
    <w:rsid w:val="00E60AF0"/>
    <w:rsid w:val="00E6370F"/>
    <w:rsid w:val="00E70C2D"/>
    <w:rsid w:val="00E71605"/>
    <w:rsid w:val="00E71B76"/>
    <w:rsid w:val="00E73C90"/>
    <w:rsid w:val="00E7495B"/>
    <w:rsid w:val="00E74B30"/>
    <w:rsid w:val="00E7519A"/>
    <w:rsid w:val="00E814AE"/>
    <w:rsid w:val="00E815FE"/>
    <w:rsid w:val="00E8740C"/>
    <w:rsid w:val="00E90BD0"/>
    <w:rsid w:val="00E9284A"/>
    <w:rsid w:val="00E93716"/>
    <w:rsid w:val="00E95B7B"/>
    <w:rsid w:val="00E9661F"/>
    <w:rsid w:val="00E975E1"/>
    <w:rsid w:val="00EA0C38"/>
    <w:rsid w:val="00EA31E7"/>
    <w:rsid w:val="00EA7E66"/>
    <w:rsid w:val="00EB1C03"/>
    <w:rsid w:val="00EB1C09"/>
    <w:rsid w:val="00EB248E"/>
    <w:rsid w:val="00EB443E"/>
    <w:rsid w:val="00EC0E6F"/>
    <w:rsid w:val="00EC1563"/>
    <w:rsid w:val="00EC1A9A"/>
    <w:rsid w:val="00EC1EBE"/>
    <w:rsid w:val="00EC2477"/>
    <w:rsid w:val="00EC761D"/>
    <w:rsid w:val="00ED0AB2"/>
    <w:rsid w:val="00ED0D3D"/>
    <w:rsid w:val="00ED2592"/>
    <w:rsid w:val="00ED5EB8"/>
    <w:rsid w:val="00ED6492"/>
    <w:rsid w:val="00EE38A7"/>
    <w:rsid w:val="00EE54F4"/>
    <w:rsid w:val="00EE6297"/>
    <w:rsid w:val="00EF0526"/>
    <w:rsid w:val="00EF15FE"/>
    <w:rsid w:val="00EF47DD"/>
    <w:rsid w:val="00F044DF"/>
    <w:rsid w:val="00F05C25"/>
    <w:rsid w:val="00F064C8"/>
    <w:rsid w:val="00F067CE"/>
    <w:rsid w:val="00F076A6"/>
    <w:rsid w:val="00F103CD"/>
    <w:rsid w:val="00F1283C"/>
    <w:rsid w:val="00F13940"/>
    <w:rsid w:val="00F15D74"/>
    <w:rsid w:val="00F16560"/>
    <w:rsid w:val="00F16733"/>
    <w:rsid w:val="00F17067"/>
    <w:rsid w:val="00F172D5"/>
    <w:rsid w:val="00F2201A"/>
    <w:rsid w:val="00F241B6"/>
    <w:rsid w:val="00F25DB3"/>
    <w:rsid w:val="00F2645D"/>
    <w:rsid w:val="00F30A11"/>
    <w:rsid w:val="00F318A0"/>
    <w:rsid w:val="00F31FF8"/>
    <w:rsid w:val="00F32151"/>
    <w:rsid w:val="00F32514"/>
    <w:rsid w:val="00F34ACD"/>
    <w:rsid w:val="00F350A4"/>
    <w:rsid w:val="00F35E77"/>
    <w:rsid w:val="00F404D9"/>
    <w:rsid w:val="00F42061"/>
    <w:rsid w:val="00F4575B"/>
    <w:rsid w:val="00F4737A"/>
    <w:rsid w:val="00F47594"/>
    <w:rsid w:val="00F479CA"/>
    <w:rsid w:val="00F50158"/>
    <w:rsid w:val="00F505AB"/>
    <w:rsid w:val="00F51F07"/>
    <w:rsid w:val="00F5240B"/>
    <w:rsid w:val="00F52664"/>
    <w:rsid w:val="00F53974"/>
    <w:rsid w:val="00F54AB6"/>
    <w:rsid w:val="00F60549"/>
    <w:rsid w:val="00F606C3"/>
    <w:rsid w:val="00F6324C"/>
    <w:rsid w:val="00F63793"/>
    <w:rsid w:val="00F64828"/>
    <w:rsid w:val="00F657E6"/>
    <w:rsid w:val="00F66D48"/>
    <w:rsid w:val="00F66F57"/>
    <w:rsid w:val="00F67051"/>
    <w:rsid w:val="00F6753E"/>
    <w:rsid w:val="00F716DB"/>
    <w:rsid w:val="00F718F2"/>
    <w:rsid w:val="00F748CC"/>
    <w:rsid w:val="00F751D9"/>
    <w:rsid w:val="00F75851"/>
    <w:rsid w:val="00F75F5F"/>
    <w:rsid w:val="00F760B8"/>
    <w:rsid w:val="00F77706"/>
    <w:rsid w:val="00F80758"/>
    <w:rsid w:val="00F82FFE"/>
    <w:rsid w:val="00F845B6"/>
    <w:rsid w:val="00F85308"/>
    <w:rsid w:val="00F861F5"/>
    <w:rsid w:val="00F93146"/>
    <w:rsid w:val="00F93F20"/>
    <w:rsid w:val="00F970DB"/>
    <w:rsid w:val="00F97579"/>
    <w:rsid w:val="00FA12D0"/>
    <w:rsid w:val="00FA513F"/>
    <w:rsid w:val="00FA5399"/>
    <w:rsid w:val="00FA586F"/>
    <w:rsid w:val="00FA63CD"/>
    <w:rsid w:val="00FA6C4D"/>
    <w:rsid w:val="00FA799E"/>
    <w:rsid w:val="00FB303E"/>
    <w:rsid w:val="00FB3B85"/>
    <w:rsid w:val="00FB42BB"/>
    <w:rsid w:val="00FB4A24"/>
    <w:rsid w:val="00FB57AA"/>
    <w:rsid w:val="00FB58F9"/>
    <w:rsid w:val="00FB6A0D"/>
    <w:rsid w:val="00FC0083"/>
    <w:rsid w:val="00FC1EB2"/>
    <w:rsid w:val="00FC39F0"/>
    <w:rsid w:val="00FD0688"/>
    <w:rsid w:val="00FD0C96"/>
    <w:rsid w:val="00FD1844"/>
    <w:rsid w:val="00FD1E77"/>
    <w:rsid w:val="00FD2909"/>
    <w:rsid w:val="00FD2E2F"/>
    <w:rsid w:val="00FD4C17"/>
    <w:rsid w:val="00FD4FF2"/>
    <w:rsid w:val="00FD6455"/>
    <w:rsid w:val="00FD7E5A"/>
    <w:rsid w:val="00FE0923"/>
    <w:rsid w:val="00FE1CBC"/>
    <w:rsid w:val="00FE269D"/>
    <w:rsid w:val="00FE49E6"/>
    <w:rsid w:val="00FE55BB"/>
    <w:rsid w:val="00FF1551"/>
    <w:rsid w:val="00FF2BD3"/>
    <w:rsid w:val="00FF4441"/>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2C71B1"/>
    <w:pPr>
      <w:pBdr>
        <w:bottom w:val="single" w:sz="4" w:space="3" w:color="auto"/>
        <w:between w:val="single" w:sz="4" w:space="3" w:color="auto"/>
      </w:pBdr>
      <w:tabs>
        <w:tab w:val="right" w:pos="9628"/>
      </w:tabs>
      <w:spacing w:after="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0F6CAB"/>
    <w:pPr>
      <w:tabs>
        <w:tab w:val="right" w:pos="9628"/>
      </w:tabs>
      <w:spacing w:after="100"/>
      <w:ind w:left="240"/>
    </w:pPr>
  </w:style>
  <w:style w:type="paragraph" w:styleId="TOC3">
    <w:name w:val="toc 3"/>
    <w:basedOn w:val="Normal"/>
    <w:next w:val="Normal"/>
    <w:autoRedefine/>
    <w:uiPriority w:val="39"/>
    <w:unhideWhenUsed/>
    <w:rsid w:val="002C72E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recipientaddress">
    <w:name w:val="recipient address"/>
    <w:basedOn w:val="Normal"/>
    <w:uiPriority w:val="99"/>
    <w:qFormat/>
    <w:rsid w:val="005C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9536938">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wda@pwd.org.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wd.org.au/des-review-submiss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wd.org.au/submission-to-the-senate-on-adequacy-of-newstart-and-related-payments-and-alternative-mechanisms-to-determine-the-level-of-income-support-payments-in-australi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wd.org.au/joint-submission-to-the-australian-treasurys-employment-white-paper/" TargetMode="External"/><Relationship Id="rId29" Type="http://schemas.openxmlformats.org/officeDocument/2006/relationships/hyperlink" Target="mailto:pwd@pw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wd.org.au/impairment-tables-impair-our-access-to-supports-submission-to-the-department-of-social-servic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wd.org.au/in-our-own-words-submission-to-the-senate-community-affairs-references-committee-inquiry/" TargetMode="External"/><Relationship Id="rId28" Type="http://schemas.openxmlformats.org/officeDocument/2006/relationships/hyperlink" Target="mailto:pwd@pwd.org.au" TargetMode="External"/><Relationship Id="rId10" Type="http://schemas.openxmlformats.org/officeDocument/2006/relationships/endnotes" Target="endnotes.xml"/><Relationship Id="rId19" Type="http://schemas.openxmlformats.org/officeDocument/2006/relationships/hyperlink" Target="http://www.pwd.org.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wd.org.au/wage-equity-and-more-choices-in-employment-for-people-with-an-intellectual-disability-research-review/" TargetMode="External"/><Relationship Id="rId27" Type="http://schemas.openxmlformats.org/officeDocument/2006/relationships/image" Target="media/image3.png"/><Relationship Id="rId30"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s://www.aihw.gov.au/reports/disability/people-with-disability-in-australia/contents/housing" TargetMode="External"/><Relationship Id="rId13" Type="http://schemas.openxmlformats.org/officeDocument/2006/relationships/hyperlink" Target="https://www.aihw.gov.au/reports/disability/people-with-disability-in-australia/contents/education-and-skills" TargetMode="External"/><Relationship Id="rId3" Type="http://schemas.openxmlformats.org/officeDocument/2006/relationships/hyperlink" Target="https://www.oecd.org/publications/sickness-disability-and-work-breaking-the-barriers-9789264088856-en.htm" TargetMode="External"/><Relationship Id="rId7" Type="http://schemas.openxmlformats.org/officeDocument/2006/relationships/hyperlink" Target="https://www.oecd.org/social/disability-work-and-inclusion-1eaa5e9c-en.htm" TargetMode="External"/><Relationship Id="rId12" Type="http://schemas.openxmlformats.org/officeDocument/2006/relationships/hyperlink" Target="https://www.vichealth.vic.gov.au/media-and-resources/publications/disability-and-health-inequalities-in-australia" TargetMode="External"/><Relationship Id="rId2" Type="http://schemas.openxmlformats.org/officeDocument/2006/relationships/hyperlink" Target="https://www.aihw.gov.au/reports/disability/people-with-disability-in-australia/contents/income-and-finance/income" TargetMode="External"/><Relationship Id="rId16" Type="http://schemas.openxmlformats.org/officeDocument/2006/relationships/hyperlink" Target="https://www.afdo.org.au/disability-support-pension/poverty-and-disability-fast-facts/" TargetMode="External"/><Relationship Id="rId1" Type="http://schemas.openxmlformats.org/officeDocument/2006/relationships/hyperlink" Target="https://www.aihw.gov.au/reports/disability/disability-economic-disadvantage-capital-cities/summary" TargetMode="External"/><Relationship Id="rId6" Type="http://schemas.openxmlformats.org/officeDocument/2006/relationships/hyperlink" Target="https://www.pc.gov.au/research/supporting/deep-persistent-disadvantage" TargetMode="External"/><Relationship Id="rId11" Type="http://schemas.openxmlformats.org/officeDocument/2006/relationships/hyperlink" Target="https://www.aihw.gov.au/reports/disability/people-with-disability-in-australia/contents/health" TargetMode="External"/><Relationship Id="rId5" Type="http://schemas.openxmlformats.org/officeDocument/2006/relationships/hyperlink" Target="https://doi.org/10.1787/soc_glance-2014-en" TargetMode="External"/><Relationship Id="rId15" Type="http://schemas.openxmlformats.org/officeDocument/2006/relationships/hyperlink" Target="https://www.aihw.gov.au/reports/dis/72/people-with-disability-in-australia/contents/income-and-finance/income-support" TargetMode="External"/><Relationship Id="rId10" Type="http://schemas.openxmlformats.org/officeDocument/2006/relationships/hyperlink" Target="https://www.aihw.gov.au/reports/disability/people-with-disability-in-australia-in-brief/contents/how-many-people-have-disability" TargetMode="External"/><Relationship Id="rId4" Type="http://schemas.openxmlformats.org/officeDocument/2006/relationships/hyperlink" Target="https://povertyandinequality.acoss.org.au/poverty/rate-of-poverty-by-income-support-received-by-household-reference-person/" TargetMode="External"/><Relationship Id="rId9" Type="http://schemas.openxmlformats.org/officeDocument/2006/relationships/hyperlink" Target="https://www.aph.gov.au/Parliamentary_Business/Committees/Senate/Community_Affairs/Violence_abuse_neglect/Report" TargetMode="External"/><Relationship Id="rId14" Type="http://schemas.openxmlformats.org/officeDocument/2006/relationships/hyperlink" Target="https://disability.royalcommission.gov.au/publications/report-public-hearing-7-barriers-experienced-students-disability-accessing-and-obtaining-safe-quality-and-inclusive-school-education-and-consequent-life-course-impac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036559BA-95E3-4F6D-84DD-0055C846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Craig  Andrews</cp:lastModifiedBy>
  <cp:revision>3</cp:revision>
  <cp:lastPrinted>2023-02-06T00:00:00Z</cp:lastPrinted>
  <dcterms:created xsi:type="dcterms:W3CDTF">2023-02-06T00:44:00Z</dcterms:created>
  <dcterms:modified xsi:type="dcterms:W3CDTF">2023-02-06T00:45:00Z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ies>
</file>