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DD11B" w14:textId="77777777" w:rsidR="004B78DF" w:rsidRPr="00382057" w:rsidRDefault="00711FC5" w:rsidP="003C482D">
      <w:pPr>
        <w:pStyle w:val="Header"/>
        <w:ind w:left="5387"/>
        <w:sectPr w:rsidR="004B78DF" w:rsidRPr="00382057" w:rsidSect="0021079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1134" w:bottom="1560" w:left="1134" w:header="0" w:footer="0" w:gutter="0"/>
          <w:cols w:space="708"/>
          <w:titlePg/>
          <w:docGrid w:linePitch="360"/>
        </w:sectPr>
      </w:pPr>
      <w:r>
        <w:rPr>
          <w:noProof/>
          <w:color w:val="005496" w:themeColor="text2"/>
          <w:sz w:val="20"/>
          <w:szCs w:val="20"/>
        </w:rPr>
        <mc:AlternateContent>
          <mc:Choice Requires="wps">
            <w:drawing>
              <wp:anchor distT="0" distB="0" distL="114300" distR="114300" simplePos="0" relativeHeight="251659264" behindDoc="0" locked="0" layoutInCell="1" allowOverlap="1" wp14:anchorId="44132942" wp14:editId="2E22A1B1">
                <wp:simplePos x="0" y="0"/>
                <wp:positionH relativeFrom="column">
                  <wp:posOffset>4865370</wp:posOffset>
                </wp:positionH>
                <wp:positionV relativeFrom="page">
                  <wp:posOffset>1202690</wp:posOffset>
                </wp:positionV>
                <wp:extent cx="0" cy="481965"/>
                <wp:effectExtent l="0" t="0" r="38100" b="32385"/>
                <wp:wrapSquare wrapText="bothSides"/>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81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1BE31" id="Straight Connector 14"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83.1pt,94.7pt" to="383.1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" strokecolor="#005496 [3204]" strokeweight=".5pt">
                <v:stroke joinstyle="miter"/>
                <w10:wrap type="square" anchory="page"/>
              </v:line>
            </w:pict>
          </mc:Fallback>
        </mc:AlternateContent>
      </w:r>
      <w:r w:rsidR="00A27EEA">
        <w:rPr>
          <w:noProof/>
        </w:rPr>
        <w:drawing>
          <wp:inline distT="0" distB="0" distL="0" distR="0" wp14:anchorId="01A1DF8B" wp14:editId="3A097B9D">
            <wp:extent cx="2685011" cy="735965"/>
            <wp:effectExtent l="0" t="0" r="0" b="0"/>
            <wp:docPr id="7" name="Picture 7" descr="People with Disability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eople with Disability Australia logo"/>
                    <pic:cNvPicPr/>
                  </pic:nvPicPr>
                  <pic:blipFill rotWithShape="1">
                    <a:blip r:embed="rId16" cstate="print">
                      <a:extLst>
                        <a:ext uri="{28A0092B-C50C-407E-A947-70E740481C1C}">
                          <a14:useLocalDpi xmlns:a14="http://schemas.microsoft.com/office/drawing/2010/main" val="0"/>
                        </a:ext>
                      </a:extLst>
                    </a:blip>
                    <a:srcRect l="2747" t="16910" r="11839" b="13478"/>
                    <a:stretch/>
                  </pic:blipFill>
                  <pic:spPr bwMode="auto">
                    <a:xfrm>
                      <a:off x="0" y="0"/>
                      <a:ext cx="2710341" cy="742908"/>
                    </a:xfrm>
                    <a:prstGeom prst="rect">
                      <a:avLst/>
                    </a:prstGeom>
                    <a:ln>
                      <a:noFill/>
                    </a:ln>
                    <a:extLst>
                      <a:ext uri="{53640926-AAD7-44D8-BBD7-CCE9431645EC}">
                        <a14:shadowObscured xmlns:a14="http://schemas.microsoft.com/office/drawing/2010/main"/>
                      </a:ext>
                    </a:extLst>
                  </pic:spPr>
                </pic:pic>
              </a:graphicData>
            </a:graphic>
          </wp:inline>
        </w:drawing>
      </w:r>
    </w:p>
    <w:p w14:paraId="3EDBD139" w14:textId="77777777" w:rsidR="004B78DF" w:rsidRPr="004B78DF" w:rsidRDefault="00B25C49" w:rsidP="003C482D">
      <w:pPr>
        <w:pStyle w:val="Header"/>
        <w:ind w:left="5954" w:right="-283"/>
        <w:rPr>
          <w:b w:val="0"/>
          <w:bCs w:val="0"/>
          <w:sz w:val="20"/>
          <w:szCs w:val="20"/>
        </w:rPr>
      </w:pPr>
      <w:r w:rsidRPr="004B78DF">
        <w:rPr>
          <w:b w:val="0"/>
          <w:bCs w:val="0"/>
          <w:sz w:val="20"/>
          <w:szCs w:val="20"/>
        </w:rPr>
        <w:t>PO Box 666</w:t>
      </w:r>
      <w:r w:rsidR="004B78DF">
        <w:rPr>
          <w:b w:val="0"/>
          <w:bCs w:val="0"/>
          <w:sz w:val="20"/>
          <w:szCs w:val="20"/>
        </w:rPr>
        <w:br/>
      </w:r>
      <w:r w:rsidRPr="004B78DF">
        <w:rPr>
          <w:b w:val="0"/>
          <w:bCs w:val="0"/>
          <w:sz w:val="20"/>
          <w:szCs w:val="20"/>
        </w:rPr>
        <w:t>Strawberry Hills</w:t>
      </w:r>
      <w:r w:rsidR="004B78DF">
        <w:rPr>
          <w:b w:val="0"/>
          <w:bCs w:val="0"/>
          <w:sz w:val="20"/>
          <w:szCs w:val="20"/>
        </w:rPr>
        <w:br/>
      </w:r>
      <w:r w:rsidRPr="004B78DF">
        <w:rPr>
          <w:b w:val="0"/>
          <w:bCs w:val="0"/>
          <w:sz w:val="20"/>
          <w:szCs w:val="20"/>
        </w:rPr>
        <w:t>NSW 2012</w:t>
      </w:r>
    </w:p>
    <w:p w14:paraId="11F65E70" w14:textId="77777777" w:rsidR="00810253" w:rsidRDefault="00B25C49" w:rsidP="003C482D">
      <w:pPr>
        <w:pStyle w:val="Header"/>
        <w:ind w:right="-2"/>
        <w:rPr>
          <w:rStyle w:val="Hyperlink"/>
          <w:bCs w:val="0"/>
          <w:sz w:val="20"/>
          <w:szCs w:val="20"/>
        </w:rPr>
        <w:sectPr w:rsidR="00810253" w:rsidSect="00810253">
          <w:type w:val="continuous"/>
          <w:pgSz w:w="11906" w:h="16838" w:code="9"/>
          <w:pgMar w:top="567" w:right="1134" w:bottom="1560" w:left="1134" w:header="0" w:footer="0" w:gutter="0"/>
          <w:cols w:num="2" w:space="851" w:equalWidth="0">
            <w:col w:w="7088" w:space="851"/>
            <w:col w:w="1699"/>
          </w:cols>
          <w:titlePg/>
          <w:docGrid w:linePitch="360"/>
        </w:sectPr>
      </w:pPr>
      <w:r w:rsidRPr="004B78DF">
        <w:rPr>
          <w:b w:val="0"/>
          <w:bCs w:val="0"/>
          <w:sz w:val="20"/>
          <w:szCs w:val="20"/>
        </w:rPr>
        <w:t>+61 2 9370 3100</w:t>
      </w:r>
      <w:r w:rsidR="005F630B">
        <w:rPr>
          <w:b w:val="0"/>
          <w:bCs w:val="0"/>
          <w:sz w:val="20"/>
          <w:szCs w:val="20"/>
        </w:rPr>
        <w:br/>
      </w:r>
      <w:hyperlink r:id="rId17" w:history="1">
        <w:r w:rsidR="004B78DF" w:rsidRPr="004B78DF">
          <w:rPr>
            <w:rStyle w:val="Hyperlink"/>
            <w:sz w:val="20"/>
            <w:szCs w:val="20"/>
          </w:rPr>
          <w:t>pwd@pwd.org.au</w:t>
        </w:r>
      </w:hyperlink>
      <w:r w:rsidR="005F630B">
        <w:rPr>
          <w:rStyle w:val="Hyperlink"/>
          <w:b/>
          <w:sz w:val="20"/>
          <w:szCs w:val="20"/>
        </w:rPr>
        <w:br/>
      </w:r>
      <w:hyperlink r:id="rId18" w:tooltip="PWDA website" w:history="1">
        <w:r w:rsidRPr="004B78DF">
          <w:rPr>
            <w:rStyle w:val="Hyperlink"/>
            <w:bCs w:val="0"/>
            <w:sz w:val="20"/>
            <w:szCs w:val="20"/>
          </w:rPr>
          <w:t>www.pwd.org.au</w:t>
        </w:r>
      </w:hyperlink>
    </w:p>
    <w:p w14:paraId="3391A34A" w14:textId="02B67997" w:rsidR="00665E6E" w:rsidRPr="00687AF0" w:rsidRDefault="00687AF0" w:rsidP="00621B43">
      <w:pPr>
        <w:pStyle w:val="AddressBlockdate"/>
        <w:spacing w:line="312" w:lineRule="auto"/>
        <w:rPr>
          <w:b w:val="0"/>
        </w:rPr>
      </w:pPr>
      <w:r w:rsidRPr="00687AF0">
        <w:rPr>
          <w:b w:val="0"/>
        </w:rPr>
        <w:t xml:space="preserve">Thursday </w:t>
      </w:r>
      <w:r w:rsidR="009C4264" w:rsidRPr="00687AF0">
        <w:rPr>
          <w:b w:val="0"/>
        </w:rPr>
        <w:t xml:space="preserve">11 </w:t>
      </w:r>
      <w:r w:rsidR="00325F7E" w:rsidRPr="00687AF0">
        <w:rPr>
          <w:b w:val="0"/>
        </w:rPr>
        <w:t>May 2023</w:t>
      </w:r>
    </w:p>
    <w:p w14:paraId="4EE0C121" w14:textId="77777777" w:rsidR="003C482D" w:rsidRDefault="003C482D" w:rsidP="00621B43">
      <w:pPr>
        <w:pStyle w:val="AddressBlockdate"/>
        <w:spacing w:line="312" w:lineRule="auto"/>
        <w:rPr>
          <w:bCs/>
        </w:rPr>
      </w:pPr>
    </w:p>
    <w:p w14:paraId="590F9D52" w14:textId="77777777" w:rsidR="003150F5" w:rsidRDefault="00325F7E" w:rsidP="00621B43">
      <w:pPr>
        <w:pStyle w:val="recipientaddress"/>
        <w:spacing w:before="0" w:after="0" w:line="312" w:lineRule="auto"/>
      </w:pPr>
      <w:bookmarkStart w:id="1" w:name="_Hlk87383404"/>
      <w:r>
        <w:t>Administrative Review Taskforce</w:t>
      </w:r>
      <w:r w:rsidR="00310E3F">
        <w:br/>
      </w:r>
      <w:r w:rsidR="00C825DF">
        <w:t>Attorney General’s Department</w:t>
      </w:r>
      <w:r w:rsidR="00310E3F">
        <w:br/>
      </w:r>
      <w:r w:rsidR="00C825DF">
        <w:t>3/5 National Circuit</w:t>
      </w:r>
    </w:p>
    <w:p w14:paraId="753214FD" w14:textId="5F6F1888" w:rsidR="0057465D" w:rsidRDefault="00325F7E" w:rsidP="00621B43">
      <w:pPr>
        <w:pStyle w:val="recipientaddress"/>
        <w:spacing w:before="0" w:after="0" w:line="312" w:lineRule="auto"/>
      </w:pPr>
      <w:r>
        <w:t>B</w:t>
      </w:r>
      <w:r w:rsidR="003150F5">
        <w:t>ARTON</w:t>
      </w:r>
      <w:r>
        <w:t xml:space="preserve"> ACT 2600</w:t>
      </w:r>
    </w:p>
    <w:p w14:paraId="571ECF4C" w14:textId="77777777" w:rsidR="003C482D" w:rsidRPr="00C825DF" w:rsidRDefault="003C482D" w:rsidP="00621B43">
      <w:pPr>
        <w:pStyle w:val="recipientaddress"/>
        <w:spacing w:before="0" w:after="0" w:line="312" w:lineRule="auto"/>
      </w:pPr>
    </w:p>
    <w:p w14:paraId="1D5C1636" w14:textId="7BACA0D1" w:rsidR="0035331A" w:rsidRDefault="0035331A" w:rsidP="00621B43">
      <w:pPr>
        <w:pStyle w:val="recipientaddress"/>
        <w:spacing w:before="0" w:after="0" w:line="312" w:lineRule="auto"/>
        <w:rPr>
          <w:bCs/>
        </w:rPr>
      </w:pPr>
      <w:r>
        <w:t xml:space="preserve">Delivered by email to </w:t>
      </w:r>
      <w:hyperlink r:id="rId19" w:history="1">
        <w:r w:rsidR="00325F7E" w:rsidRPr="000B6F7F">
          <w:rPr>
            <w:rStyle w:val="Hyperlink"/>
            <w:bCs/>
          </w:rPr>
          <w:t>AATReformEnquiries@ag.gov.au</w:t>
        </w:r>
      </w:hyperlink>
      <w:r w:rsidR="00325F7E">
        <w:rPr>
          <w:bCs/>
        </w:rPr>
        <w:t xml:space="preserve"> </w:t>
      </w:r>
    </w:p>
    <w:p w14:paraId="2047AB2D" w14:textId="77777777" w:rsidR="003C482D" w:rsidRDefault="003C482D" w:rsidP="00621B43">
      <w:pPr>
        <w:pStyle w:val="recipientaddress"/>
        <w:spacing w:before="0" w:after="0" w:line="312" w:lineRule="auto"/>
        <w:rPr>
          <w:b/>
        </w:rPr>
      </w:pPr>
    </w:p>
    <w:p w14:paraId="07C63CEA" w14:textId="0F77DAC2" w:rsidR="00944389" w:rsidRDefault="0035331A" w:rsidP="00621B43">
      <w:pPr>
        <w:pStyle w:val="recipientaddress"/>
        <w:spacing w:before="0" w:after="0" w:line="312" w:lineRule="auto"/>
      </w:pPr>
      <w:r>
        <w:t xml:space="preserve">Dear </w:t>
      </w:r>
      <w:bookmarkStart w:id="2" w:name="_Hlk83653413"/>
      <w:bookmarkEnd w:id="1"/>
      <w:r w:rsidR="00FF2124">
        <w:t>Taskforce</w:t>
      </w:r>
      <w:r w:rsidR="00325F7E">
        <w:t xml:space="preserve"> </w:t>
      </w:r>
    </w:p>
    <w:p w14:paraId="5926D45F" w14:textId="77777777" w:rsidR="003C482D" w:rsidRDefault="003C482D" w:rsidP="00621B43">
      <w:pPr>
        <w:pStyle w:val="recipientaddress"/>
        <w:spacing w:before="0" w:after="0" w:line="312" w:lineRule="auto"/>
      </w:pPr>
    </w:p>
    <w:p w14:paraId="6DD02D4F" w14:textId="09A4EEA2" w:rsidR="003C482D" w:rsidRDefault="003C482D" w:rsidP="00621B43">
      <w:pPr>
        <w:pStyle w:val="recipientaddress"/>
        <w:spacing w:before="0" w:after="0" w:line="312" w:lineRule="auto"/>
      </w:pPr>
      <w:r>
        <w:t xml:space="preserve">We thank you for the opportunity to provide this submission to the Attorney-General Department’s </w:t>
      </w:r>
      <w:hyperlink r:id="rId20" w:history="1">
        <w:r w:rsidR="00670EB5" w:rsidRPr="00080684">
          <w:rPr>
            <w:rStyle w:val="Hyperlink"/>
            <w:rFonts w:ascii="Arial" w:hAnsi="Arial" w:cs="Arial"/>
          </w:rPr>
          <w:t>Administrative Review Reform Issues Paper</w:t>
        </w:r>
      </w:hyperlink>
      <w:r w:rsidR="00670EB5" w:rsidRPr="00080684">
        <w:rPr>
          <w:rFonts w:ascii="Arial" w:hAnsi="Arial" w:cs="Arial"/>
          <w:color w:val="000000"/>
        </w:rPr>
        <w:t>.</w:t>
      </w:r>
    </w:p>
    <w:p w14:paraId="4E35EBE0" w14:textId="77777777" w:rsidR="003C482D" w:rsidRDefault="003C482D" w:rsidP="00621B43">
      <w:pPr>
        <w:pStyle w:val="recipientaddress"/>
        <w:spacing w:before="0" w:after="0" w:line="312" w:lineRule="auto"/>
      </w:pPr>
    </w:p>
    <w:p w14:paraId="37EDF1F9" w14:textId="77777777" w:rsidR="00C00E3D" w:rsidRDefault="00000000" w:rsidP="00621B43">
      <w:pPr>
        <w:pStyle w:val="recipientaddress"/>
        <w:spacing w:before="0" w:after="0" w:line="312" w:lineRule="auto"/>
        <w:rPr>
          <w:rFonts w:ascii="Arial" w:hAnsi="Arial" w:cs="Arial"/>
          <w:color w:val="000000"/>
        </w:rPr>
      </w:pPr>
      <w:hyperlink r:id="rId21" w:history="1">
        <w:r w:rsidR="00670EB5" w:rsidRPr="00670EB5">
          <w:rPr>
            <w:rStyle w:val="Hyperlink"/>
          </w:rPr>
          <w:t>People with Disability Australia</w:t>
        </w:r>
      </w:hyperlink>
      <w:r w:rsidR="00670EB5">
        <w:rPr>
          <w:bCs/>
        </w:rPr>
        <w:t xml:space="preserve"> (PWDA) </w:t>
      </w:r>
      <w:r w:rsidR="00670EB5" w:rsidRPr="008F750C">
        <w:rPr>
          <w:rFonts w:ascii="Arial" w:hAnsi="Arial" w:cs="Arial"/>
          <w:color w:val="000000"/>
        </w:rPr>
        <w:t xml:space="preserve">is a leading disability rights advocacy and representative organisation and the only Australian national cross-disability organisation representing the interests of </w:t>
      </w:r>
      <w:r w:rsidR="00670EB5">
        <w:rPr>
          <w:rFonts w:ascii="Arial" w:hAnsi="Arial" w:cs="Arial"/>
          <w:color w:val="000000"/>
        </w:rPr>
        <w:t>all people with disability.</w:t>
      </w:r>
      <w:r w:rsidR="00670EB5" w:rsidRPr="008F750C">
        <w:rPr>
          <w:rFonts w:ascii="Arial" w:hAnsi="Arial" w:cs="Arial"/>
          <w:color w:val="000000"/>
        </w:rPr>
        <w:t xml:space="preserve"> </w:t>
      </w:r>
    </w:p>
    <w:p w14:paraId="5246F08A" w14:textId="77777777" w:rsidR="00C00E3D" w:rsidRDefault="00C00E3D" w:rsidP="00621B43">
      <w:pPr>
        <w:pStyle w:val="recipientaddress"/>
        <w:spacing w:before="0" w:after="0" w:line="312" w:lineRule="auto"/>
        <w:rPr>
          <w:rFonts w:ascii="Arial" w:hAnsi="Arial" w:cs="Arial"/>
          <w:color w:val="000000"/>
        </w:rPr>
      </w:pPr>
    </w:p>
    <w:p w14:paraId="29C8881B" w14:textId="77777777" w:rsidR="006053F1" w:rsidRDefault="00670EB5" w:rsidP="00621B43">
      <w:pPr>
        <w:pStyle w:val="recipientaddress"/>
        <w:spacing w:before="0" w:after="0" w:line="312" w:lineRule="auto"/>
        <w:rPr>
          <w:rFonts w:ascii="Arial" w:hAnsi="Arial" w:cs="Arial"/>
          <w:color w:val="000000"/>
        </w:rPr>
      </w:pPr>
      <w:r>
        <w:rPr>
          <w:rFonts w:ascii="Arial" w:hAnsi="Arial" w:cs="Arial"/>
          <w:color w:val="000000"/>
        </w:rPr>
        <w:t xml:space="preserve">PWDA also receives funding from </w:t>
      </w:r>
      <w:r w:rsidR="000D1508">
        <w:rPr>
          <w:rFonts w:ascii="Arial" w:hAnsi="Arial" w:cs="Arial"/>
          <w:color w:val="000000"/>
        </w:rPr>
        <w:t>the Department</w:t>
      </w:r>
      <w:r>
        <w:rPr>
          <w:rFonts w:ascii="Arial" w:hAnsi="Arial" w:cs="Arial"/>
          <w:color w:val="000000"/>
        </w:rPr>
        <w:t xml:space="preserve"> of Social Services</w:t>
      </w:r>
      <w:r w:rsidR="008115C0">
        <w:rPr>
          <w:rFonts w:ascii="Arial" w:hAnsi="Arial" w:cs="Arial"/>
          <w:color w:val="000000"/>
        </w:rPr>
        <w:t xml:space="preserve">’ </w:t>
      </w:r>
      <w:r w:rsidR="00F8311B">
        <w:rPr>
          <w:rFonts w:ascii="Arial" w:hAnsi="Arial" w:cs="Arial"/>
          <w:color w:val="000000"/>
        </w:rPr>
        <w:t>Disability and Carer Program</w:t>
      </w:r>
      <w:r w:rsidR="00582DD2">
        <w:rPr>
          <w:rFonts w:ascii="Arial" w:hAnsi="Arial" w:cs="Arial"/>
          <w:color w:val="000000"/>
        </w:rPr>
        <w:t xml:space="preserve"> </w:t>
      </w:r>
      <w:r w:rsidR="00DC1CF8">
        <w:rPr>
          <w:rFonts w:ascii="Arial" w:hAnsi="Arial" w:cs="Arial"/>
          <w:color w:val="000000"/>
        </w:rPr>
        <w:t xml:space="preserve">to provide individual advocacy support </w:t>
      </w:r>
      <w:r w:rsidR="009C78AD">
        <w:rPr>
          <w:rFonts w:ascii="Arial" w:hAnsi="Arial" w:cs="Arial"/>
          <w:color w:val="000000"/>
        </w:rPr>
        <w:t xml:space="preserve">for </w:t>
      </w:r>
      <w:r>
        <w:rPr>
          <w:rFonts w:ascii="Arial" w:hAnsi="Arial" w:cs="Arial"/>
          <w:color w:val="000000"/>
        </w:rPr>
        <w:t>National Disability Insurance Scheme (NDIS)</w:t>
      </w:r>
      <w:r w:rsidR="000C1031">
        <w:rPr>
          <w:rFonts w:ascii="Arial" w:hAnsi="Arial" w:cs="Arial"/>
          <w:color w:val="000000"/>
        </w:rPr>
        <w:t xml:space="preserve"> participants </w:t>
      </w:r>
      <w:r w:rsidR="00F8311B">
        <w:rPr>
          <w:rFonts w:ascii="Arial" w:hAnsi="Arial" w:cs="Arial"/>
          <w:color w:val="000000"/>
        </w:rPr>
        <w:t xml:space="preserve">seeking to </w:t>
      </w:r>
      <w:r>
        <w:rPr>
          <w:rFonts w:ascii="Arial" w:hAnsi="Arial" w:cs="Arial"/>
          <w:color w:val="000000"/>
        </w:rPr>
        <w:t>review</w:t>
      </w:r>
      <w:r w:rsidR="00F8311B">
        <w:rPr>
          <w:rFonts w:ascii="Arial" w:hAnsi="Arial" w:cs="Arial"/>
          <w:color w:val="000000"/>
        </w:rPr>
        <w:t xml:space="preserve"> and appeal</w:t>
      </w:r>
      <w:r>
        <w:rPr>
          <w:rFonts w:ascii="Arial" w:hAnsi="Arial" w:cs="Arial"/>
          <w:color w:val="000000"/>
        </w:rPr>
        <w:t xml:space="preserve"> </w:t>
      </w:r>
      <w:r w:rsidR="00C00E3D">
        <w:rPr>
          <w:rFonts w:ascii="Arial" w:hAnsi="Arial" w:cs="Arial"/>
          <w:color w:val="000000"/>
        </w:rPr>
        <w:t>N</w:t>
      </w:r>
      <w:r>
        <w:rPr>
          <w:rFonts w:ascii="Arial" w:hAnsi="Arial" w:cs="Arial"/>
          <w:color w:val="000000"/>
        </w:rPr>
        <w:t xml:space="preserve">DIS decisions.   </w:t>
      </w:r>
    </w:p>
    <w:p w14:paraId="425BAAEC" w14:textId="77777777" w:rsidR="006053F1" w:rsidRDefault="006053F1" w:rsidP="00621B43">
      <w:pPr>
        <w:pStyle w:val="recipientaddress"/>
        <w:spacing w:before="0" w:after="0" w:line="312" w:lineRule="auto"/>
        <w:rPr>
          <w:rFonts w:ascii="Arial" w:hAnsi="Arial" w:cs="Arial"/>
          <w:color w:val="000000"/>
        </w:rPr>
      </w:pPr>
    </w:p>
    <w:p w14:paraId="2D583FDD" w14:textId="0D1A3B25" w:rsidR="003C482D" w:rsidRPr="000C1031" w:rsidRDefault="00D10D9D" w:rsidP="00621B43">
      <w:pPr>
        <w:pStyle w:val="recipientaddress"/>
        <w:spacing w:before="0" w:after="0" w:line="312" w:lineRule="auto"/>
        <w:rPr>
          <w:rFonts w:ascii="Arial" w:hAnsi="Arial" w:cs="Arial"/>
          <w:color w:val="000000"/>
        </w:rPr>
      </w:pPr>
      <w:r>
        <w:rPr>
          <w:rFonts w:ascii="Arial" w:hAnsi="Arial" w:cs="Arial"/>
          <w:color w:val="000000"/>
        </w:rPr>
        <w:t xml:space="preserve">Additionally, PWDA </w:t>
      </w:r>
      <w:r w:rsidR="003260A4">
        <w:rPr>
          <w:rFonts w:ascii="Arial" w:hAnsi="Arial" w:cs="Arial"/>
          <w:color w:val="000000"/>
        </w:rPr>
        <w:t>receives funding to provide individual advocacy support for NDIS participants who wish</w:t>
      </w:r>
      <w:r w:rsidR="00C117D2">
        <w:rPr>
          <w:rFonts w:ascii="Arial" w:hAnsi="Arial" w:cs="Arial"/>
          <w:color w:val="000000"/>
        </w:rPr>
        <w:t xml:space="preserve"> </w:t>
      </w:r>
      <w:r w:rsidR="003260A4">
        <w:rPr>
          <w:rFonts w:ascii="Arial" w:hAnsi="Arial" w:cs="Arial"/>
          <w:color w:val="000000"/>
        </w:rPr>
        <w:t xml:space="preserve">to </w:t>
      </w:r>
      <w:r w:rsidR="00C117D2">
        <w:rPr>
          <w:rFonts w:ascii="Arial" w:hAnsi="Arial" w:cs="Arial"/>
          <w:color w:val="000000"/>
        </w:rPr>
        <w:t xml:space="preserve">have their matter considered via the </w:t>
      </w:r>
      <w:r w:rsidR="003260A4">
        <w:rPr>
          <w:rFonts w:ascii="Arial" w:hAnsi="Arial" w:cs="Arial"/>
          <w:color w:val="000000"/>
        </w:rPr>
        <w:t xml:space="preserve">Independent Expert Review </w:t>
      </w:r>
      <w:r w:rsidR="00C117D2">
        <w:rPr>
          <w:rFonts w:ascii="Arial" w:hAnsi="Arial" w:cs="Arial"/>
          <w:color w:val="000000"/>
        </w:rPr>
        <w:t xml:space="preserve">(IER) process. </w:t>
      </w:r>
    </w:p>
    <w:p w14:paraId="5C9B2899" w14:textId="495C5222" w:rsidR="00670EB5" w:rsidRDefault="00670EB5" w:rsidP="00621B43">
      <w:pPr>
        <w:pStyle w:val="recipientaddress"/>
        <w:spacing w:before="0" w:after="0" w:line="312" w:lineRule="auto"/>
        <w:rPr>
          <w:bCs/>
        </w:rPr>
      </w:pPr>
    </w:p>
    <w:p w14:paraId="613411CD" w14:textId="239DCF40" w:rsidR="005D39CF" w:rsidRDefault="00670EB5" w:rsidP="00621B43">
      <w:pPr>
        <w:pStyle w:val="recipientaddress"/>
        <w:spacing w:before="0" w:after="0" w:line="312" w:lineRule="auto"/>
        <w:rPr>
          <w:rFonts w:ascii="Arial" w:hAnsi="Arial" w:cs="Arial"/>
          <w:color w:val="000000"/>
        </w:rPr>
      </w:pPr>
      <w:r>
        <w:rPr>
          <w:bCs/>
        </w:rPr>
        <w:t xml:space="preserve">This submission is based </w:t>
      </w:r>
      <w:r>
        <w:rPr>
          <w:rFonts w:ascii="Arial" w:hAnsi="Arial" w:cs="Arial"/>
          <w:color w:val="000000"/>
        </w:rPr>
        <w:t xml:space="preserve">on feedback from our NDIS appeals advocates, who assisted in 335 NDIS appeals matters in the 2021-2022 financial year. The submission outlines the key issues our advocates have experienced with the Administrative Appeals Tribunal (AAT), and corresponding recommendations for the new review body.  </w:t>
      </w:r>
    </w:p>
    <w:p w14:paraId="3044DD34" w14:textId="77777777" w:rsidR="00670EB5" w:rsidRDefault="00670EB5" w:rsidP="00621B43">
      <w:pPr>
        <w:pStyle w:val="recipientaddress"/>
        <w:spacing w:before="0" w:after="0" w:line="312" w:lineRule="auto"/>
        <w:rPr>
          <w:rFonts w:ascii="Arial" w:hAnsi="Arial" w:cs="Arial"/>
          <w:color w:val="000000"/>
        </w:rPr>
      </w:pPr>
    </w:p>
    <w:p w14:paraId="3298A584" w14:textId="27DA7D97" w:rsidR="002F1799" w:rsidRPr="00E94B30" w:rsidRDefault="002F1799" w:rsidP="00621B43">
      <w:pPr>
        <w:pStyle w:val="Heading2"/>
        <w:spacing w:before="0" w:line="312" w:lineRule="auto"/>
      </w:pPr>
      <w:r>
        <w:lastRenderedPageBreak/>
        <w:t>Issue 1: N</w:t>
      </w:r>
      <w:r w:rsidR="00BB28E7">
        <w:t>ational Disability Insurance Agenc</w:t>
      </w:r>
      <w:r w:rsidR="00DA4288">
        <w:t xml:space="preserve">y </w:t>
      </w:r>
      <w:r w:rsidR="00FF40E5">
        <w:t xml:space="preserve">engagement in dispute resolution processes </w:t>
      </w:r>
    </w:p>
    <w:p w14:paraId="6B0F009D" w14:textId="77777777" w:rsidR="005E2B7A" w:rsidRDefault="005E2B7A" w:rsidP="00621B43">
      <w:pPr>
        <w:spacing w:before="0" w:after="0" w:line="312" w:lineRule="auto"/>
        <w:jc w:val="both"/>
        <w:rPr>
          <w:rFonts w:ascii="Arial" w:hAnsi="Arial" w:cs="Arial"/>
        </w:rPr>
      </w:pPr>
    </w:p>
    <w:p w14:paraId="0A7591B5" w14:textId="53A48F01" w:rsidR="00FF40E5" w:rsidRDefault="00FF40E5" w:rsidP="00621B43">
      <w:pPr>
        <w:spacing w:before="0" w:after="0" w:line="312" w:lineRule="auto"/>
        <w:jc w:val="both"/>
        <w:rPr>
          <w:rFonts w:ascii="Arial" w:hAnsi="Arial" w:cs="Arial"/>
        </w:rPr>
      </w:pPr>
      <w:r>
        <w:rPr>
          <w:rFonts w:ascii="Arial" w:hAnsi="Arial" w:cs="Arial"/>
        </w:rPr>
        <w:t>Section 34</w:t>
      </w:r>
      <w:proofErr w:type="gramStart"/>
      <w:r>
        <w:rPr>
          <w:rFonts w:ascii="Arial" w:hAnsi="Arial" w:cs="Arial"/>
        </w:rPr>
        <w:t>A(</w:t>
      </w:r>
      <w:proofErr w:type="gramEnd"/>
      <w:r>
        <w:rPr>
          <w:rFonts w:ascii="Arial" w:hAnsi="Arial" w:cs="Arial"/>
        </w:rPr>
        <w:t xml:space="preserve">5) of the </w:t>
      </w:r>
      <w:r>
        <w:rPr>
          <w:rFonts w:ascii="Arial" w:hAnsi="Arial" w:cs="Arial"/>
          <w:i/>
          <w:iCs/>
        </w:rPr>
        <w:t xml:space="preserve">Administrative Appeals Tribunal Act </w:t>
      </w:r>
      <w:r w:rsidRPr="00EC4143">
        <w:rPr>
          <w:rFonts w:ascii="Arial" w:hAnsi="Arial" w:cs="Arial"/>
          <w:i/>
          <w:iCs/>
        </w:rPr>
        <w:t>1975</w:t>
      </w:r>
      <w:r>
        <w:rPr>
          <w:rFonts w:ascii="Arial" w:hAnsi="Arial" w:cs="Arial"/>
        </w:rPr>
        <w:t xml:space="preserve"> (</w:t>
      </w:r>
      <w:proofErr w:type="spellStart"/>
      <w:r>
        <w:rPr>
          <w:rFonts w:ascii="Arial" w:hAnsi="Arial" w:cs="Arial"/>
        </w:rPr>
        <w:t>Cth</w:t>
      </w:r>
      <w:proofErr w:type="spellEnd"/>
      <w:r>
        <w:rPr>
          <w:rFonts w:ascii="Arial" w:hAnsi="Arial" w:cs="Arial"/>
        </w:rPr>
        <w:t xml:space="preserve">) requires parties to act in good faith when participating in alternative dispute resolution </w:t>
      </w:r>
      <w:r w:rsidR="006C3FE7">
        <w:rPr>
          <w:rFonts w:ascii="Arial" w:hAnsi="Arial" w:cs="Arial"/>
        </w:rPr>
        <w:t xml:space="preserve">(ADR) </w:t>
      </w:r>
      <w:r>
        <w:rPr>
          <w:rFonts w:ascii="Arial" w:hAnsi="Arial" w:cs="Arial"/>
        </w:rPr>
        <w:t>processes, including case conferences. This includes treating other parties with respect</w:t>
      </w:r>
      <w:r w:rsidR="006C3FE7">
        <w:rPr>
          <w:rFonts w:ascii="Arial" w:hAnsi="Arial" w:cs="Arial"/>
        </w:rPr>
        <w:t>, ensuring that the person attending the ADR process has the necessary authority to settle the case and disclosing information in a timely fashion</w:t>
      </w:r>
      <w:r>
        <w:rPr>
          <w:rFonts w:ascii="Arial" w:hAnsi="Arial" w:cs="Arial"/>
        </w:rPr>
        <w:t>.</w:t>
      </w:r>
      <w:r w:rsidR="006C3FE7">
        <w:rPr>
          <w:rStyle w:val="FootnoteReference"/>
          <w:rFonts w:ascii="Arial" w:hAnsi="Arial" w:cs="Arial"/>
        </w:rPr>
        <w:footnoteReference w:id="1"/>
      </w:r>
      <w:r>
        <w:rPr>
          <w:rFonts w:ascii="Arial" w:hAnsi="Arial" w:cs="Arial"/>
        </w:rPr>
        <w:t xml:space="preserve"> The NDIA and its representatives are also obliged to act as ‘model litigants’ under the </w:t>
      </w:r>
      <w:r>
        <w:rPr>
          <w:rFonts w:ascii="Arial" w:hAnsi="Arial" w:cs="Arial"/>
          <w:i/>
          <w:iCs/>
        </w:rPr>
        <w:t xml:space="preserve">Legal Services Directions 2005 </w:t>
      </w:r>
      <w:r>
        <w:rPr>
          <w:rFonts w:ascii="Arial" w:hAnsi="Arial" w:cs="Arial"/>
        </w:rPr>
        <w:t>(</w:t>
      </w:r>
      <w:proofErr w:type="spellStart"/>
      <w:r>
        <w:rPr>
          <w:rFonts w:ascii="Arial" w:hAnsi="Arial" w:cs="Arial"/>
        </w:rPr>
        <w:t>Cth</w:t>
      </w:r>
      <w:proofErr w:type="spellEnd"/>
      <w:r>
        <w:rPr>
          <w:rFonts w:ascii="Arial" w:hAnsi="Arial" w:cs="Arial"/>
        </w:rPr>
        <w:t xml:space="preserve">). </w:t>
      </w:r>
    </w:p>
    <w:p w14:paraId="4620D85C" w14:textId="77777777" w:rsidR="000D1508" w:rsidRPr="00E1424C" w:rsidRDefault="000D1508" w:rsidP="00621B43">
      <w:pPr>
        <w:spacing w:before="0" w:after="0" w:line="312" w:lineRule="auto"/>
        <w:jc w:val="both"/>
        <w:rPr>
          <w:rFonts w:ascii="Arial" w:hAnsi="Arial" w:cs="Arial"/>
          <w:color w:val="FF0000"/>
        </w:rPr>
      </w:pPr>
    </w:p>
    <w:p w14:paraId="492D4CA6" w14:textId="271F0C5C" w:rsidR="00FF40E5" w:rsidRDefault="001A4DC3" w:rsidP="00621B43">
      <w:pPr>
        <w:spacing w:before="0" w:after="0" w:line="312" w:lineRule="auto"/>
        <w:jc w:val="both"/>
        <w:rPr>
          <w:rFonts w:ascii="Arial" w:hAnsi="Arial" w:cs="Arial"/>
        </w:rPr>
      </w:pPr>
      <w:r>
        <w:rPr>
          <w:rFonts w:ascii="Arial" w:hAnsi="Arial" w:cs="Arial"/>
        </w:rPr>
        <w:t>Despite these obligations</w:t>
      </w:r>
      <w:r w:rsidR="00FF40E5">
        <w:rPr>
          <w:rFonts w:ascii="Arial" w:hAnsi="Arial" w:cs="Arial"/>
        </w:rPr>
        <w:t>, our advocates have raised concerns about the</w:t>
      </w:r>
      <w:r w:rsidR="00FD7E07">
        <w:rPr>
          <w:rFonts w:ascii="Arial" w:hAnsi="Arial" w:cs="Arial"/>
        </w:rPr>
        <w:t xml:space="preserve"> conduct of the National Disability Insurance Agency (</w:t>
      </w:r>
      <w:r w:rsidR="00FF40E5">
        <w:rPr>
          <w:rFonts w:ascii="Arial" w:hAnsi="Arial" w:cs="Arial"/>
        </w:rPr>
        <w:t>NDIA</w:t>
      </w:r>
      <w:r w:rsidR="00FD7E07">
        <w:rPr>
          <w:rFonts w:ascii="Arial" w:hAnsi="Arial" w:cs="Arial"/>
        </w:rPr>
        <w:t xml:space="preserve">) </w:t>
      </w:r>
      <w:r w:rsidR="00FF40E5">
        <w:rPr>
          <w:rFonts w:ascii="Arial" w:hAnsi="Arial" w:cs="Arial"/>
        </w:rPr>
        <w:t xml:space="preserve">in dispute resolution processes both prior to and at the AAT. </w:t>
      </w:r>
    </w:p>
    <w:p w14:paraId="5F9F265B" w14:textId="77777777" w:rsidR="000D1508" w:rsidRDefault="000D1508" w:rsidP="00621B43">
      <w:pPr>
        <w:spacing w:before="0" w:after="0" w:line="312" w:lineRule="auto"/>
        <w:jc w:val="both"/>
        <w:rPr>
          <w:rFonts w:ascii="Arial" w:hAnsi="Arial" w:cs="Arial"/>
        </w:rPr>
      </w:pPr>
    </w:p>
    <w:p w14:paraId="4FF122F3" w14:textId="7D38E383" w:rsidR="000D1508" w:rsidRPr="000D1508" w:rsidRDefault="00E1424C" w:rsidP="00621B43">
      <w:pPr>
        <w:pStyle w:val="Heading3"/>
        <w:spacing w:after="0" w:line="312" w:lineRule="auto"/>
      </w:pPr>
      <w:r>
        <w:t xml:space="preserve">NDIA conduct prior to the AAT </w:t>
      </w:r>
    </w:p>
    <w:p w14:paraId="7AD6E4CE" w14:textId="77777777" w:rsidR="000D1508" w:rsidRDefault="000D1508" w:rsidP="00621B43">
      <w:pPr>
        <w:spacing w:before="0" w:after="0" w:line="312" w:lineRule="auto"/>
        <w:jc w:val="both"/>
        <w:rPr>
          <w:rFonts w:ascii="Arial" w:hAnsi="Arial" w:cs="Arial"/>
        </w:rPr>
      </w:pPr>
    </w:p>
    <w:p w14:paraId="3A54BA66" w14:textId="0A7D0FE1" w:rsidR="00335B6F" w:rsidRDefault="004E4983" w:rsidP="00621B43">
      <w:pPr>
        <w:spacing w:before="0" w:after="0" w:line="312" w:lineRule="auto"/>
        <w:jc w:val="both"/>
        <w:rPr>
          <w:rFonts w:ascii="Arial" w:hAnsi="Arial" w:cs="Arial"/>
        </w:rPr>
      </w:pPr>
      <w:r>
        <w:rPr>
          <w:rFonts w:ascii="Arial" w:hAnsi="Arial" w:cs="Arial"/>
        </w:rPr>
        <w:t xml:space="preserve">Our advocates report that the NDIA </w:t>
      </w:r>
      <w:r w:rsidR="000C7744">
        <w:rPr>
          <w:rFonts w:ascii="Arial" w:hAnsi="Arial" w:cs="Arial"/>
        </w:rPr>
        <w:t xml:space="preserve">rejects </w:t>
      </w:r>
      <w:r>
        <w:rPr>
          <w:rFonts w:ascii="Arial" w:hAnsi="Arial" w:cs="Arial"/>
        </w:rPr>
        <w:t>plans</w:t>
      </w:r>
      <w:r w:rsidR="002F1799" w:rsidRPr="00213043">
        <w:rPr>
          <w:rFonts w:ascii="Arial" w:hAnsi="Arial" w:cs="Arial"/>
        </w:rPr>
        <w:t xml:space="preserve"> </w:t>
      </w:r>
      <w:r w:rsidR="00350762">
        <w:rPr>
          <w:rFonts w:ascii="Arial" w:hAnsi="Arial" w:cs="Arial"/>
        </w:rPr>
        <w:t xml:space="preserve">at first instance, </w:t>
      </w:r>
      <w:r w:rsidR="002F1799" w:rsidRPr="00213043">
        <w:rPr>
          <w:rFonts w:ascii="Arial" w:hAnsi="Arial" w:cs="Arial"/>
        </w:rPr>
        <w:t xml:space="preserve">without contacting participants </w:t>
      </w:r>
      <w:r w:rsidR="00350762">
        <w:rPr>
          <w:rFonts w:ascii="Arial" w:hAnsi="Arial" w:cs="Arial"/>
        </w:rPr>
        <w:t>to ask for further information and clarification</w:t>
      </w:r>
      <w:r w:rsidR="002F1799" w:rsidRPr="00213043">
        <w:rPr>
          <w:rFonts w:ascii="Arial" w:hAnsi="Arial" w:cs="Arial"/>
        </w:rPr>
        <w:t xml:space="preserve">. </w:t>
      </w:r>
      <w:r w:rsidR="00350762">
        <w:rPr>
          <w:rFonts w:ascii="Arial" w:hAnsi="Arial" w:cs="Arial"/>
        </w:rPr>
        <w:t>As a result, matters are then progressed to internal review, where the NDIA routinely repeats its initial decision</w:t>
      </w:r>
      <w:r w:rsidR="002F1799" w:rsidRPr="00213043">
        <w:rPr>
          <w:rFonts w:ascii="Arial" w:hAnsi="Arial" w:cs="Arial"/>
        </w:rPr>
        <w:t xml:space="preserve">. </w:t>
      </w:r>
      <w:r w:rsidR="00350762">
        <w:rPr>
          <w:rFonts w:ascii="Arial" w:hAnsi="Arial" w:cs="Arial"/>
        </w:rPr>
        <w:t xml:space="preserve">When a participant lodges a review application </w:t>
      </w:r>
      <w:r w:rsidR="00C92FD9">
        <w:rPr>
          <w:rFonts w:ascii="Arial" w:hAnsi="Arial" w:cs="Arial"/>
        </w:rPr>
        <w:t>at</w:t>
      </w:r>
      <w:r w:rsidR="00350762">
        <w:rPr>
          <w:rFonts w:ascii="Arial" w:hAnsi="Arial" w:cs="Arial"/>
        </w:rPr>
        <w:t xml:space="preserve"> the AAT, the NDIA assigns a special case manager to conduct dispute resolution. </w:t>
      </w:r>
    </w:p>
    <w:p w14:paraId="30D50796" w14:textId="77777777" w:rsidR="000D1508" w:rsidRDefault="000D1508" w:rsidP="00621B43">
      <w:pPr>
        <w:spacing w:before="0" w:after="0" w:line="312" w:lineRule="auto"/>
        <w:jc w:val="both"/>
        <w:rPr>
          <w:rFonts w:ascii="Arial" w:hAnsi="Arial" w:cs="Arial"/>
        </w:rPr>
      </w:pPr>
    </w:p>
    <w:p w14:paraId="21E4F8BC" w14:textId="77777777" w:rsidR="000D1508" w:rsidRDefault="00350762" w:rsidP="00621B43">
      <w:pPr>
        <w:spacing w:before="0" w:after="0" w:line="312" w:lineRule="auto"/>
        <w:jc w:val="both"/>
        <w:rPr>
          <w:rFonts w:ascii="Arial" w:hAnsi="Arial" w:cs="Arial"/>
        </w:rPr>
      </w:pPr>
      <w:r>
        <w:rPr>
          <w:rFonts w:ascii="Arial" w:hAnsi="Arial" w:cs="Arial"/>
        </w:rPr>
        <w:t xml:space="preserve">Before AAT cases proceed to case conference, NDIA case managers cold-call participants, </w:t>
      </w:r>
      <w:r w:rsidR="00335B6F">
        <w:rPr>
          <w:rFonts w:ascii="Arial" w:hAnsi="Arial" w:cs="Arial"/>
        </w:rPr>
        <w:t xml:space="preserve">and offer marginal increases to </w:t>
      </w:r>
      <w:r w:rsidR="00654B23">
        <w:rPr>
          <w:rFonts w:ascii="Arial" w:hAnsi="Arial" w:cs="Arial"/>
        </w:rPr>
        <w:t>NDIS plan</w:t>
      </w:r>
      <w:r w:rsidR="006100D9">
        <w:rPr>
          <w:rFonts w:ascii="Arial" w:hAnsi="Arial" w:cs="Arial"/>
        </w:rPr>
        <w:t>s</w:t>
      </w:r>
      <w:r w:rsidR="00654B23">
        <w:rPr>
          <w:rFonts w:ascii="Arial" w:hAnsi="Arial" w:cs="Arial"/>
        </w:rPr>
        <w:t>. Participants report that these case managers offer vague explanations and pressure participants to</w:t>
      </w:r>
      <w:r w:rsidR="002F1799" w:rsidRPr="00213043">
        <w:rPr>
          <w:rFonts w:ascii="Arial" w:hAnsi="Arial" w:cs="Arial"/>
        </w:rPr>
        <w:t xml:space="preserve"> </w:t>
      </w:r>
      <w:r w:rsidR="00654B23">
        <w:rPr>
          <w:rFonts w:ascii="Arial" w:hAnsi="Arial" w:cs="Arial"/>
        </w:rPr>
        <w:t xml:space="preserve">provide an immediate response, without allowing time to consider </w:t>
      </w:r>
      <w:r w:rsidR="00DE2C09">
        <w:rPr>
          <w:rFonts w:ascii="Arial" w:hAnsi="Arial" w:cs="Arial"/>
        </w:rPr>
        <w:t xml:space="preserve">the offer </w:t>
      </w:r>
      <w:r w:rsidR="00654B23">
        <w:rPr>
          <w:rFonts w:ascii="Arial" w:hAnsi="Arial" w:cs="Arial"/>
        </w:rPr>
        <w:t>and consult support people</w:t>
      </w:r>
      <w:r w:rsidR="002F1799" w:rsidRPr="00213043">
        <w:rPr>
          <w:rFonts w:ascii="Arial" w:hAnsi="Arial" w:cs="Arial"/>
        </w:rPr>
        <w:t>.</w:t>
      </w:r>
    </w:p>
    <w:p w14:paraId="52FB39E9" w14:textId="3E2EBBBC" w:rsidR="002F1799" w:rsidRDefault="002F1799" w:rsidP="00621B43">
      <w:pPr>
        <w:spacing w:before="0" w:after="0" w:line="312" w:lineRule="auto"/>
        <w:jc w:val="both"/>
        <w:rPr>
          <w:rFonts w:ascii="Arial" w:hAnsi="Arial" w:cs="Arial"/>
        </w:rPr>
      </w:pPr>
      <w:r w:rsidRPr="00213043">
        <w:rPr>
          <w:rFonts w:ascii="Arial" w:hAnsi="Arial" w:cs="Arial"/>
        </w:rPr>
        <w:t xml:space="preserve">   </w:t>
      </w:r>
    </w:p>
    <w:p w14:paraId="0964CE3D" w14:textId="486CA059" w:rsidR="00B90B66" w:rsidRDefault="00B90B66" w:rsidP="00621B43">
      <w:pPr>
        <w:spacing w:before="0" w:after="0" w:line="312" w:lineRule="auto"/>
        <w:jc w:val="both"/>
        <w:rPr>
          <w:rFonts w:ascii="Arial" w:hAnsi="Arial" w:cs="Arial"/>
        </w:rPr>
      </w:pPr>
      <w:r>
        <w:rPr>
          <w:rFonts w:ascii="Arial" w:hAnsi="Arial" w:cs="Arial"/>
        </w:rPr>
        <w:t xml:space="preserve">To promote </w:t>
      </w:r>
      <w:r w:rsidR="00DE2C09">
        <w:rPr>
          <w:rFonts w:ascii="Arial" w:hAnsi="Arial" w:cs="Arial"/>
        </w:rPr>
        <w:t xml:space="preserve">good </w:t>
      </w:r>
      <w:proofErr w:type="gramStart"/>
      <w:r w:rsidR="00DE2C09">
        <w:rPr>
          <w:rFonts w:ascii="Arial" w:hAnsi="Arial" w:cs="Arial"/>
        </w:rPr>
        <w:t>faith</w:t>
      </w:r>
      <w:proofErr w:type="gramEnd"/>
      <w:r w:rsidR="00DE2C09">
        <w:rPr>
          <w:rFonts w:ascii="Arial" w:hAnsi="Arial" w:cs="Arial"/>
        </w:rPr>
        <w:t xml:space="preserve"> conduct and </w:t>
      </w:r>
      <w:r>
        <w:rPr>
          <w:rFonts w:ascii="Arial" w:hAnsi="Arial" w:cs="Arial"/>
        </w:rPr>
        <w:t xml:space="preserve">prevent cases unnecessarily progressing to the new review body, we recommend that: </w:t>
      </w:r>
    </w:p>
    <w:p w14:paraId="3CE4B71B" w14:textId="77777777" w:rsidR="000D1508" w:rsidRPr="00FF40E5" w:rsidRDefault="000D1508" w:rsidP="00621B43">
      <w:pPr>
        <w:spacing w:before="0" w:after="0" w:line="312" w:lineRule="auto"/>
        <w:jc w:val="both"/>
        <w:rPr>
          <w:rFonts w:ascii="Arial" w:hAnsi="Arial" w:cs="Arial"/>
        </w:rPr>
      </w:pPr>
    </w:p>
    <w:p w14:paraId="28A6A2B8" w14:textId="77777777" w:rsidR="007D4451" w:rsidRDefault="00B90B66" w:rsidP="00621B43">
      <w:pPr>
        <w:spacing w:before="0" w:after="0" w:line="312" w:lineRule="auto"/>
        <w:jc w:val="both"/>
        <w:rPr>
          <w:rFonts w:ascii="Arial" w:hAnsi="Arial" w:cs="Arial"/>
        </w:rPr>
      </w:pPr>
      <w:r w:rsidRPr="00213043">
        <w:rPr>
          <w:rFonts w:ascii="Arial" w:hAnsi="Arial" w:cs="Arial"/>
          <w:b/>
          <w:bCs/>
        </w:rPr>
        <w:t>Recommendation</w:t>
      </w:r>
      <w:r>
        <w:rPr>
          <w:rFonts w:ascii="Arial" w:hAnsi="Arial" w:cs="Arial"/>
          <w:b/>
          <w:bCs/>
        </w:rPr>
        <w:t xml:space="preserve"> </w:t>
      </w:r>
      <w:r w:rsidR="000D1508">
        <w:rPr>
          <w:rFonts w:ascii="Arial" w:hAnsi="Arial" w:cs="Arial"/>
          <w:b/>
          <w:bCs/>
        </w:rPr>
        <w:t xml:space="preserve">1 – </w:t>
      </w:r>
      <w:r w:rsidRPr="00213043">
        <w:rPr>
          <w:rFonts w:ascii="Arial" w:hAnsi="Arial" w:cs="Arial"/>
        </w:rPr>
        <w:t xml:space="preserve">The new legislation </w:t>
      </w:r>
      <w:r>
        <w:rPr>
          <w:rFonts w:ascii="Arial" w:hAnsi="Arial" w:cs="Arial"/>
        </w:rPr>
        <w:t xml:space="preserve">grants the review body </w:t>
      </w:r>
      <w:r w:rsidRPr="00213043">
        <w:rPr>
          <w:rFonts w:ascii="Arial" w:hAnsi="Arial" w:cs="Arial"/>
        </w:rPr>
        <w:t>power to examine whether the NDIA has made reasonable attempts to resolve the dispute</w:t>
      </w:r>
      <w:r>
        <w:rPr>
          <w:rFonts w:ascii="Arial" w:hAnsi="Arial" w:cs="Arial"/>
        </w:rPr>
        <w:t xml:space="preserve"> and remit the matter back to the NDIA where such attempts </w:t>
      </w:r>
      <w:r w:rsidR="00E9401C">
        <w:rPr>
          <w:rFonts w:ascii="Arial" w:hAnsi="Arial" w:cs="Arial"/>
        </w:rPr>
        <w:t xml:space="preserve">have not been </w:t>
      </w:r>
      <w:r>
        <w:rPr>
          <w:rFonts w:ascii="Arial" w:hAnsi="Arial" w:cs="Arial"/>
        </w:rPr>
        <w:t xml:space="preserve">made. </w:t>
      </w:r>
    </w:p>
    <w:p w14:paraId="422EB438" w14:textId="77777777" w:rsidR="007D4451" w:rsidRDefault="007D4451" w:rsidP="00621B43">
      <w:pPr>
        <w:spacing w:before="0" w:after="0" w:line="312" w:lineRule="auto"/>
        <w:jc w:val="both"/>
        <w:rPr>
          <w:rFonts w:ascii="Arial" w:hAnsi="Arial" w:cs="Arial"/>
        </w:rPr>
      </w:pPr>
    </w:p>
    <w:p w14:paraId="1D816DFA" w14:textId="735680DE" w:rsidR="00B90B66" w:rsidRDefault="00200A4E" w:rsidP="00621B43">
      <w:pPr>
        <w:spacing w:before="0" w:after="0" w:line="312" w:lineRule="auto"/>
        <w:jc w:val="both"/>
        <w:rPr>
          <w:rFonts w:ascii="Arial" w:hAnsi="Arial" w:cs="Arial"/>
        </w:rPr>
      </w:pPr>
      <w:r w:rsidRPr="00200A4E">
        <w:rPr>
          <w:rFonts w:ascii="Arial" w:hAnsi="Arial" w:cs="Arial"/>
          <w:b/>
          <w:bCs/>
        </w:rPr>
        <w:t>Recommendation 2</w:t>
      </w:r>
      <w:r>
        <w:rPr>
          <w:rFonts w:ascii="Arial" w:hAnsi="Arial" w:cs="Arial"/>
        </w:rPr>
        <w:t xml:space="preserve"> – The new</w:t>
      </w:r>
      <w:r w:rsidR="00B90B66">
        <w:rPr>
          <w:rFonts w:ascii="Arial" w:hAnsi="Arial" w:cs="Arial"/>
        </w:rPr>
        <w:t xml:space="preserve"> legislation must clearly set </w:t>
      </w:r>
      <w:r w:rsidR="00B90B66" w:rsidRPr="00213043">
        <w:rPr>
          <w:rFonts w:ascii="Arial" w:hAnsi="Arial" w:cs="Arial"/>
        </w:rPr>
        <w:t>out what constitutes reasonable attempts</w:t>
      </w:r>
      <w:r w:rsidR="00B90B66">
        <w:rPr>
          <w:rFonts w:ascii="Arial" w:hAnsi="Arial" w:cs="Arial"/>
        </w:rPr>
        <w:t xml:space="preserve"> to resolve a matter, </w:t>
      </w:r>
      <w:r w:rsidR="00C621B5">
        <w:rPr>
          <w:rFonts w:ascii="Arial" w:hAnsi="Arial" w:cs="Arial"/>
        </w:rPr>
        <w:t xml:space="preserve">and that there should be recognition that reasonable attempts </w:t>
      </w:r>
      <w:r w:rsidR="00C621B5">
        <w:rPr>
          <w:rFonts w:ascii="Arial" w:hAnsi="Arial" w:cs="Arial"/>
        </w:rPr>
        <w:lastRenderedPageBreak/>
        <w:t xml:space="preserve">should be proportional to the complexity of the plan at issue. </w:t>
      </w:r>
      <w:r w:rsidR="00AB75B5">
        <w:rPr>
          <w:rFonts w:ascii="Arial" w:hAnsi="Arial" w:cs="Arial"/>
        </w:rPr>
        <w:t xml:space="preserve">Additionally, </w:t>
      </w:r>
      <w:r w:rsidR="0010241A">
        <w:rPr>
          <w:rFonts w:ascii="Arial" w:hAnsi="Arial" w:cs="Arial"/>
        </w:rPr>
        <w:t>there must be an onus for</w:t>
      </w:r>
      <w:r w:rsidR="00B90B66" w:rsidRPr="00213043">
        <w:rPr>
          <w:rFonts w:ascii="Arial" w:hAnsi="Arial" w:cs="Arial"/>
        </w:rPr>
        <w:t xml:space="preserve"> new offers </w:t>
      </w:r>
      <w:r w:rsidR="0010241A">
        <w:rPr>
          <w:rFonts w:ascii="Arial" w:hAnsi="Arial" w:cs="Arial"/>
        </w:rPr>
        <w:t>to</w:t>
      </w:r>
      <w:r w:rsidR="0010241A" w:rsidRPr="00213043">
        <w:rPr>
          <w:rFonts w:ascii="Arial" w:hAnsi="Arial" w:cs="Arial"/>
        </w:rPr>
        <w:t xml:space="preserve"> </w:t>
      </w:r>
      <w:r w:rsidR="00B90B66" w:rsidRPr="00213043">
        <w:rPr>
          <w:rFonts w:ascii="Arial" w:hAnsi="Arial" w:cs="Arial"/>
        </w:rPr>
        <w:t xml:space="preserve">be </w:t>
      </w:r>
      <w:r w:rsidR="00B90B66">
        <w:rPr>
          <w:rFonts w:ascii="Arial" w:hAnsi="Arial" w:cs="Arial"/>
        </w:rPr>
        <w:t xml:space="preserve">made in </w:t>
      </w:r>
      <w:r w:rsidR="00B90B66" w:rsidRPr="00213043">
        <w:rPr>
          <w:rFonts w:ascii="Arial" w:hAnsi="Arial" w:cs="Arial"/>
        </w:rPr>
        <w:t xml:space="preserve">writing </w:t>
      </w:r>
      <w:r w:rsidR="00AF2C2A">
        <w:rPr>
          <w:rFonts w:ascii="Arial" w:hAnsi="Arial" w:cs="Arial"/>
        </w:rPr>
        <w:t xml:space="preserve">with </w:t>
      </w:r>
      <w:r w:rsidR="00B90B66" w:rsidRPr="00213043">
        <w:rPr>
          <w:rFonts w:ascii="Arial" w:hAnsi="Arial" w:cs="Arial"/>
        </w:rPr>
        <w:t>participants</w:t>
      </w:r>
      <w:r w:rsidR="00050B42">
        <w:rPr>
          <w:rFonts w:ascii="Arial" w:hAnsi="Arial" w:cs="Arial"/>
        </w:rPr>
        <w:t xml:space="preserve"> given a </w:t>
      </w:r>
      <w:r w:rsidR="00060067">
        <w:rPr>
          <w:rFonts w:ascii="Arial" w:hAnsi="Arial" w:cs="Arial"/>
        </w:rPr>
        <w:t xml:space="preserve">reasonable time to consider </w:t>
      </w:r>
      <w:r w:rsidR="000F7DE3">
        <w:rPr>
          <w:rFonts w:ascii="Arial" w:hAnsi="Arial" w:cs="Arial"/>
        </w:rPr>
        <w:t>the</w:t>
      </w:r>
      <w:r w:rsidR="00050B42">
        <w:rPr>
          <w:rFonts w:ascii="Arial" w:hAnsi="Arial" w:cs="Arial"/>
        </w:rPr>
        <w:t>se offers</w:t>
      </w:r>
      <w:r w:rsidR="00277D45">
        <w:rPr>
          <w:rFonts w:ascii="Arial" w:hAnsi="Arial" w:cs="Arial"/>
        </w:rPr>
        <w:t xml:space="preserve">. </w:t>
      </w:r>
      <w:r w:rsidR="00C714E8">
        <w:rPr>
          <w:rFonts w:ascii="Arial" w:hAnsi="Arial" w:cs="Arial"/>
        </w:rPr>
        <w:t>The</w:t>
      </w:r>
      <w:r w:rsidR="00050B42">
        <w:rPr>
          <w:rFonts w:ascii="Arial" w:hAnsi="Arial" w:cs="Arial"/>
        </w:rPr>
        <w:t xml:space="preserve"> </w:t>
      </w:r>
      <w:r w:rsidR="00B90B66" w:rsidRPr="00213043">
        <w:rPr>
          <w:rFonts w:ascii="Arial" w:hAnsi="Arial" w:cs="Arial"/>
        </w:rPr>
        <w:t>opportunity to choose an appropriate meeting time</w:t>
      </w:r>
      <w:r w:rsidR="00B90B66">
        <w:rPr>
          <w:rFonts w:ascii="Arial" w:hAnsi="Arial" w:cs="Arial"/>
        </w:rPr>
        <w:t xml:space="preserve"> to discuss the offer</w:t>
      </w:r>
      <w:r w:rsidR="00B90B66" w:rsidRPr="00213043">
        <w:rPr>
          <w:rFonts w:ascii="Arial" w:hAnsi="Arial" w:cs="Arial"/>
        </w:rPr>
        <w:t xml:space="preserve"> and attend with support people</w:t>
      </w:r>
      <w:r w:rsidR="009B31BF">
        <w:rPr>
          <w:rFonts w:ascii="Arial" w:hAnsi="Arial" w:cs="Arial"/>
        </w:rPr>
        <w:t xml:space="preserve"> must also be provided</w:t>
      </w:r>
      <w:r w:rsidR="00B90B66" w:rsidRPr="00213043">
        <w:rPr>
          <w:rFonts w:ascii="Arial" w:hAnsi="Arial" w:cs="Arial"/>
        </w:rPr>
        <w:t xml:space="preserve">. </w:t>
      </w:r>
    </w:p>
    <w:p w14:paraId="769AEE1E" w14:textId="77777777" w:rsidR="003B7305" w:rsidRDefault="003B7305" w:rsidP="00621B43">
      <w:pPr>
        <w:spacing w:before="0" w:after="0" w:line="312" w:lineRule="auto"/>
        <w:jc w:val="both"/>
        <w:rPr>
          <w:rFonts w:ascii="Arial" w:hAnsi="Arial" w:cs="Arial"/>
        </w:rPr>
      </w:pPr>
    </w:p>
    <w:p w14:paraId="6F889FDA" w14:textId="50030E5B" w:rsidR="000C7F5E" w:rsidRDefault="00E1424C" w:rsidP="00621B43">
      <w:pPr>
        <w:pStyle w:val="Heading3"/>
        <w:spacing w:after="0" w:line="312" w:lineRule="auto"/>
      </w:pPr>
      <w:r>
        <w:t xml:space="preserve">NDIA conduct at case conferences </w:t>
      </w:r>
    </w:p>
    <w:p w14:paraId="5BC3A823" w14:textId="77777777" w:rsidR="00D12848" w:rsidRDefault="00D12848" w:rsidP="00621B43">
      <w:pPr>
        <w:spacing w:before="0" w:after="0" w:line="312" w:lineRule="auto"/>
        <w:jc w:val="both"/>
        <w:rPr>
          <w:rFonts w:ascii="Arial" w:hAnsi="Arial" w:cs="Arial"/>
        </w:rPr>
      </w:pPr>
    </w:p>
    <w:p w14:paraId="47BBAAD6" w14:textId="03EDFB05" w:rsidR="00E1424C" w:rsidRDefault="00E1424C" w:rsidP="00621B43">
      <w:pPr>
        <w:spacing w:before="0" w:after="0" w:line="312" w:lineRule="auto"/>
        <w:jc w:val="both"/>
        <w:rPr>
          <w:rFonts w:ascii="Arial" w:hAnsi="Arial" w:cs="Arial"/>
        </w:rPr>
      </w:pPr>
      <w:r>
        <w:rPr>
          <w:rFonts w:ascii="Arial" w:hAnsi="Arial" w:cs="Arial"/>
        </w:rPr>
        <w:t xml:space="preserve">Our advocates have raised </w:t>
      </w:r>
      <w:r w:rsidR="000C7744">
        <w:rPr>
          <w:rFonts w:ascii="Arial" w:hAnsi="Arial" w:cs="Arial"/>
        </w:rPr>
        <w:t>several</w:t>
      </w:r>
      <w:r>
        <w:rPr>
          <w:rFonts w:ascii="Arial" w:hAnsi="Arial" w:cs="Arial"/>
        </w:rPr>
        <w:t xml:space="preserve"> concerns regarding the conduct of the NDIA and its lawyers at AAT case conferences. These include that: </w:t>
      </w:r>
    </w:p>
    <w:p w14:paraId="77A99C3B" w14:textId="77777777" w:rsidR="00D12848" w:rsidRPr="00E1424C" w:rsidRDefault="00D12848" w:rsidP="00621B43">
      <w:pPr>
        <w:spacing w:before="0" w:after="0" w:line="312" w:lineRule="auto"/>
        <w:jc w:val="both"/>
        <w:rPr>
          <w:rFonts w:ascii="Arial" w:hAnsi="Arial" w:cs="Arial"/>
        </w:rPr>
      </w:pPr>
    </w:p>
    <w:p w14:paraId="23714D89" w14:textId="3F192708" w:rsidR="00FF40E5" w:rsidRDefault="00872D7F" w:rsidP="00621B43">
      <w:pPr>
        <w:pStyle w:val="ListParagraph"/>
        <w:numPr>
          <w:ilvl w:val="0"/>
          <w:numId w:val="26"/>
        </w:numPr>
        <w:spacing w:before="0" w:after="0" w:line="312" w:lineRule="auto"/>
        <w:jc w:val="both"/>
        <w:rPr>
          <w:rFonts w:ascii="Arial" w:hAnsi="Arial" w:cs="Arial"/>
        </w:rPr>
      </w:pPr>
      <w:r w:rsidRPr="00FF40E5">
        <w:rPr>
          <w:rFonts w:ascii="Arial" w:hAnsi="Arial" w:cs="Arial"/>
        </w:rPr>
        <w:t xml:space="preserve">The NDIA regularly sends lawyers to case conferences without approval to make decisions, which makes negotiations impossible and leads to further delay in dispute resolution. </w:t>
      </w:r>
    </w:p>
    <w:p w14:paraId="2A1CF324" w14:textId="3C90395B" w:rsidR="00872D7F" w:rsidRDefault="00872D7F" w:rsidP="00621B43">
      <w:pPr>
        <w:pStyle w:val="ListParagraph"/>
        <w:numPr>
          <w:ilvl w:val="0"/>
          <w:numId w:val="26"/>
        </w:numPr>
        <w:spacing w:before="0" w:after="0" w:line="312" w:lineRule="auto"/>
        <w:jc w:val="both"/>
        <w:rPr>
          <w:rFonts w:ascii="Arial" w:hAnsi="Arial" w:cs="Arial"/>
        </w:rPr>
      </w:pPr>
      <w:r w:rsidRPr="00FF40E5">
        <w:rPr>
          <w:rFonts w:ascii="Arial" w:hAnsi="Arial" w:cs="Arial"/>
        </w:rPr>
        <w:t xml:space="preserve">NDIA lawyers often verbally agree to certain matters in the case conference, but then record a different position in the following draft terms of agreement. This </w:t>
      </w:r>
      <w:r w:rsidR="00BF4B45">
        <w:rPr>
          <w:rFonts w:ascii="Arial" w:hAnsi="Arial" w:cs="Arial"/>
        </w:rPr>
        <w:t>l</w:t>
      </w:r>
      <w:r w:rsidRPr="00FF40E5">
        <w:rPr>
          <w:rFonts w:ascii="Arial" w:hAnsi="Arial" w:cs="Arial"/>
        </w:rPr>
        <w:t xml:space="preserve">eads to delay in the dispute resolution process and adds unnecessary frustration and stress for applicants. </w:t>
      </w:r>
    </w:p>
    <w:p w14:paraId="5783703E" w14:textId="2AA97A9B" w:rsidR="000C7744" w:rsidRDefault="000C7744" w:rsidP="00621B43">
      <w:pPr>
        <w:pStyle w:val="ListParagraph"/>
        <w:numPr>
          <w:ilvl w:val="0"/>
          <w:numId w:val="26"/>
        </w:numPr>
        <w:spacing w:before="0" w:after="0" w:line="312" w:lineRule="auto"/>
        <w:jc w:val="both"/>
        <w:rPr>
          <w:rFonts w:ascii="Arial" w:hAnsi="Arial" w:cs="Arial"/>
        </w:rPr>
      </w:pPr>
      <w:r>
        <w:rPr>
          <w:rFonts w:ascii="Arial" w:hAnsi="Arial" w:cs="Arial"/>
        </w:rPr>
        <w:t xml:space="preserve">The NDIA regularly breaches clause 4.24 of the </w:t>
      </w:r>
      <w:r w:rsidR="006E2CC6">
        <w:rPr>
          <w:rFonts w:ascii="Arial" w:hAnsi="Arial" w:cs="Arial"/>
        </w:rPr>
        <w:t xml:space="preserve">AAT’s </w:t>
      </w:r>
      <w:hyperlink r:id="rId22" w:history="1">
        <w:r w:rsidRPr="009F2576">
          <w:rPr>
            <w:rStyle w:val="Hyperlink"/>
            <w:rFonts w:ascii="Arial" w:hAnsi="Arial" w:cs="Arial"/>
            <w:i/>
            <w:iCs/>
          </w:rPr>
          <w:t>General Practice Direction</w:t>
        </w:r>
      </w:hyperlink>
      <w:r>
        <w:rPr>
          <w:rFonts w:ascii="Arial" w:hAnsi="Arial" w:cs="Arial"/>
        </w:rPr>
        <w:t xml:space="preserve"> by providing the Statement of Issues on the day of the case conference</w:t>
      </w:r>
      <w:r w:rsidR="004A3C31">
        <w:rPr>
          <w:rFonts w:ascii="Arial" w:hAnsi="Arial" w:cs="Arial"/>
        </w:rPr>
        <w:t xml:space="preserve"> instead of </w:t>
      </w:r>
      <w:r w:rsidR="00964A2E">
        <w:rPr>
          <w:rFonts w:ascii="Arial" w:hAnsi="Arial" w:cs="Arial"/>
        </w:rPr>
        <w:t xml:space="preserve">the required one business day ahead of the </w:t>
      </w:r>
      <w:r w:rsidR="00A457A6">
        <w:rPr>
          <w:rFonts w:ascii="Arial" w:hAnsi="Arial" w:cs="Arial"/>
        </w:rPr>
        <w:t xml:space="preserve">first </w:t>
      </w:r>
      <w:r w:rsidR="00964A2E">
        <w:rPr>
          <w:rFonts w:ascii="Arial" w:hAnsi="Arial" w:cs="Arial"/>
        </w:rPr>
        <w:t xml:space="preserve">conference. This </w:t>
      </w:r>
      <w:r>
        <w:rPr>
          <w:rFonts w:ascii="Arial" w:hAnsi="Arial" w:cs="Arial"/>
        </w:rPr>
        <w:t>does not allow the applicant sufficient time to prepare</w:t>
      </w:r>
      <w:r w:rsidR="00E9401C">
        <w:rPr>
          <w:rFonts w:ascii="Arial" w:hAnsi="Arial" w:cs="Arial"/>
        </w:rPr>
        <w:t xml:space="preserve">. </w:t>
      </w:r>
      <w:r>
        <w:rPr>
          <w:rFonts w:ascii="Arial" w:hAnsi="Arial" w:cs="Arial"/>
        </w:rPr>
        <w:t xml:space="preserve">  </w:t>
      </w:r>
    </w:p>
    <w:p w14:paraId="2A6F8A00" w14:textId="41B12E37" w:rsidR="003630D9" w:rsidRDefault="003630D9" w:rsidP="00621B43">
      <w:pPr>
        <w:pStyle w:val="ListParagraph"/>
        <w:numPr>
          <w:ilvl w:val="0"/>
          <w:numId w:val="26"/>
        </w:numPr>
        <w:spacing w:before="0" w:after="0" w:line="312" w:lineRule="auto"/>
        <w:jc w:val="both"/>
        <w:rPr>
          <w:rFonts w:ascii="Arial" w:hAnsi="Arial" w:cs="Arial"/>
        </w:rPr>
      </w:pPr>
      <w:r w:rsidRPr="00FF40E5">
        <w:rPr>
          <w:rFonts w:ascii="Arial" w:hAnsi="Arial" w:cs="Arial"/>
        </w:rPr>
        <w:t xml:space="preserve">NDIA lawyers often behave </w:t>
      </w:r>
      <w:r w:rsidR="008E1926">
        <w:rPr>
          <w:rFonts w:ascii="Arial" w:hAnsi="Arial" w:cs="Arial"/>
        </w:rPr>
        <w:t>in an adversarial</w:t>
      </w:r>
      <w:r w:rsidRPr="00FF40E5">
        <w:rPr>
          <w:rFonts w:ascii="Arial" w:hAnsi="Arial" w:cs="Arial"/>
        </w:rPr>
        <w:t xml:space="preserve"> </w:t>
      </w:r>
      <w:r w:rsidR="008E1926">
        <w:rPr>
          <w:rFonts w:ascii="Arial" w:hAnsi="Arial" w:cs="Arial"/>
        </w:rPr>
        <w:t xml:space="preserve">manner </w:t>
      </w:r>
      <w:r w:rsidRPr="00FF40E5">
        <w:rPr>
          <w:rFonts w:ascii="Arial" w:hAnsi="Arial" w:cs="Arial"/>
        </w:rPr>
        <w:t xml:space="preserve">towards applicants at case conferences. For example, they often accuse applicants of defrauding the public. </w:t>
      </w:r>
    </w:p>
    <w:p w14:paraId="3D3C79A8" w14:textId="77777777" w:rsidR="00D12848" w:rsidRPr="003630D9" w:rsidRDefault="00D12848" w:rsidP="00621B43">
      <w:pPr>
        <w:pStyle w:val="ListParagraph"/>
        <w:numPr>
          <w:ilvl w:val="0"/>
          <w:numId w:val="0"/>
        </w:numPr>
        <w:spacing w:before="0" w:after="0" w:line="312" w:lineRule="auto"/>
        <w:ind w:left="720"/>
        <w:jc w:val="both"/>
        <w:rPr>
          <w:rFonts w:ascii="Arial" w:hAnsi="Arial" w:cs="Arial"/>
        </w:rPr>
      </w:pPr>
    </w:p>
    <w:p w14:paraId="59BD9CD0" w14:textId="04979106" w:rsidR="00621B43" w:rsidRDefault="009C4264" w:rsidP="00621B43">
      <w:pPr>
        <w:spacing w:before="0" w:after="0" w:line="312" w:lineRule="auto"/>
        <w:jc w:val="both"/>
        <w:rPr>
          <w:rFonts w:ascii="Arial" w:hAnsi="Arial" w:cs="Arial"/>
        </w:rPr>
      </w:pPr>
      <w:r>
        <w:rPr>
          <w:rFonts w:ascii="Arial" w:hAnsi="Arial" w:cs="Arial"/>
        </w:rPr>
        <w:t>PWDA views this</w:t>
      </w:r>
      <w:r w:rsidR="000C7744">
        <w:rPr>
          <w:rFonts w:ascii="Arial" w:hAnsi="Arial" w:cs="Arial"/>
        </w:rPr>
        <w:t xml:space="preserve"> conduct </w:t>
      </w:r>
      <w:r>
        <w:rPr>
          <w:rFonts w:ascii="Arial" w:hAnsi="Arial" w:cs="Arial"/>
        </w:rPr>
        <w:t>as</w:t>
      </w:r>
      <w:r w:rsidR="000C7744">
        <w:rPr>
          <w:rFonts w:ascii="Arial" w:hAnsi="Arial" w:cs="Arial"/>
        </w:rPr>
        <w:t xml:space="preserve"> breach</w:t>
      </w:r>
      <w:r>
        <w:rPr>
          <w:rFonts w:ascii="Arial" w:hAnsi="Arial" w:cs="Arial"/>
        </w:rPr>
        <w:t xml:space="preserve">ing </w:t>
      </w:r>
      <w:r w:rsidR="000C7744">
        <w:rPr>
          <w:rFonts w:ascii="Arial" w:hAnsi="Arial" w:cs="Arial"/>
        </w:rPr>
        <w:t>good faith requirements</w:t>
      </w:r>
      <w:r>
        <w:rPr>
          <w:rFonts w:ascii="Arial" w:hAnsi="Arial" w:cs="Arial"/>
        </w:rPr>
        <w:t xml:space="preserve">, with our </w:t>
      </w:r>
      <w:r w:rsidR="000C7744">
        <w:rPr>
          <w:rFonts w:ascii="Arial" w:hAnsi="Arial" w:cs="Arial"/>
        </w:rPr>
        <w:t>advocates report</w:t>
      </w:r>
      <w:r>
        <w:rPr>
          <w:rFonts w:ascii="Arial" w:hAnsi="Arial" w:cs="Arial"/>
        </w:rPr>
        <w:t>ing</w:t>
      </w:r>
      <w:r w:rsidR="000C7744">
        <w:rPr>
          <w:rFonts w:ascii="Arial" w:hAnsi="Arial" w:cs="Arial"/>
        </w:rPr>
        <w:t xml:space="preserve"> that the AAT registry and conference registrars rarely hold the NDIA to account for this conduct. </w:t>
      </w:r>
      <w:r w:rsidR="00621B43">
        <w:rPr>
          <w:rFonts w:ascii="Arial" w:hAnsi="Arial" w:cs="Arial"/>
        </w:rPr>
        <w:t xml:space="preserve"> </w:t>
      </w:r>
      <w:r>
        <w:rPr>
          <w:rFonts w:ascii="Arial" w:hAnsi="Arial" w:cs="Arial"/>
        </w:rPr>
        <w:t>As a result, the people with disability we support to exercise their appeal and review rights regarding NDIS decision-making have reported significant stress and negative mental health impact</w:t>
      </w:r>
      <w:r w:rsidR="00621B43">
        <w:rPr>
          <w:rFonts w:ascii="Arial" w:hAnsi="Arial" w:cs="Arial"/>
        </w:rPr>
        <w:t xml:space="preserve">s. </w:t>
      </w:r>
    </w:p>
    <w:p w14:paraId="5C11097D" w14:textId="77777777" w:rsidR="00621B43" w:rsidRDefault="00621B43" w:rsidP="00621B43">
      <w:pPr>
        <w:spacing w:before="0" w:after="0" w:line="312" w:lineRule="auto"/>
        <w:jc w:val="both"/>
        <w:rPr>
          <w:rFonts w:ascii="Arial" w:hAnsi="Arial" w:cs="Arial"/>
        </w:rPr>
      </w:pPr>
    </w:p>
    <w:p w14:paraId="66D75417" w14:textId="1FFEF790" w:rsidR="009C4264" w:rsidRDefault="00621B43" w:rsidP="00621B43">
      <w:pPr>
        <w:spacing w:before="0" w:after="0" w:line="312" w:lineRule="auto"/>
        <w:jc w:val="both"/>
        <w:rPr>
          <w:rFonts w:ascii="Arial" w:hAnsi="Arial" w:cs="Arial"/>
        </w:rPr>
      </w:pPr>
      <w:r>
        <w:rPr>
          <w:rFonts w:ascii="Arial" w:hAnsi="Arial" w:cs="Arial"/>
        </w:rPr>
        <w:t>In turn, we have observed the significant stress and negative mental health impacts having a deterrent effect on NDIS participants exercising their appeal and review rights, by abandoning active matters and/or not initiating new matters to prevent stress and negative mental health impacts.</w:t>
      </w:r>
    </w:p>
    <w:p w14:paraId="1CA717B7" w14:textId="77777777" w:rsidR="00D12848" w:rsidRPr="00A450F5" w:rsidRDefault="00D12848" w:rsidP="00621B43">
      <w:pPr>
        <w:spacing w:before="0" w:after="0" w:line="312" w:lineRule="auto"/>
        <w:jc w:val="both"/>
        <w:rPr>
          <w:rFonts w:ascii="Arial" w:hAnsi="Arial" w:cs="Arial"/>
          <w:b/>
          <w:bCs/>
        </w:rPr>
      </w:pPr>
    </w:p>
    <w:p w14:paraId="6B342DB2" w14:textId="0785562D" w:rsidR="00BB5F2A" w:rsidRDefault="00BB5F2A" w:rsidP="00621B43">
      <w:pPr>
        <w:spacing w:before="0" w:after="0" w:line="312" w:lineRule="auto"/>
        <w:jc w:val="both"/>
        <w:rPr>
          <w:rFonts w:ascii="Arial" w:hAnsi="Arial" w:cs="Arial"/>
        </w:rPr>
      </w:pPr>
      <w:r>
        <w:rPr>
          <w:rFonts w:ascii="Arial" w:hAnsi="Arial" w:cs="Arial"/>
        </w:rPr>
        <w:t>To</w:t>
      </w:r>
      <w:r w:rsidR="00621B43">
        <w:rPr>
          <w:rFonts w:ascii="Arial" w:hAnsi="Arial" w:cs="Arial"/>
        </w:rPr>
        <w:t xml:space="preserve"> address the above issues with NDIA conduct at case conferences, we</w:t>
      </w:r>
      <w:r>
        <w:rPr>
          <w:rFonts w:ascii="Arial" w:hAnsi="Arial" w:cs="Arial"/>
        </w:rPr>
        <w:t xml:space="preserve"> recommend that: </w:t>
      </w:r>
    </w:p>
    <w:p w14:paraId="716B3C18" w14:textId="77777777" w:rsidR="00D12848" w:rsidRPr="00FF40E5" w:rsidRDefault="00D12848" w:rsidP="00621B43">
      <w:pPr>
        <w:spacing w:before="0" w:after="0" w:line="312" w:lineRule="auto"/>
        <w:jc w:val="both"/>
        <w:rPr>
          <w:rFonts w:ascii="Arial" w:hAnsi="Arial" w:cs="Arial"/>
        </w:rPr>
      </w:pPr>
    </w:p>
    <w:p w14:paraId="4986277F" w14:textId="58ECA084" w:rsidR="00872D7F" w:rsidRPr="00D00EAA" w:rsidRDefault="00872D7F" w:rsidP="00621B43">
      <w:pPr>
        <w:spacing w:before="0" w:after="0" w:line="312" w:lineRule="auto"/>
        <w:contextualSpacing/>
        <w:jc w:val="both"/>
        <w:rPr>
          <w:rFonts w:ascii="Arial" w:hAnsi="Arial" w:cs="Arial"/>
          <w:color w:val="FF0000"/>
        </w:rPr>
      </w:pPr>
      <w:r w:rsidRPr="000C7F5E">
        <w:rPr>
          <w:rFonts w:ascii="Arial" w:hAnsi="Arial" w:cs="Arial"/>
          <w:b/>
          <w:bCs/>
        </w:rPr>
        <w:t>Recommendation</w:t>
      </w:r>
      <w:r w:rsidR="00D12848">
        <w:rPr>
          <w:rFonts w:ascii="Arial" w:hAnsi="Arial" w:cs="Arial"/>
          <w:b/>
          <w:bCs/>
        </w:rPr>
        <w:t xml:space="preserve"> </w:t>
      </w:r>
      <w:r w:rsidR="00200A4E">
        <w:rPr>
          <w:rFonts w:ascii="Arial" w:hAnsi="Arial" w:cs="Arial"/>
          <w:b/>
          <w:bCs/>
        </w:rPr>
        <w:t>3</w:t>
      </w:r>
      <w:r w:rsidR="00D12848">
        <w:rPr>
          <w:rFonts w:ascii="Arial" w:hAnsi="Arial" w:cs="Arial"/>
          <w:b/>
          <w:bCs/>
        </w:rPr>
        <w:t xml:space="preserve"> – </w:t>
      </w:r>
      <w:r w:rsidRPr="00E9401C">
        <w:rPr>
          <w:rFonts w:ascii="Arial" w:hAnsi="Arial" w:cs="Arial"/>
        </w:rPr>
        <w:t>The new legislation</w:t>
      </w:r>
      <w:r w:rsidR="00E9401C">
        <w:rPr>
          <w:rFonts w:ascii="Arial" w:hAnsi="Arial" w:cs="Arial"/>
        </w:rPr>
        <w:t xml:space="preserve"> and/or practice directions</w:t>
      </w:r>
      <w:r w:rsidRPr="00E9401C">
        <w:rPr>
          <w:rFonts w:ascii="Arial" w:hAnsi="Arial" w:cs="Arial"/>
        </w:rPr>
        <w:t xml:space="preserve"> </w:t>
      </w:r>
      <w:r w:rsidR="00E9401C" w:rsidRPr="00E9401C">
        <w:rPr>
          <w:rFonts w:ascii="Arial" w:hAnsi="Arial" w:cs="Arial"/>
        </w:rPr>
        <w:t>require</w:t>
      </w:r>
      <w:r w:rsidR="00E9401C">
        <w:rPr>
          <w:rFonts w:ascii="Arial" w:hAnsi="Arial" w:cs="Arial"/>
        </w:rPr>
        <w:t xml:space="preserve"> that NDIA decision-makers</w:t>
      </w:r>
      <w:r w:rsidR="00DA1C6F">
        <w:rPr>
          <w:rFonts w:ascii="Arial" w:hAnsi="Arial" w:cs="Arial"/>
        </w:rPr>
        <w:t>, rather than solely lawyers,</w:t>
      </w:r>
      <w:r w:rsidR="00E9401C">
        <w:rPr>
          <w:rFonts w:ascii="Arial" w:hAnsi="Arial" w:cs="Arial"/>
        </w:rPr>
        <w:t xml:space="preserve"> be present and visible at case conferences. </w:t>
      </w:r>
    </w:p>
    <w:p w14:paraId="0B651C2E" w14:textId="77777777" w:rsidR="00872D7F" w:rsidRPr="000C7F5E" w:rsidRDefault="00872D7F" w:rsidP="00621B43">
      <w:pPr>
        <w:spacing w:before="0" w:after="0" w:line="312" w:lineRule="auto"/>
        <w:contextualSpacing/>
        <w:jc w:val="both"/>
        <w:rPr>
          <w:rFonts w:ascii="Arial" w:hAnsi="Arial" w:cs="Arial"/>
        </w:rPr>
      </w:pPr>
    </w:p>
    <w:p w14:paraId="624DFDBA" w14:textId="31C41B32" w:rsidR="00872D7F" w:rsidRDefault="00872D7F" w:rsidP="00621B43">
      <w:pPr>
        <w:spacing w:before="0" w:after="0" w:line="312" w:lineRule="auto"/>
        <w:contextualSpacing/>
        <w:jc w:val="both"/>
        <w:rPr>
          <w:rFonts w:ascii="Arial" w:hAnsi="Arial" w:cs="Arial"/>
        </w:rPr>
      </w:pPr>
      <w:r w:rsidRPr="005D39CF">
        <w:rPr>
          <w:rFonts w:ascii="Arial" w:hAnsi="Arial" w:cs="Arial"/>
          <w:b/>
          <w:bCs/>
        </w:rPr>
        <w:t>Recommendation</w:t>
      </w:r>
      <w:r w:rsidR="00D12848">
        <w:rPr>
          <w:rFonts w:ascii="Arial" w:hAnsi="Arial" w:cs="Arial"/>
          <w:b/>
          <w:bCs/>
        </w:rPr>
        <w:t xml:space="preserve"> </w:t>
      </w:r>
      <w:r w:rsidR="00200A4E">
        <w:rPr>
          <w:rFonts w:ascii="Arial" w:hAnsi="Arial" w:cs="Arial"/>
          <w:b/>
          <w:bCs/>
        </w:rPr>
        <w:t>4</w:t>
      </w:r>
      <w:r w:rsidR="00D12848">
        <w:rPr>
          <w:rFonts w:ascii="Arial" w:hAnsi="Arial" w:cs="Arial"/>
          <w:b/>
          <w:bCs/>
        </w:rPr>
        <w:t xml:space="preserve"> – </w:t>
      </w:r>
      <w:r>
        <w:rPr>
          <w:rFonts w:ascii="Arial" w:hAnsi="Arial" w:cs="Arial"/>
        </w:rPr>
        <w:t xml:space="preserve">The new review body’s practice directions specify that verbal agreements must be put in writing and signed off by both parties at the </w:t>
      </w:r>
      <w:r w:rsidRPr="005D39CF">
        <w:rPr>
          <w:rFonts w:ascii="Arial" w:hAnsi="Arial" w:cs="Arial"/>
        </w:rPr>
        <w:t xml:space="preserve">time of the case conference.   </w:t>
      </w:r>
    </w:p>
    <w:p w14:paraId="68044FCB" w14:textId="087605B4" w:rsidR="003630D9" w:rsidRDefault="003630D9" w:rsidP="00621B43">
      <w:pPr>
        <w:spacing w:before="0" w:after="0" w:line="312" w:lineRule="auto"/>
        <w:contextualSpacing/>
        <w:jc w:val="both"/>
        <w:rPr>
          <w:rFonts w:ascii="Arial" w:hAnsi="Arial" w:cs="Arial"/>
        </w:rPr>
      </w:pPr>
    </w:p>
    <w:p w14:paraId="5B07DB83" w14:textId="5312E093" w:rsidR="003630D9" w:rsidRDefault="003630D9" w:rsidP="00621B43">
      <w:pPr>
        <w:spacing w:before="0" w:after="0" w:line="312" w:lineRule="auto"/>
        <w:contextualSpacing/>
        <w:jc w:val="both"/>
        <w:rPr>
          <w:rFonts w:ascii="Arial" w:hAnsi="Arial" w:cs="Arial"/>
        </w:rPr>
      </w:pPr>
      <w:r>
        <w:rPr>
          <w:rFonts w:ascii="Arial" w:hAnsi="Arial" w:cs="Arial"/>
          <w:b/>
          <w:bCs/>
        </w:rPr>
        <w:t xml:space="preserve">Recommendation </w:t>
      </w:r>
      <w:r w:rsidR="00200A4E">
        <w:rPr>
          <w:rFonts w:ascii="Arial" w:hAnsi="Arial" w:cs="Arial"/>
          <w:b/>
          <w:bCs/>
        </w:rPr>
        <w:t xml:space="preserve">5 </w:t>
      </w:r>
      <w:r w:rsidR="00D12848">
        <w:rPr>
          <w:rFonts w:ascii="Arial" w:hAnsi="Arial" w:cs="Arial"/>
          <w:b/>
          <w:bCs/>
        </w:rPr>
        <w:t xml:space="preserve">– </w:t>
      </w:r>
      <w:r>
        <w:rPr>
          <w:rFonts w:ascii="Arial" w:hAnsi="Arial" w:cs="Arial"/>
        </w:rPr>
        <w:t xml:space="preserve">The new review body’s practice directions require the NDIA to lodge its Statement of Issues at least five working days before the case conference. The new review body’s registry must strictly enforce this requirement. </w:t>
      </w:r>
    </w:p>
    <w:p w14:paraId="1B6F596D" w14:textId="19C66498" w:rsidR="00E5430E" w:rsidRDefault="00E5430E" w:rsidP="00621B43">
      <w:pPr>
        <w:spacing w:before="0" w:after="0" w:line="312" w:lineRule="auto"/>
        <w:contextualSpacing/>
        <w:jc w:val="both"/>
        <w:rPr>
          <w:rFonts w:ascii="Arial" w:hAnsi="Arial" w:cs="Arial"/>
        </w:rPr>
      </w:pPr>
    </w:p>
    <w:p w14:paraId="6B0DE552" w14:textId="06B9505B" w:rsidR="00E5430E" w:rsidRPr="005D39CF" w:rsidRDefault="00A94071" w:rsidP="00621B43">
      <w:pPr>
        <w:spacing w:before="0" w:after="0" w:line="312" w:lineRule="auto"/>
        <w:contextualSpacing/>
        <w:jc w:val="both"/>
        <w:rPr>
          <w:rFonts w:ascii="Arial" w:hAnsi="Arial" w:cs="Arial"/>
        </w:rPr>
      </w:pPr>
      <w:r>
        <w:rPr>
          <w:rFonts w:ascii="Arial" w:hAnsi="Arial" w:cs="Arial"/>
        </w:rPr>
        <w:t>To hold the NDIA accountable for its conduct, we recommend that:</w:t>
      </w:r>
    </w:p>
    <w:p w14:paraId="2C987573" w14:textId="77777777" w:rsidR="00872D7F" w:rsidRDefault="00872D7F" w:rsidP="00621B43">
      <w:pPr>
        <w:spacing w:before="0" w:after="0" w:line="312" w:lineRule="auto"/>
        <w:contextualSpacing/>
        <w:jc w:val="both"/>
        <w:rPr>
          <w:rFonts w:ascii="Arial" w:hAnsi="Arial" w:cs="Arial"/>
          <w:color w:val="FF0000"/>
        </w:rPr>
      </w:pPr>
    </w:p>
    <w:p w14:paraId="42D5B693" w14:textId="6DC41468" w:rsidR="00FF40E5" w:rsidRDefault="002F1799" w:rsidP="00621B43">
      <w:pPr>
        <w:spacing w:before="0" w:after="0" w:line="312" w:lineRule="auto"/>
        <w:contextualSpacing/>
        <w:jc w:val="both"/>
        <w:rPr>
          <w:rFonts w:ascii="Arial" w:hAnsi="Arial" w:cs="Arial"/>
        </w:rPr>
      </w:pPr>
      <w:r w:rsidRPr="00872D7F">
        <w:rPr>
          <w:rFonts w:ascii="Arial" w:hAnsi="Arial" w:cs="Arial"/>
          <w:b/>
          <w:bCs/>
        </w:rPr>
        <w:t>Recommendation</w:t>
      </w:r>
      <w:r w:rsidR="009B7BD1">
        <w:rPr>
          <w:rFonts w:ascii="Arial" w:hAnsi="Arial" w:cs="Arial"/>
          <w:b/>
          <w:bCs/>
        </w:rPr>
        <w:t xml:space="preserve"> </w:t>
      </w:r>
      <w:r w:rsidR="00200A4E">
        <w:rPr>
          <w:rFonts w:ascii="Arial" w:hAnsi="Arial" w:cs="Arial"/>
          <w:b/>
          <w:bCs/>
        </w:rPr>
        <w:t>6</w:t>
      </w:r>
      <w:r w:rsidR="00D16A6A">
        <w:rPr>
          <w:rFonts w:ascii="Arial" w:hAnsi="Arial" w:cs="Arial"/>
          <w:b/>
          <w:bCs/>
        </w:rPr>
        <w:t xml:space="preserve"> </w:t>
      </w:r>
      <w:r w:rsidR="00D12848">
        <w:rPr>
          <w:rFonts w:ascii="Arial" w:hAnsi="Arial" w:cs="Arial"/>
          <w:b/>
          <w:bCs/>
        </w:rPr>
        <w:t>–</w:t>
      </w:r>
      <w:r w:rsidR="00D16A6A">
        <w:rPr>
          <w:rFonts w:ascii="Arial" w:hAnsi="Arial" w:cs="Arial"/>
          <w:b/>
          <w:bCs/>
        </w:rPr>
        <w:t xml:space="preserve"> </w:t>
      </w:r>
      <w:r w:rsidR="00932718">
        <w:rPr>
          <w:rFonts w:ascii="Arial" w:hAnsi="Arial" w:cs="Arial"/>
        </w:rPr>
        <w:t xml:space="preserve">The new review body creates an easily accessible and well-publicised avenue for complaining about the conduct of the NDIA and its lawyers, with appropriate </w:t>
      </w:r>
      <w:r w:rsidR="00EF65CD">
        <w:rPr>
          <w:rFonts w:ascii="Arial" w:hAnsi="Arial" w:cs="Arial"/>
        </w:rPr>
        <w:t>consequences</w:t>
      </w:r>
      <w:r w:rsidR="00932718">
        <w:rPr>
          <w:rFonts w:ascii="Arial" w:hAnsi="Arial" w:cs="Arial"/>
        </w:rPr>
        <w:t xml:space="preserve"> for misconduct. </w:t>
      </w:r>
      <w:r w:rsidRPr="00872D7F">
        <w:rPr>
          <w:rFonts w:ascii="Arial" w:hAnsi="Arial" w:cs="Arial"/>
        </w:rPr>
        <w:t xml:space="preserve"> </w:t>
      </w:r>
    </w:p>
    <w:p w14:paraId="193E5D24" w14:textId="77777777" w:rsidR="00D12848" w:rsidRPr="003630D9" w:rsidRDefault="00D12848" w:rsidP="00621B43">
      <w:pPr>
        <w:spacing w:before="0" w:after="0" w:line="312" w:lineRule="auto"/>
        <w:contextualSpacing/>
        <w:jc w:val="both"/>
        <w:rPr>
          <w:rFonts w:ascii="Arial" w:hAnsi="Arial" w:cs="Arial"/>
        </w:rPr>
      </w:pPr>
    </w:p>
    <w:p w14:paraId="347FCEE6" w14:textId="36D8C6E0" w:rsidR="00872D7F" w:rsidRPr="002353CC" w:rsidRDefault="00872D7F" w:rsidP="00621B43">
      <w:pPr>
        <w:pStyle w:val="Heading2"/>
        <w:spacing w:before="0" w:line="312" w:lineRule="auto"/>
      </w:pPr>
      <w:r>
        <w:t xml:space="preserve">Issue </w:t>
      </w:r>
      <w:r w:rsidR="005B793D">
        <w:t>2</w:t>
      </w:r>
      <w:r>
        <w:t xml:space="preserve">: Access to legal advice  </w:t>
      </w:r>
    </w:p>
    <w:p w14:paraId="0126EF36" w14:textId="77777777" w:rsidR="005E2B7A" w:rsidRDefault="005E2B7A" w:rsidP="00621B43">
      <w:pPr>
        <w:spacing w:before="0" w:after="0" w:line="312" w:lineRule="auto"/>
        <w:contextualSpacing/>
        <w:jc w:val="both"/>
        <w:rPr>
          <w:rFonts w:ascii="Arial" w:hAnsi="Arial" w:cs="Arial"/>
        </w:rPr>
      </w:pPr>
    </w:p>
    <w:p w14:paraId="4F4EACE7" w14:textId="39976C6A" w:rsidR="00872D7F" w:rsidRDefault="00910F24" w:rsidP="00621B43">
      <w:pPr>
        <w:spacing w:before="0" w:after="0" w:line="312" w:lineRule="auto"/>
        <w:contextualSpacing/>
        <w:jc w:val="both"/>
        <w:rPr>
          <w:rFonts w:ascii="Arial" w:hAnsi="Arial" w:cs="Arial"/>
        </w:rPr>
      </w:pPr>
      <w:r>
        <w:rPr>
          <w:rFonts w:ascii="Arial" w:hAnsi="Arial" w:cs="Arial"/>
        </w:rPr>
        <w:t xml:space="preserve">We are concerned that </w:t>
      </w:r>
      <w:r w:rsidR="00C12098">
        <w:rPr>
          <w:rFonts w:ascii="Arial" w:hAnsi="Arial" w:cs="Arial"/>
        </w:rPr>
        <w:t>applicants</w:t>
      </w:r>
      <w:r>
        <w:rPr>
          <w:rFonts w:ascii="Arial" w:hAnsi="Arial" w:cs="Arial"/>
        </w:rPr>
        <w:t xml:space="preserve"> lack access to legal advice, while the NDIA spends significant funds on contracting legal representation. This creates an imbalance in access to justice and needs to be rectified. While this matter is not entirely in the remit of the AAT, we recommend that: </w:t>
      </w:r>
    </w:p>
    <w:p w14:paraId="078FEB1E" w14:textId="77777777" w:rsidR="00910F24" w:rsidRDefault="00910F24" w:rsidP="00621B43">
      <w:pPr>
        <w:spacing w:before="0" w:after="0" w:line="312" w:lineRule="auto"/>
        <w:contextualSpacing/>
        <w:jc w:val="both"/>
        <w:rPr>
          <w:rFonts w:ascii="Arial" w:hAnsi="Arial" w:cs="Arial"/>
          <w:b/>
          <w:bCs/>
        </w:rPr>
      </w:pPr>
    </w:p>
    <w:p w14:paraId="26602AD4" w14:textId="107E8977" w:rsidR="002F1799" w:rsidRDefault="002F1799" w:rsidP="00621B43">
      <w:pPr>
        <w:spacing w:before="0" w:after="0" w:line="312" w:lineRule="auto"/>
        <w:contextualSpacing/>
        <w:jc w:val="both"/>
        <w:rPr>
          <w:rFonts w:ascii="Arial" w:hAnsi="Arial" w:cs="Arial"/>
        </w:rPr>
      </w:pPr>
      <w:r w:rsidRPr="00910F24">
        <w:rPr>
          <w:rFonts w:ascii="Arial" w:hAnsi="Arial" w:cs="Arial"/>
          <w:b/>
          <w:bCs/>
        </w:rPr>
        <w:t>Recommendation</w:t>
      </w:r>
      <w:r w:rsidR="009B7BD1">
        <w:rPr>
          <w:rFonts w:ascii="Arial" w:hAnsi="Arial" w:cs="Arial"/>
          <w:b/>
          <w:bCs/>
        </w:rPr>
        <w:t xml:space="preserve"> </w:t>
      </w:r>
      <w:r w:rsidR="00200A4E">
        <w:rPr>
          <w:rFonts w:ascii="Arial" w:hAnsi="Arial" w:cs="Arial"/>
          <w:b/>
          <w:bCs/>
        </w:rPr>
        <w:t>7</w:t>
      </w:r>
      <w:r w:rsidR="00D12848">
        <w:rPr>
          <w:rFonts w:ascii="Arial" w:hAnsi="Arial" w:cs="Arial"/>
          <w:b/>
          <w:bCs/>
        </w:rPr>
        <w:t xml:space="preserve"> </w:t>
      </w:r>
      <w:r w:rsidR="00D16A6A">
        <w:rPr>
          <w:rFonts w:ascii="Arial" w:hAnsi="Arial" w:cs="Arial"/>
          <w:b/>
          <w:bCs/>
        </w:rPr>
        <w:t xml:space="preserve">– </w:t>
      </w:r>
      <w:r w:rsidR="00D16A6A" w:rsidRPr="00910F24">
        <w:rPr>
          <w:rFonts w:ascii="Arial" w:hAnsi="Arial" w:cs="Arial"/>
        </w:rPr>
        <w:t>The</w:t>
      </w:r>
      <w:r w:rsidRPr="00910F24">
        <w:rPr>
          <w:rFonts w:ascii="Arial" w:hAnsi="Arial" w:cs="Arial"/>
        </w:rPr>
        <w:t xml:space="preserve"> </w:t>
      </w:r>
      <w:r w:rsidR="00B661F6">
        <w:rPr>
          <w:rFonts w:ascii="Arial" w:hAnsi="Arial" w:cs="Arial"/>
        </w:rPr>
        <w:t>new r</w:t>
      </w:r>
      <w:r w:rsidRPr="00910F24">
        <w:rPr>
          <w:rFonts w:ascii="Arial" w:hAnsi="Arial" w:cs="Arial"/>
        </w:rPr>
        <w:t xml:space="preserve">eview </w:t>
      </w:r>
      <w:r w:rsidR="00B661F6">
        <w:rPr>
          <w:rFonts w:ascii="Arial" w:hAnsi="Arial" w:cs="Arial"/>
        </w:rPr>
        <w:t>b</w:t>
      </w:r>
      <w:r w:rsidRPr="00910F24">
        <w:rPr>
          <w:rFonts w:ascii="Arial" w:hAnsi="Arial" w:cs="Arial"/>
        </w:rPr>
        <w:t xml:space="preserve">ody should </w:t>
      </w:r>
      <w:r w:rsidR="00C12098">
        <w:rPr>
          <w:rFonts w:ascii="Arial" w:hAnsi="Arial" w:cs="Arial"/>
        </w:rPr>
        <w:t>engage</w:t>
      </w:r>
      <w:r w:rsidRPr="00910F24">
        <w:rPr>
          <w:rFonts w:ascii="Arial" w:hAnsi="Arial" w:cs="Arial"/>
        </w:rPr>
        <w:t xml:space="preserve"> a ‘duty lawyer’ who can assist participants on the day of their case conference, conciliations, and hearings</w:t>
      </w:r>
      <w:r w:rsidR="00370B21">
        <w:rPr>
          <w:rFonts w:ascii="Arial" w:hAnsi="Arial" w:cs="Arial"/>
        </w:rPr>
        <w:t xml:space="preserve">. </w:t>
      </w:r>
    </w:p>
    <w:p w14:paraId="08378D72" w14:textId="77777777" w:rsidR="00D12848" w:rsidRPr="00910F24" w:rsidRDefault="00D12848" w:rsidP="00621B43">
      <w:pPr>
        <w:spacing w:before="0" w:after="0" w:line="312" w:lineRule="auto"/>
        <w:contextualSpacing/>
        <w:jc w:val="both"/>
        <w:rPr>
          <w:rFonts w:ascii="Arial" w:hAnsi="Arial" w:cs="Arial"/>
        </w:rPr>
      </w:pPr>
    </w:p>
    <w:p w14:paraId="0E88582F" w14:textId="30B1819F" w:rsidR="002F1799" w:rsidRPr="002353CC" w:rsidRDefault="002F1799" w:rsidP="00621B43">
      <w:pPr>
        <w:pStyle w:val="Heading2"/>
        <w:spacing w:before="0" w:line="312" w:lineRule="auto"/>
      </w:pPr>
      <w:r>
        <w:t xml:space="preserve">Issue </w:t>
      </w:r>
      <w:r w:rsidR="005B793D">
        <w:t>3</w:t>
      </w:r>
      <w:r>
        <w:t xml:space="preserve">: Support for applicants </w:t>
      </w:r>
    </w:p>
    <w:p w14:paraId="7C9FC917" w14:textId="77777777" w:rsidR="005E2B7A" w:rsidRDefault="005E2B7A" w:rsidP="00621B43">
      <w:pPr>
        <w:spacing w:before="0" w:after="0" w:line="312" w:lineRule="auto"/>
        <w:jc w:val="both"/>
        <w:rPr>
          <w:rFonts w:ascii="Arial" w:hAnsi="Arial" w:cs="Arial"/>
        </w:rPr>
      </w:pPr>
    </w:p>
    <w:p w14:paraId="7E846C2A" w14:textId="4DB38FC8" w:rsidR="003C482D" w:rsidRDefault="00A167D4" w:rsidP="00621B43">
      <w:pPr>
        <w:spacing w:before="0" w:after="0" w:line="312" w:lineRule="auto"/>
        <w:jc w:val="both"/>
        <w:rPr>
          <w:rFonts w:ascii="Arial" w:hAnsi="Arial" w:cs="Arial"/>
        </w:rPr>
      </w:pPr>
      <w:r>
        <w:rPr>
          <w:rFonts w:ascii="Arial" w:hAnsi="Arial" w:cs="Arial"/>
        </w:rPr>
        <w:t xml:space="preserve">Article 13(1) of the </w:t>
      </w:r>
      <w:r>
        <w:rPr>
          <w:rFonts w:ascii="Arial" w:hAnsi="Arial" w:cs="Arial"/>
          <w:i/>
          <w:iCs/>
        </w:rPr>
        <w:t xml:space="preserve">Convention on the Rights of Persons with Disabilities </w:t>
      </w:r>
      <w:r>
        <w:rPr>
          <w:rFonts w:ascii="Arial" w:hAnsi="Arial" w:cs="Arial"/>
        </w:rPr>
        <w:t xml:space="preserve">(CRPD) requires the Australian government to ensure that people with disability have access to justice on an equal basis with others, including through the provision of procedural accommodations. </w:t>
      </w:r>
    </w:p>
    <w:p w14:paraId="57747E23" w14:textId="77777777" w:rsidR="00D16A6A" w:rsidRDefault="00D16A6A" w:rsidP="00621B43">
      <w:pPr>
        <w:spacing w:before="0" w:after="0" w:line="312" w:lineRule="auto"/>
        <w:jc w:val="both"/>
        <w:rPr>
          <w:rFonts w:ascii="Arial" w:hAnsi="Arial" w:cs="Arial"/>
        </w:rPr>
      </w:pPr>
    </w:p>
    <w:p w14:paraId="23DEFEC0" w14:textId="773F6E39" w:rsidR="00D16A6A" w:rsidRDefault="00A167D4" w:rsidP="00621B43">
      <w:pPr>
        <w:spacing w:before="0" w:after="0" w:line="312" w:lineRule="auto"/>
        <w:jc w:val="both"/>
        <w:rPr>
          <w:rFonts w:ascii="Arial" w:hAnsi="Arial" w:cs="Arial"/>
        </w:rPr>
      </w:pPr>
      <w:r>
        <w:rPr>
          <w:rFonts w:ascii="Arial" w:hAnsi="Arial" w:cs="Arial"/>
        </w:rPr>
        <w:t xml:space="preserve">Article 13(2) </w:t>
      </w:r>
      <w:r w:rsidR="00996E37">
        <w:rPr>
          <w:rFonts w:ascii="Arial" w:hAnsi="Arial" w:cs="Arial"/>
        </w:rPr>
        <w:t xml:space="preserve">of the CRPD </w:t>
      </w:r>
      <w:r>
        <w:rPr>
          <w:rFonts w:ascii="Arial" w:hAnsi="Arial" w:cs="Arial"/>
        </w:rPr>
        <w:t xml:space="preserve">requires the Australian Government to promote appropriate training to those working in administration of justice to promote access to justice for people with disability. </w:t>
      </w:r>
    </w:p>
    <w:p w14:paraId="7180C5AB" w14:textId="77777777" w:rsidR="00D16A6A" w:rsidRDefault="00D16A6A" w:rsidP="00621B43">
      <w:pPr>
        <w:spacing w:before="0" w:after="0" w:line="312" w:lineRule="auto"/>
        <w:jc w:val="both"/>
        <w:rPr>
          <w:rFonts w:ascii="Arial" w:hAnsi="Arial" w:cs="Arial"/>
        </w:rPr>
      </w:pPr>
    </w:p>
    <w:p w14:paraId="002B4F52" w14:textId="63396204" w:rsidR="00B90B66" w:rsidRPr="00A167D4" w:rsidRDefault="00A167D4" w:rsidP="00621B43">
      <w:pPr>
        <w:spacing w:before="0" w:after="0" w:line="312" w:lineRule="auto"/>
        <w:jc w:val="both"/>
        <w:rPr>
          <w:rFonts w:ascii="Arial" w:hAnsi="Arial" w:cs="Arial"/>
        </w:rPr>
      </w:pPr>
      <w:r>
        <w:rPr>
          <w:rFonts w:ascii="Arial" w:hAnsi="Arial" w:cs="Arial"/>
        </w:rPr>
        <w:t xml:space="preserve">To ensure the new review body complies with Article </w:t>
      </w:r>
      <w:r w:rsidR="001E1437">
        <w:rPr>
          <w:rFonts w:ascii="Arial" w:hAnsi="Arial" w:cs="Arial"/>
        </w:rPr>
        <w:t xml:space="preserve">13 </w:t>
      </w:r>
      <w:r>
        <w:rPr>
          <w:rFonts w:ascii="Arial" w:hAnsi="Arial" w:cs="Arial"/>
        </w:rPr>
        <w:t xml:space="preserve">of the CRPD, we recommend that: </w:t>
      </w:r>
    </w:p>
    <w:p w14:paraId="4E293A9A" w14:textId="77777777" w:rsidR="00D16A6A" w:rsidRDefault="00D16A6A" w:rsidP="00621B43">
      <w:pPr>
        <w:spacing w:before="0" w:after="0" w:line="312" w:lineRule="auto"/>
        <w:contextualSpacing/>
        <w:jc w:val="both"/>
        <w:rPr>
          <w:rFonts w:ascii="Arial" w:hAnsi="Arial" w:cs="Arial"/>
          <w:b/>
          <w:bCs/>
        </w:rPr>
      </w:pPr>
    </w:p>
    <w:p w14:paraId="1BC5F708" w14:textId="691EB0ED" w:rsidR="002F1799" w:rsidRPr="00A167D4" w:rsidRDefault="00A167D4" w:rsidP="00621B43">
      <w:pPr>
        <w:spacing w:before="0" w:after="0" w:line="312" w:lineRule="auto"/>
        <w:contextualSpacing/>
        <w:jc w:val="both"/>
        <w:rPr>
          <w:rFonts w:ascii="Arial" w:hAnsi="Arial" w:cs="Arial"/>
        </w:rPr>
      </w:pPr>
      <w:r>
        <w:rPr>
          <w:rFonts w:ascii="Arial" w:hAnsi="Arial" w:cs="Arial"/>
          <w:b/>
          <w:bCs/>
        </w:rPr>
        <w:lastRenderedPageBreak/>
        <w:t>Recommendation</w:t>
      </w:r>
      <w:r w:rsidR="0038234D">
        <w:rPr>
          <w:rFonts w:ascii="Arial" w:hAnsi="Arial" w:cs="Arial"/>
          <w:b/>
          <w:bCs/>
        </w:rPr>
        <w:t xml:space="preserve"> </w:t>
      </w:r>
      <w:r w:rsidR="00200A4E">
        <w:rPr>
          <w:rFonts w:ascii="Arial" w:hAnsi="Arial" w:cs="Arial"/>
          <w:b/>
          <w:bCs/>
        </w:rPr>
        <w:t>8</w:t>
      </w:r>
      <w:r w:rsidR="0038234D">
        <w:rPr>
          <w:rFonts w:ascii="Arial" w:hAnsi="Arial" w:cs="Arial"/>
          <w:b/>
          <w:bCs/>
        </w:rPr>
        <w:t xml:space="preserve"> – </w:t>
      </w:r>
      <w:r w:rsidR="00010F04" w:rsidRPr="00CF4877">
        <w:rPr>
          <w:rFonts w:ascii="Arial" w:hAnsi="Arial" w:cs="Arial"/>
        </w:rPr>
        <w:t>In all communications, t</w:t>
      </w:r>
      <w:r w:rsidR="0038234D" w:rsidRPr="0038234D">
        <w:rPr>
          <w:rFonts w:ascii="Arial" w:hAnsi="Arial" w:cs="Arial"/>
        </w:rPr>
        <w:t>he</w:t>
      </w:r>
      <w:r w:rsidR="005770A9" w:rsidRPr="0038234D">
        <w:rPr>
          <w:rFonts w:ascii="Arial" w:hAnsi="Arial" w:cs="Arial"/>
        </w:rPr>
        <w:t xml:space="preserve"> new</w:t>
      </w:r>
      <w:r w:rsidR="005770A9">
        <w:rPr>
          <w:rFonts w:ascii="Arial" w:hAnsi="Arial" w:cs="Arial"/>
        </w:rPr>
        <w:t xml:space="preserve"> review body should provide all applicants with information about advocacy services along with contact details. </w:t>
      </w:r>
      <w:r w:rsidR="00CF4877">
        <w:rPr>
          <w:rFonts w:ascii="Arial" w:hAnsi="Arial" w:cs="Arial"/>
        </w:rPr>
        <w:t>This information should be provided in accessible formats.</w:t>
      </w:r>
    </w:p>
    <w:p w14:paraId="3F0BF469" w14:textId="77777777" w:rsidR="00A167D4" w:rsidRDefault="00A167D4" w:rsidP="00621B43">
      <w:pPr>
        <w:spacing w:before="0" w:after="0" w:line="312" w:lineRule="auto"/>
        <w:contextualSpacing/>
        <w:jc w:val="both"/>
        <w:rPr>
          <w:rFonts w:ascii="Arial" w:hAnsi="Arial" w:cs="Arial"/>
        </w:rPr>
      </w:pPr>
    </w:p>
    <w:p w14:paraId="14A2B4B7" w14:textId="30590DDA" w:rsidR="002F1799" w:rsidRPr="00A167D4" w:rsidRDefault="00A167D4" w:rsidP="00621B43">
      <w:pPr>
        <w:spacing w:before="0" w:after="0" w:line="312" w:lineRule="auto"/>
        <w:contextualSpacing/>
        <w:jc w:val="both"/>
        <w:rPr>
          <w:rFonts w:ascii="Arial" w:hAnsi="Arial" w:cs="Arial"/>
        </w:rPr>
      </w:pPr>
      <w:r>
        <w:rPr>
          <w:rFonts w:ascii="Arial" w:hAnsi="Arial" w:cs="Arial"/>
          <w:b/>
          <w:bCs/>
        </w:rPr>
        <w:t xml:space="preserve">Recommendation </w:t>
      </w:r>
      <w:r w:rsidR="00200A4E">
        <w:rPr>
          <w:rFonts w:ascii="Arial" w:hAnsi="Arial" w:cs="Arial"/>
          <w:b/>
          <w:bCs/>
        </w:rPr>
        <w:t xml:space="preserve">9 </w:t>
      </w:r>
      <w:r w:rsidR="0038234D">
        <w:rPr>
          <w:rFonts w:ascii="Arial" w:hAnsi="Arial" w:cs="Arial"/>
          <w:b/>
          <w:bCs/>
        </w:rPr>
        <w:t xml:space="preserve">– </w:t>
      </w:r>
      <w:r w:rsidR="002F1799" w:rsidRPr="00A167D4">
        <w:rPr>
          <w:rFonts w:ascii="Arial" w:hAnsi="Arial" w:cs="Arial"/>
        </w:rPr>
        <w:t xml:space="preserve">Staff and members of the </w:t>
      </w:r>
      <w:r w:rsidR="00266A88">
        <w:rPr>
          <w:rFonts w:ascii="Arial" w:hAnsi="Arial" w:cs="Arial"/>
        </w:rPr>
        <w:t>new re</w:t>
      </w:r>
      <w:r w:rsidR="002F1799" w:rsidRPr="00A167D4">
        <w:rPr>
          <w:rFonts w:ascii="Arial" w:hAnsi="Arial" w:cs="Arial"/>
        </w:rPr>
        <w:t>view</w:t>
      </w:r>
      <w:r w:rsidR="00266A88">
        <w:rPr>
          <w:rFonts w:ascii="Arial" w:hAnsi="Arial" w:cs="Arial"/>
        </w:rPr>
        <w:t xml:space="preserve"> bo</w:t>
      </w:r>
      <w:r w:rsidR="002F1799" w:rsidRPr="00A167D4">
        <w:rPr>
          <w:rFonts w:ascii="Arial" w:hAnsi="Arial" w:cs="Arial"/>
        </w:rPr>
        <w:t>dy should complete disability and trauma awareness training</w:t>
      </w:r>
      <w:r w:rsidR="005770A9">
        <w:rPr>
          <w:rFonts w:ascii="Arial" w:hAnsi="Arial" w:cs="Arial"/>
        </w:rPr>
        <w:t>.</w:t>
      </w:r>
    </w:p>
    <w:p w14:paraId="2C3E94D4" w14:textId="77777777" w:rsidR="00A167D4" w:rsidRDefault="00A167D4" w:rsidP="00621B43">
      <w:pPr>
        <w:spacing w:before="0" w:after="0" w:line="312" w:lineRule="auto"/>
        <w:contextualSpacing/>
        <w:jc w:val="both"/>
        <w:rPr>
          <w:rFonts w:ascii="Arial" w:hAnsi="Arial" w:cs="Arial"/>
        </w:rPr>
      </w:pPr>
    </w:p>
    <w:p w14:paraId="40FB9CE8" w14:textId="30AC9227" w:rsidR="002F1799" w:rsidRPr="00A167D4" w:rsidRDefault="00A167D4" w:rsidP="00621B43">
      <w:pPr>
        <w:spacing w:before="0" w:after="0" w:line="312" w:lineRule="auto"/>
        <w:contextualSpacing/>
        <w:jc w:val="both"/>
        <w:rPr>
          <w:rFonts w:ascii="Arial" w:hAnsi="Arial" w:cs="Arial"/>
        </w:rPr>
      </w:pPr>
      <w:r>
        <w:rPr>
          <w:rFonts w:ascii="Arial" w:hAnsi="Arial" w:cs="Arial"/>
          <w:b/>
          <w:bCs/>
        </w:rPr>
        <w:t>Recommendation</w:t>
      </w:r>
      <w:r w:rsidR="00200A4E">
        <w:rPr>
          <w:rFonts w:ascii="Arial" w:hAnsi="Arial" w:cs="Arial"/>
          <w:b/>
          <w:bCs/>
        </w:rPr>
        <w:t xml:space="preserve"> 10 </w:t>
      </w:r>
      <w:r w:rsidR="00196775">
        <w:rPr>
          <w:rFonts w:ascii="Arial" w:hAnsi="Arial" w:cs="Arial"/>
          <w:b/>
          <w:bCs/>
        </w:rPr>
        <w:t>–</w:t>
      </w:r>
      <w:r w:rsidR="008B1C90">
        <w:rPr>
          <w:rFonts w:ascii="Arial" w:hAnsi="Arial" w:cs="Arial"/>
          <w:b/>
          <w:bCs/>
        </w:rPr>
        <w:t xml:space="preserve"> </w:t>
      </w:r>
      <w:r w:rsidR="002F1799" w:rsidRPr="00A167D4">
        <w:rPr>
          <w:rFonts w:ascii="Arial" w:hAnsi="Arial" w:cs="Arial"/>
        </w:rPr>
        <w:t>The new legislation should include an obligation to promote accessibility, with appropriate guidance that thoroughly addresses accessibility issues</w:t>
      </w:r>
      <w:r w:rsidR="005770A9">
        <w:rPr>
          <w:rFonts w:ascii="Arial" w:hAnsi="Arial" w:cs="Arial"/>
        </w:rPr>
        <w:t>, including that conference times are scheduled at times that suit people with disability</w:t>
      </w:r>
      <w:r w:rsidR="004C66D7">
        <w:rPr>
          <w:rFonts w:ascii="Arial" w:hAnsi="Arial" w:cs="Arial"/>
        </w:rPr>
        <w:t xml:space="preserve"> and </w:t>
      </w:r>
      <w:r w:rsidR="00D47140">
        <w:rPr>
          <w:rFonts w:ascii="Arial" w:hAnsi="Arial" w:cs="Arial"/>
        </w:rPr>
        <w:t>allow</w:t>
      </w:r>
      <w:r w:rsidR="00FC315E">
        <w:rPr>
          <w:rFonts w:ascii="Arial" w:hAnsi="Arial" w:cs="Arial"/>
        </w:rPr>
        <w:t xml:space="preserve"> them</w:t>
      </w:r>
      <w:r w:rsidR="00A8723C">
        <w:rPr>
          <w:rFonts w:ascii="Arial" w:hAnsi="Arial" w:cs="Arial"/>
        </w:rPr>
        <w:t xml:space="preserve"> time</w:t>
      </w:r>
      <w:r w:rsidR="00FC315E">
        <w:rPr>
          <w:rFonts w:ascii="Arial" w:hAnsi="Arial" w:cs="Arial"/>
        </w:rPr>
        <w:t xml:space="preserve"> to organise their required supports</w:t>
      </w:r>
      <w:r w:rsidR="005770A9">
        <w:rPr>
          <w:rFonts w:ascii="Arial" w:hAnsi="Arial" w:cs="Arial"/>
        </w:rPr>
        <w:t xml:space="preserve">. </w:t>
      </w:r>
      <w:r w:rsidR="002F1799" w:rsidRPr="00A167D4">
        <w:rPr>
          <w:rFonts w:ascii="Arial" w:hAnsi="Arial" w:cs="Arial"/>
        </w:rPr>
        <w:t xml:space="preserve"> </w:t>
      </w:r>
    </w:p>
    <w:p w14:paraId="69E2D847" w14:textId="77777777" w:rsidR="00A167D4" w:rsidRDefault="00A167D4" w:rsidP="00621B43">
      <w:pPr>
        <w:spacing w:before="0" w:after="0" w:line="312" w:lineRule="auto"/>
        <w:contextualSpacing/>
        <w:jc w:val="both"/>
        <w:rPr>
          <w:rFonts w:ascii="Arial" w:hAnsi="Arial" w:cs="Arial"/>
        </w:rPr>
      </w:pPr>
    </w:p>
    <w:p w14:paraId="3A1DC6D4" w14:textId="4DBFAB9A" w:rsidR="002F1799" w:rsidRDefault="00A167D4" w:rsidP="00621B43">
      <w:pPr>
        <w:spacing w:before="0" w:after="0" w:line="312" w:lineRule="auto"/>
        <w:contextualSpacing/>
        <w:jc w:val="both"/>
        <w:rPr>
          <w:rFonts w:ascii="Arial" w:hAnsi="Arial" w:cs="Arial"/>
        </w:rPr>
      </w:pPr>
      <w:r>
        <w:rPr>
          <w:rFonts w:ascii="Arial" w:hAnsi="Arial" w:cs="Arial"/>
          <w:b/>
          <w:bCs/>
        </w:rPr>
        <w:t xml:space="preserve">Recommendation </w:t>
      </w:r>
      <w:r w:rsidR="008B1C90">
        <w:rPr>
          <w:rFonts w:ascii="Arial" w:hAnsi="Arial" w:cs="Arial"/>
          <w:b/>
          <w:bCs/>
        </w:rPr>
        <w:t>1</w:t>
      </w:r>
      <w:r w:rsidR="00200A4E">
        <w:rPr>
          <w:rFonts w:ascii="Arial" w:hAnsi="Arial" w:cs="Arial"/>
          <w:b/>
          <w:bCs/>
        </w:rPr>
        <w:t>1</w:t>
      </w:r>
      <w:r w:rsidR="008B1C90">
        <w:rPr>
          <w:rFonts w:ascii="Arial" w:hAnsi="Arial" w:cs="Arial"/>
          <w:b/>
          <w:bCs/>
        </w:rPr>
        <w:t xml:space="preserve"> – </w:t>
      </w:r>
      <w:r w:rsidR="008B1C90">
        <w:rPr>
          <w:rFonts w:ascii="Arial" w:hAnsi="Arial" w:cs="Arial"/>
        </w:rPr>
        <w:t>T</w:t>
      </w:r>
      <w:r w:rsidR="002F1799" w:rsidRPr="00A167D4">
        <w:rPr>
          <w:rFonts w:ascii="Arial" w:hAnsi="Arial" w:cs="Arial"/>
        </w:rPr>
        <w:t>he new legislation should also include an obligation to support the psychosocial health of people going through the review process</w:t>
      </w:r>
      <w:r w:rsidR="006E0311">
        <w:rPr>
          <w:rFonts w:ascii="Arial" w:hAnsi="Arial" w:cs="Arial"/>
        </w:rPr>
        <w:t xml:space="preserve">, including through making referrals to mental health supports and advocacy services. </w:t>
      </w:r>
      <w:r w:rsidR="002F1799" w:rsidRPr="00A167D4">
        <w:rPr>
          <w:rFonts w:ascii="Arial" w:hAnsi="Arial" w:cs="Arial"/>
        </w:rPr>
        <w:t xml:space="preserve"> </w:t>
      </w:r>
    </w:p>
    <w:p w14:paraId="5997921C" w14:textId="77777777" w:rsidR="008B1C90" w:rsidRPr="00A167D4" w:rsidRDefault="008B1C90" w:rsidP="00621B43">
      <w:pPr>
        <w:spacing w:before="0" w:after="0" w:line="312" w:lineRule="auto"/>
        <w:contextualSpacing/>
        <w:jc w:val="both"/>
        <w:rPr>
          <w:rFonts w:ascii="Arial" w:hAnsi="Arial" w:cs="Arial"/>
        </w:rPr>
      </w:pPr>
    </w:p>
    <w:p w14:paraId="701AC297" w14:textId="1A568D1D" w:rsidR="002F1799" w:rsidRPr="002353CC" w:rsidRDefault="002F1799" w:rsidP="00621B43">
      <w:pPr>
        <w:pStyle w:val="Heading2"/>
        <w:spacing w:before="0" w:line="312" w:lineRule="auto"/>
      </w:pPr>
      <w:r>
        <w:t xml:space="preserve">Issue </w:t>
      </w:r>
      <w:r w:rsidR="005B793D">
        <w:t>4</w:t>
      </w:r>
      <w:r>
        <w:t>: Guardianship and supported decision-making</w:t>
      </w:r>
    </w:p>
    <w:p w14:paraId="56825D1D" w14:textId="77777777" w:rsidR="005E2B7A" w:rsidRDefault="005E2B7A" w:rsidP="00621B43">
      <w:pPr>
        <w:spacing w:before="0" w:after="0" w:line="312" w:lineRule="auto"/>
        <w:jc w:val="both"/>
        <w:rPr>
          <w:rFonts w:ascii="Arial" w:hAnsi="Arial" w:cs="Arial"/>
        </w:rPr>
      </w:pPr>
    </w:p>
    <w:p w14:paraId="7A50FE8C" w14:textId="1A3AA2C0" w:rsidR="003C482D" w:rsidRDefault="00BE7182" w:rsidP="00621B43">
      <w:pPr>
        <w:spacing w:before="0" w:after="0" w:line="312" w:lineRule="auto"/>
        <w:jc w:val="both"/>
        <w:rPr>
          <w:rFonts w:ascii="Arial" w:hAnsi="Arial" w:cs="Arial"/>
        </w:rPr>
      </w:pPr>
      <w:r>
        <w:rPr>
          <w:rFonts w:ascii="Arial" w:hAnsi="Arial" w:cs="Arial"/>
        </w:rPr>
        <w:t xml:space="preserve">The Discussion Paper asks how the new review body can ensure people with disability can participate in proceedings and whether the new review body should be able to appoint a litigation guardian. </w:t>
      </w:r>
    </w:p>
    <w:p w14:paraId="00B7EFDB" w14:textId="77777777" w:rsidR="008B1C90" w:rsidRDefault="008B1C90" w:rsidP="00621B43">
      <w:pPr>
        <w:spacing w:before="0" w:after="0" w:line="312" w:lineRule="auto"/>
        <w:jc w:val="both"/>
        <w:rPr>
          <w:rFonts w:ascii="Arial" w:hAnsi="Arial" w:cs="Arial"/>
        </w:rPr>
      </w:pPr>
    </w:p>
    <w:p w14:paraId="20674A4E" w14:textId="39367C72" w:rsidR="000B059B" w:rsidRDefault="00291898" w:rsidP="00621B43">
      <w:pPr>
        <w:spacing w:before="0" w:after="0" w:line="312" w:lineRule="auto"/>
        <w:jc w:val="both"/>
        <w:rPr>
          <w:rFonts w:ascii="Arial" w:hAnsi="Arial" w:cs="Arial"/>
        </w:rPr>
      </w:pPr>
      <w:r>
        <w:rPr>
          <w:rFonts w:ascii="Arial" w:hAnsi="Arial" w:cs="Arial"/>
        </w:rPr>
        <w:t xml:space="preserve">We note that </w:t>
      </w:r>
      <w:r w:rsidR="000B059B">
        <w:rPr>
          <w:rFonts w:ascii="Arial" w:hAnsi="Arial" w:cs="Arial"/>
        </w:rPr>
        <w:t xml:space="preserve">Article 12(3) of the CRPD obliges the Australian Government to provide people with disability with support for decision-making. Article 12(4) </w:t>
      </w:r>
      <w:r w:rsidR="00194404">
        <w:rPr>
          <w:rFonts w:ascii="Arial" w:hAnsi="Arial" w:cs="Arial"/>
        </w:rPr>
        <w:t xml:space="preserve">of the CRPD </w:t>
      </w:r>
      <w:r w:rsidR="000B059B">
        <w:rPr>
          <w:rFonts w:ascii="Arial" w:hAnsi="Arial" w:cs="Arial"/>
        </w:rPr>
        <w:t>requires that any measure relating to the exercise of legal capacity is subject to safeguards t</w:t>
      </w:r>
      <w:r w:rsidR="00F6642E">
        <w:rPr>
          <w:rFonts w:ascii="Arial" w:hAnsi="Arial" w:cs="Arial"/>
        </w:rPr>
        <w:t>hat</w:t>
      </w:r>
      <w:r w:rsidR="000B059B">
        <w:rPr>
          <w:rFonts w:ascii="Arial" w:hAnsi="Arial" w:cs="Arial"/>
        </w:rPr>
        <w:t xml:space="preserve"> ensu</w:t>
      </w:r>
      <w:r w:rsidR="00F6642E">
        <w:rPr>
          <w:rFonts w:ascii="Arial" w:hAnsi="Arial" w:cs="Arial"/>
        </w:rPr>
        <w:t>r</w:t>
      </w:r>
      <w:r w:rsidR="000B059B">
        <w:rPr>
          <w:rFonts w:ascii="Arial" w:hAnsi="Arial" w:cs="Arial"/>
        </w:rPr>
        <w:t xml:space="preserve">e that the person with disability’s rights, will and </w:t>
      </w:r>
      <w:r w:rsidR="00F6642E">
        <w:rPr>
          <w:rFonts w:ascii="Arial" w:hAnsi="Arial" w:cs="Arial"/>
        </w:rPr>
        <w:t>preferences</w:t>
      </w:r>
      <w:r w:rsidR="000B059B">
        <w:rPr>
          <w:rFonts w:ascii="Arial" w:hAnsi="Arial" w:cs="Arial"/>
        </w:rPr>
        <w:t xml:space="preserve"> are respected. For further information, please see our </w:t>
      </w:r>
      <w:hyperlink r:id="rId23" w:history="1">
        <w:r w:rsidR="000B059B" w:rsidRPr="000B059B">
          <w:rPr>
            <w:rStyle w:val="Hyperlink"/>
            <w:rFonts w:ascii="Arial" w:hAnsi="Arial" w:cs="Arial"/>
          </w:rPr>
          <w:t>guardianship and supported decision-making position paper</w:t>
        </w:r>
      </w:hyperlink>
      <w:r w:rsidR="000B059B">
        <w:rPr>
          <w:rFonts w:ascii="Arial" w:hAnsi="Arial" w:cs="Arial"/>
        </w:rPr>
        <w:t xml:space="preserve">. </w:t>
      </w:r>
    </w:p>
    <w:p w14:paraId="6A63D53B" w14:textId="77777777" w:rsidR="008B1C90" w:rsidRDefault="008B1C90" w:rsidP="00621B43">
      <w:pPr>
        <w:spacing w:before="0" w:after="0" w:line="312" w:lineRule="auto"/>
        <w:jc w:val="both"/>
        <w:rPr>
          <w:rFonts w:ascii="Arial" w:hAnsi="Arial" w:cs="Arial"/>
        </w:rPr>
      </w:pPr>
    </w:p>
    <w:p w14:paraId="49F7328B" w14:textId="5932917B" w:rsidR="00BE7182" w:rsidRDefault="00360F86" w:rsidP="00621B43">
      <w:pPr>
        <w:spacing w:before="0" w:after="0" w:line="312" w:lineRule="auto"/>
        <w:jc w:val="both"/>
        <w:rPr>
          <w:rFonts w:ascii="Arial" w:hAnsi="Arial" w:cs="Arial"/>
        </w:rPr>
      </w:pPr>
      <w:r>
        <w:rPr>
          <w:rFonts w:ascii="Arial" w:hAnsi="Arial" w:cs="Arial"/>
        </w:rPr>
        <w:t xml:space="preserve">To ensure that the new review body complies with the CRPD, we recommend that: </w:t>
      </w:r>
    </w:p>
    <w:p w14:paraId="57106D74" w14:textId="77777777" w:rsidR="008B1C90" w:rsidRDefault="008B1C90" w:rsidP="00621B43">
      <w:pPr>
        <w:spacing w:before="0" w:after="0" w:line="312" w:lineRule="auto"/>
        <w:jc w:val="both"/>
        <w:rPr>
          <w:rFonts w:ascii="Arial" w:hAnsi="Arial" w:cs="Arial"/>
          <w:b/>
          <w:bCs/>
        </w:rPr>
      </w:pPr>
    </w:p>
    <w:p w14:paraId="762B0AC9" w14:textId="701C35ED" w:rsidR="00BE7182" w:rsidRDefault="00BE7182" w:rsidP="00621B43">
      <w:pPr>
        <w:spacing w:before="0" w:after="0" w:line="312" w:lineRule="auto"/>
        <w:jc w:val="both"/>
        <w:rPr>
          <w:rFonts w:ascii="Arial" w:hAnsi="Arial" w:cs="Arial"/>
        </w:rPr>
      </w:pPr>
      <w:r>
        <w:rPr>
          <w:rFonts w:ascii="Arial" w:hAnsi="Arial" w:cs="Arial"/>
          <w:b/>
          <w:bCs/>
        </w:rPr>
        <w:t xml:space="preserve">Recommendation </w:t>
      </w:r>
      <w:r w:rsidR="008B1C90">
        <w:rPr>
          <w:rFonts w:ascii="Arial" w:hAnsi="Arial" w:cs="Arial"/>
          <w:b/>
          <w:bCs/>
        </w:rPr>
        <w:t>1</w:t>
      </w:r>
      <w:r w:rsidR="00200A4E">
        <w:rPr>
          <w:rFonts w:ascii="Arial" w:hAnsi="Arial" w:cs="Arial"/>
          <w:b/>
          <w:bCs/>
        </w:rPr>
        <w:t>2</w:t>
      </w:r>
      <w:r w:rsidR="008B1C90">
        <w:rPr>
          <w:rFonts w:ascii="Arial" w:hAnsi="Arial" w:cs="Arial"/>
          <w:b/>
          <w:bCs/>
        </w:rPr>
        <w:t xml:space="preserve"> – </w:t>
      </w:r>
      <w:r>
        <w:rPr>
          <w:rFonts w:ascii="Arial" w:hAnsi="Arial" w:cs="Arial"/>
        </w:rPr>
        <w:t xml:space="preserve">All measures relating to guardianship and supported decision-making comply with Article 12 of the CRPD and respect the will and preferences of the person with disability. </w:t>
      </w:r>
    </w:p>
    <w:p w14:paraId="43B65859" w14:textId="44B03972" w:rsidR="0088730C" w:rsidRDefault="0088730C" w:rsidP="00621B43">
      <w:pPr>
        <w:spacing w:before="0" w:after="0" w:line="312" w:lineRule="auto"/>
        <w:contextualSpacing/>
        <w:jc w:val="both"/>
        <w:rPr>
          <w:rFonts w:ascii="Arial" w:hAnsi="Arial" w:cs="Arial"/>
        </w:rPr>
      </w:pPr>
    </w:p>
    <w:p w14:paraId="3798A89A" w14:textId="6C316052" w:rsidR="0088730C" w:rsidRDefault="0088730C" w:rsidP="00621B43">
      <w:pPr>
        <w:spacing w:before="0" w:after="0" w:line="312" w:lineRule="auto"/>
        <w:contextualSpacing/>
        <w:jc w:val="both"/>
        <w:rPr>
          <w:rFonts w:ascii="Arial" w:hAnsi="Arial" w:cs="Arial"/>
        </w:rPr>
      </w:pPr>
      <w:r>
        <w:rPr>
          <w:rFonts w:ascii="Arial" w:hAnsi="Arial" w:cs="Arial"/>
        </w:rPr>
        <w:t xml:space="preserve">Our advocates report that guardians often cause delay in proceedings. This is because they are reluctant to attend AAT case conferences and proceedings and take a long time to sign-off on decisions. </w:t>
      </w:r>
      <w:r w:rsidR="006334B5">
        <w:rPr>
          <w:rFonts w:ascii="Arial" w:hAnsi="Arial" w:cs="Arial"/>
        </w:rPr>
        <w:t>In addition, w</w:t>
      </w:r>
      <w:r>
        <w:rPr>
          <w:rFonts w:ascii="Arial" w:hAnsi="Arial" w:cs="Arial"/>
        </w:rPr>
        <w:t xml:space="preserve">here an applicant has an advocate and a guardian, it is not clear what each person’s role is in AAT processes. </w:t>
      </w:r>
      <w:r w:rsidR="009C4264">
        <w:rPr>
          <w:rFonts w:ascii="Arial" w:hAnsi="Arial" w:cs="Arial"/>
        </w:rPr>
        <w:t xml:space="preserve">Therefore, we recommend that: </w:t>
      </w:r>
    </w:p>
    <w:p w14:paraId="21667C26" w14:textId="0F171434" w:rsidR="0088730C" w:rsidRDefault="0088730C" w:rsidP="00621B43">
      <w:pPr>
        <w:spacing w:before="0" w:after="0" w:line="312" w:lineRule="auto"/>
        <w:jc w:val="both"/>
        <w:rPr>
          <w:rFonts w:ascii="Arial" w:hAnsi="Arial" w:cs="Arial"/>
        </w:rPr>
      </w:pPr>
    </w:p>
    <w:p w14:paraId="42F197BD" w14:textId="7920C7E2" w:rsidR="002F1799" w:rsidRDefault="00AD37FF" w:rsidP="00621B43">
      <w:pPr>
        <w:spacing w:before="0" w:after="0" w:line="312" w:lineRule="auto"/>
        <w:contextualSpacing/>
        <w:jc w:val="both"/>
        <w:rPr>
          <w:rFonts w:ascii="Arial" w:hAnsi="Arial" w:cs="Arial"/>
        </w:rPr>
      </w:pPr>
      <w:r>
        <w:rPr>
          <w:rFonts w:ascii="Arial" w:hAnsi="Arial" w:cs="Arial"/>
          <w:b/>
          <w:bCs/>
        </w:rPr>
        <w:lastRenderedPageBreak/>
        <w:t xml:space="preserve">Recommendation </w:t>
      </w:r>
      <w:r w:rsidR="008B1C90">
        <w:rPr>
          <w:rFonts w:ascii="Arial" w:hAnsi="Arial" w:cs="Arial"/>
          <w:b/>
          <w:bCs/>
        </w:rPr>
        <w:t>1</w:t>
      </w:r>
      <w:r w:rsidR="00200A4E">
        <w:rPr>
          <w:rFonts w:ascii="Arial" w:hAnsi="Arial" w:cs="Arial"/>
          <w:b/>
          <w:bCs/>
        </w:rPr>
        <w:t>3</w:t>
      </w:r>
      <w:r w:rsidR="008B1C90">
        <w:rPr>
          <w:rFonts w:ascii="Arial" w:hAnsi="Arial" w:cs="Arial"/>
          <w:b/>
          <w:bCs/>
        </w:rPr>
        <w:t xml:space="preserve"> – </w:t>
      </w:r>
      <w:r w:rsidR="002F1799" w:rsidRPr="00AD37FF">
        <w:rPr>
          <w:rFonts w:ascii="Arial" w:hAnsi="Arial" w:cs="Arial"/>
        </w:rPr>
        <w:t xml:space="preserve">The role and expectations of </w:t>
      </w:r>
      <w:r>
        <w:rPr>
          <w:rFonts w:ascii="Arial" w:hAnsi="Arial" w:cs="Arial"/>
        </w:rPr>
        <w:t xml:space="preserve">all types of guardians </w:t>
      </w:r>
      <w:r w:rsidR="002F1799" w:rsidRPr="00AD37FF">
        <w:rPr>
          <w:rFonts w:ascii="Arial" w:hAnsi="Arial" w:cs="Arial"/>
        </w:rPr>
        <w:t xml:space="preserve">in </w:t>
      </w:r>
      <w:r w:rsidR="00C9040E">
        <w:rPr>
          <w:rFonts w:ascii="Arial" w:hAnsi="Arial" w:cs="Arial"/>
        </w:rPr>
        <w:t xml:space="preserve">proceedings of the </w:t>
      </w:r>
      <w:r w:rsidR="00266A88">
        <w:rPr>
          <w:rFonts w:ascii="Arial" w:hAnsi="Arial" w:cs="Arial"/>
        </w:rPr>
        <w:t>new r</w:t>
      </w:r>
      <w:r w:rsidR="002F1799" w:rsidRPr="00AD37FF">
        <w:rPr>
          <w:rFonts w:ascii="Arial" w:hAnsi="Arial" w:cs="Arial"/>
        </w:rPr>
        <w:t xml:space="preserve">eview </w:t>
      </w:r>
      <w:r w:rsidR="00266A88">
        <w:rPr>
          <w:rFonts w:ascii="Arial" w:hAnsi="Arial" w:cs="Arial"/>
        </w:rPr>
        <w:t>b</w:t>
      </w:r>
      <w:r w:rsidR="002F1799" w:rsidRPr="00AD37FF">
        <w:rPr>
          <w:rFonts w:ascii="Arial" w:hAnsi="Arial" w:cs="Arial"/>
        </w:rPr>
        <w:t>ody should be well defined, with a strong emphasis on supported decision-making</w:t>
      </w:r>
      <w:r w:rsidR="0088730C">
        <w:rPr>
          <w:rFonts w:ascii="Arial" w:hAnsi="Arial" w:cs="Arial"/>
        </w:rPr>
        <w:t xml:space="preserve"> and expediency in signing-off decisions</w:t>
      </w:r>
      <w:r w:rsidR="002F1799" w:rsidRPr="00AD37FF">
        <w:rPr>
          <w:rFonts w:ascii="Arial" w:hAnsi="Arial" w:cs="Arial"/>
        </w:rPr>
        <w:t xml:space="preserve">. </w:t>
      </w:r>
    </w:p>
    <w:p w14:paraId="6A0F6DD5" w14:textId="77777777" w:rsidR="008B1C90" w:rsidRPr="00AD37FF" w:rsidRDefault="008B1C90" w:rsidP="00621B43">
      <w:pPr>
        <w:spacing w:before="0" w:after="0" w:line="312" w:lineRule="auto"/>
        <w:contextualSpacing/>
        <w:jc w:val="both"/>
        <w:rPr>
          <w:rFonts w:ascii="Arial" w:hAnsi="Arial" w:cs="Arial"/>
          <w:b/>
          <w:bCs/>
        </w:rPr>
      </w:pPr>
    </w:p>
    <w:p w14:paraId="2BCD1F68" w14:textId="750465F4" w:rsidR="002F1799" w:rsidRPr="002353CC" w:rsidRDefault="002F1799" w:rsidP="00621B43">
      <w:pPr>
        <w:pStyle w:val="Heading2"/>
        <w:spacing w:before="0" w:line="312" w:lineRule="auto"/>
      </w:pPr>
      <w:r>
        <w:t xml:space="preserve">Issue </w:t>
      </w:r>
      <w:r w:rsidR="005B793D">
        <w:t>5</w:t>
      </w:r>
      <w:r>
        <w:t>: Accessible applications</w:t>
      </w:r>
    </w:p>
    <w:p w14:paraId="102E50FC" w14:textId="77777777" w:rsidR="005E2B7A" w:rsidRDefault="005E2B7A" w:rsidP="00621B43">
      <w:pPr>
        <w:spacing w:before="0" w:after="0" w:line="312" w:lineRule="auto"/>
        <w:jc w:val="both"/>
        <w:rPr>
          <w:rFonts w:ascii="Arial" w:hAnsi="Arial" w:cs="Arial"/>
        </w:rPr>
      </w:pPr>
    </w:p>
    <w:p w14:paraId="3ACA43EC" w14:textId="6B47A9D6" w:rsidR="00472C55" w:rsidRDefault="002F1799" w:rsidP="00621B43">
      <w:pPr>
        <w:spacing w:before="0" w:after="0" w:line="312" w:lineRule="auto"/>
        <w:jc w:val="both"/>
        <w:rPr>
          <w:rFonts w:ascii="Arial" w:hAnsi="Arial" w:cs="Arial"/>
        </w:rPr>
      </w:pPr>
      <w:r>
        <w:rPr>
          <w:rFonts w:ascii="Arial" w:hAnsi="Arial" w:cs="Arial"/>
        </w:rPr>
        <w:t>Participants face financial barriers to accessing functional assessments</w:t>
      </w:r>
      <w:r w:rsidR="000D7F2C">
        <w:rPr>
          <w:rFonts w:ascii="Arial" w:hAnsi="Arial" w:cs="Arial"/>
        </w:rPr>
        <w:t xml:space="preserve"> that are required as part of the review process.</w:t>
      </w:r>
      <w:r>
        <w:rPr>
          <w:rFonts w:ascii="Arial" w:hAnsi="Arial" w:cs="Arial"/>
        </w:rPr>
        <w:t xml:space="preserve"> The NDIA </w:t>
      </w:r>
      <w:r w:rsidR="000D7F2C">
        <w:rPr>
          <w:rFonts w:ascii="Arial" w:hAnsi="Arial" w:cs="Arial"/>
        </w:rPr>
        <w:t>often</w:t>
      </w:r>
      <w:r>
        <w:rPr>
          <w:rFonts w:ascii="Arial" w:hAnsi="Arial" w:cs="Arial"/>
        </w:rPr>
        <w:t xml:space="preserve"> rejects participants’ functional assessments during case conferences and requests specialist assessments.</w:t>
      </w:r>
      <w:r w:rsidR="004864C4">
        <w:rPr>
          <w:rFonts w:ascii="Arial" w:hAnsi="Arial" w:cs="Arial"/>
        </w:rPr>
        <w:t xml:space="preserve"> In many cases, the costs of these assessments are </w:t>
      </w:r>
      <w:r w:rsidR="00CF2563">
        <w:rPr>
          <w:rFonts w:ascii="Arial" w:hAnsi="Arial" w:cs="Arial"/>
        </w:rPr>
        <w:t>unaffordable for participants and there can be significant waiting time</w:t>
      </w:r>
      <w:r w:rsidR="00F90613">
        <w:rPr>
          <w:rFonts w:ascii="Arial" w:hAnsi="Arial" w:cs="Arial"/>
        </w:rPr>
        <w:t xml:space="preserve"> for specialist assessments.</w:t>
      </w:r>
      <w:r w:rsidR="00CF2563">
        <w:rPr>
          <w:rFonts w:ascii="Arial" w:hAnsi="Arial" w:cs="Arial"/>
        </w:rPr>
        <w:t xml:space="preserve"> </w:t>
      </w:r>
      <w:r>
        <w:rPr>
          <w:rFonts w:ascii="Arial" w:hAnsi="Arial" w:cs="Arial"/>
        </w:rPr>
        <w:t xml:space="preserve"> </w:t>
      </w:r>
      <w:r w:rsidR="00500C67">
        <w:rPr>
          <w:rFonts w:ascii="Arial" w:hAnsi="Arial" w:cs="Arial"/>
        </w:rPr>
        <w:t>Where people live in remote areas</w:t>
      </w:r>
      <w:r w:rsidR="002A16D0">
        <w:rPr>
          <w:rFonts w:ascii="Arial" w:hAnsi="Arial" w:cs="Arial"/>
        </w:rPr>
        <w:t>,</w:t>
      </w:r>
      <w:r w:rsidR="00500C67">
        <w:rPr>
          <w:rFonts w:ascii="Arial" w:hAnsi="Arial" w:cs="Arial"/>
        </w:rPr>
        <w:t xml:space="preserve"> the travel </w:t>
      </w:r>
      <w:r w:rsidR="000D33FB">
        <w:rPr>
          <w:rFonts w:ascii="Arial" w:hAnsi="Arial" w:cs="Arial"/>
        </w:rPr>
        <w:t xml:space="preserve">costs to attend appointments related to specialist reports can </w:t>
      </w:r>
      <w:r w:rsidR="004923C2">
        <w:rPr>
          <w:rFonts w:ascii="Arial" w:hAnsi="Arial" w:cs="Arial"/>
        </w:rPr>
        <w:t xml:space="preserve">amount to thousands </w:t>
      </w:r>
      <w:r w:rsidR="0061668F">
        <w:rPr>
          <w:rFonts w:ascii="Arial" w:hAnsi="Arial" w:cs="Arial"/>
        </w:rPr>
        <w:t>of dollars.</w:t>
      </w:r>
      <w:r w:rsidR="000D33FB">
        <w:rPr>
          <w:rFonts w:ascii="Arial" w:hAnsi="Arial" w:cs="Arial"/>
        </w:rPr>
        <w:t xml:space="preserve"> </w:t>
      </w:r>
      <w:r w:rsidR="000D7F2C">
        <w:rPr>
          <w:rFonts w:ascii="Arial" w:hAnsi="Arial" w:cs="Arial"/>
        </w:rPr>
        <w:t>Our advocates have engaged with NDIA lawyers to confirm whether the NDIA will pay for the new reports, but the lawyers often do not reply.</w:t>
      </w:r>
    </w:p>
    <w:p w14:paraId="0D01DBEA" w14:textId="77777777" w:rsidR="008B1C90" w:rsidRDefault="008B1C90" w:rsidP="00621B43">
      <w:pPr>
        <w:spacing w:before="0" w:after="0" w:line="312" w:lineRule="auto"/>
        <w:jc w:val="both"/>
        <w:rPr>
          <w:rFonts w:ascii="Arial" w:hAnsi="Arial" w:cs="Arial"/>
        </w:rPr>
      </w:pPr>
    </w:p>
    <w:p w14:paraId="15CBA736" w14:textId="45349340" w:rsidR="000D7F2C" w:rsidRDefault="000D7F2C" w:rsidP="00621B43">
      <w:pPr>
        <w:spacing w:before="0" w:after="0" w:line="312" w:lineRule="auto"/>
        <w:jc w:val="both"/>
        <w:rPr>
          <w:rFonts w:ascii="Arial" w:hAnsi="Arial" w:cs="Arial"/>
        </w:rPr>
      </w:pPr>
      <w:r>
        <w:rPr>
          <w:rFonts w:ascii="Arial" w:hAnsi="Arial" w:cs="Arial"/>
        </w:rPr>
        <w:t xml:space="preserve">To address this issue, we recommend that: </w:t>
      </w:r>
    </w:p>
    <w:p w14:paraId="0531E24C" w14:textId="77777777" w:rsidR="008B1C90" w:rsidRDefault="008B1C90" w:rsidP="00621B43">
      <w:pPr>
        <w:spacing w:before="0" w:after="0" w:line="312" w:lineRule="auto"/>
        <w:jc w:val="both"/>
        <w:rPr>
          <w:rFonts w:ascii="Arial" w:hAnsi="Arial" w:cs="Arial"/>
        </w:rPr>
      </w:pPr>
    </w:p>
    <w:p w14:paraId="2B43131D" w14:textId="58DBC3FF" w:rsidR="002F1799" w:rsidRDefault="002F1799" w:rsidP="00621B43">
      <w:pPr>
        <w:spacing w:before="0" w:after="0" w:line="312" w:lineRule="auto"/>
        <w:jc w:val="both"/>
        <w:rPr>
          <w:rFonts w:ascii="Arial" w:hAnsi="Arial" w:cs="Arial"/>
        </w:rPr>
      </w:pPr>
      <w:r w:rsidRPr="00817621">
        <w:rPr>
          <w:rFonts w:ascii="Arial" w:hAnsi="Arial" w:cs="Arial"/>
          <w:b/>
          <w:bCs/>
        </w:rPr>
        <w:t>Recommendation</w:t>
      </w:r>
      <w:r w:rsidR="000D7F2C">
        <w:rPr>
          <w:rFonts w:ascii="Arial" w:hAnsi="Arial" w:cs="Arial"/>
          <w:b/>
          <w:bCs/>
        </w:rPr>
        <w:t xml:space="preserve"> </w:t>
      </w:r>
      <w:r w:rsidR="008B1C90">
        <w:rPr>
          <w:rFonts w:ascii="Arial" w:hAnsi="Arial" w:cs="Arial"/>
          <w:b/>
          <w:bCs/>
        </w:rPr>
        <w:t>1</w:t>
      </w:r>
      <w:r w:rsidR="00200A4E">
        <w:rPr>
          <w:rFonts w:ascii="Arial" w:hAnsi="Arial" w:cs="Arial"/>
          <w:b/>
          <w:bCs/>
        </w:rPr>
        <w:t>4</w:t>
      </w:r>
      <w:r w:rsidR="008B1C90">
        <w:rPr>
          <w:rFonts w:ascii="Arial" w:hAnsi="Arial" w:cs="Arial"/>
          <w:b/>
          <w:bCs/>
        </w:rPr>
        <w:t xml:space="preserve"> –</w:t>
      </w:r>
      <w:r w:rsidR="000D7F2C">
        <w:rPr>
          <w:rFonts w:ascii="Arial" w:hAnsi="Arial" w:cs="Arial"/>
          <w:b/>
          <w:bCs/>
        </w:rPr>
        <w:t xml:space="preserve"> </w:t>
      </w:r>
      <w:r w:rsidRPr="000D7F2C">
        <w:rPr>
          <w:rFonts w:ascii="Arial" w:hAnsi="Arial" w:cs="Arial"/>
        </w:rPr>
        <w:t xml:space="preserve">The </w:t>
      </w:r>
      <w:r w:rsidR="000D7F2C">
        <w:rPr>
          <w:rFonts w:ascii="Arial" w:hAnsi="Arial" w:cs="Arial"/>
        </w:rPr>
        <w:t>new review body has</w:t>
      </w:r>
      <w:r w:rsidRPr="000D7F2C">
        <w:rPr>
          <w:rFonts w:ascii="Arial" w:hAnsi="Arial" w:cs="Arial"/>
        </w:rPr>
        <w:t xml:space="preserve"> a mechanism to ensure the NDIA cannot unreasonably reject functional assessment reports</w:t>
      </w:r>
      <w:r w:rsidR="000D7F2C">
        <w:rPr>
          <w:rFonts w:ascii="Arial" w:hAnsi="Arial" w:cs="Arial"/>
        </w:rPr>
        <w:t xml:space="preserve"> and must pay for new report requests</w:t>
      </w:r>
      <w:r w:rsidR="00500C67">
        <w:rPr>
          <w:rFonts w:ascii="Arial" w:hAnsi="Arial" w:cs="Arial"/>
        </w:rPr>
        <w:t xml:space="preserve"> and the associated costs</w:t>
      </w:r>
      <w:r w:rsidRPr="000D7F2C">
        <w:rPr>
          <w:rFonts w:ascii="Arial" w:hAnsi="Arial" w:cs="Arial"/>
        </w:rPr>
        <w:t>.</w:t>
      </w:r>
    </w:p>
    <w:p w14:paraId="0D004A5C" w14:textId="77777777" w:rsidR="008B1C90" w:rsidRPr="000D7F2C" w:rsidRDefault="008B1C90" w:rsidP="00621B43">
      <w:pPr>
        <w:spacing w:before="0" w:after="0" w:line="312" w:lineRule="auto"/>
        <w:jc w:val="both"/>
        <w:rPr>
          <w:rFonts w:ascii="Arial" w:hAnsi="Arial" w:cs="Arial"/>
          <w:b/>
          <w:bCs/>
        </w:rPr>
      </w:pPr>
    </w:p>
    <w:p w14:paraId="278B68A5" w14:textId="4E48932F" w:rsidR="002F1799" w:rsidRPr="002353CC" w:rsidRDefault="002F1799" w:rsidP="00621B43">
      <w:pPr>
        <w:pStyle w:val="Heading2"/>
        <w:spacing w:before="0" w:line="312" w:lineRule="auto"/>
      </w:pPr>
      <w:r>
        <w:t xml:space="preserve">Issue </w:t>
      </w:r>
      <w:r w:rsidR="005B793D">
        <w:t>6</w:t>
      </w:r>
      <w:r>
        <w:t>: Data protection</w:t>
      </w:r>
    </w:p>
    <w:p w14:paraId="0F65A3C3" w14:textId="77777777" w:rsidR="005E2B7A" w:rsidRDefault="005E2B7A" w:rsidP="00621B43">
      <w:pPr>
        <w:spacing w:before="0" w:after="0" w:line="312" w:lineRule="auto"/>
        <w:jc w:val="both"/>
        <w:rPr>
          <w:rFonts w:ascii="Arial" w:hAnsi="Arial" w:cs="Arial"/>
        </w:rPr>
      </w:pPr>
    </w:p>
    <w:p w14:paraId="177BEBE6" w14:textId="124276B0" w:rsidR="002F1799" w:rsidRDefault="00AE5AE0" w:rsidP="00621B43">
      <w:pPr>
        <w:spacing w:before="0" w:after="0" w:line="312" w:lineRule="auto"/>
        <w:jc w:val="both"/>
        <w:rPr>
          <w:rFonts w:ascii="Arial" w:hAnsi="Arial" w:cs="Arial"/>
        </w:rPr>
      </w:pPr>
      <w:r>
        <w:rPr>
          <w:rFonts w:ascii="Arial" w:hAnsi="Arial" w:cs="Arial"/>
        </w:rPr>
        <w:t xml:space="preserve">Our advocates report that the AAT’s NDIS Division database </w:t>
      </w:r>
      <w:r w:rsidR="00922935">
        <w:rPr>
          <w:rFonts w:ascii="Arial" w:hAnsi="Arial" w:cs="Arial"/>
        </w:rPr>
        <w:t>could be more secure</w:t>
      </w:r>
      <w:r>
        <w:rPr>
          <w:rFonts w:ascii="Arial" w:hAnsi="Arial" w:cs="Arial"/>
        </w:rPr>
        <w:t xml:space="preserve">. </w:t>
      </w:r>
      <w:r w:rsidR="002F1799">
        <w:rPr>
          <w:rFonts w:ascii="Arial" w:hAnsi="Arial" w:cs="Arial"/>
        </w:rPr>
        <w:t xml:space="preserve">This is concerning as participants’ names, the state/territory they reside in, the fact that they have disability and that they are on the NDIS could be misused. </w:t>
      </w:r>
    </w:p>
    <w:p w14:paraId="08D5CB8D" w14:textId="77777777" w:rsidR="008B1C90" w:rsidRDefault="008B1C90" w:rsidP="00621B43">
      <w:pPr>
        <w:spacing w:before="0" w:after="0" w:line="312" w:lineRule="auto"/>
        <w:jc w:val="both"/>
        <w:rPr>
          <w:rFonts w:ascii="Arial" w:hAnsi="Arial" w:cs="Arial"/>
          <w:b/>
          <w:bCs/>
        </w:rPr>
      </w:pPr>
    </w:p>
    <w:p w14:paraId="3D4EC73A" w14:textId="71FDFABA" w:rsidR="002F1799" w:rsidRDefault="002F1799" w:rsidP="00621B43">
      <w:pPr>
        <w:spacing w:before="0" w:after="0" w:line="312" w:lineRule="auto"/>
        <w:jc w:val="both"/>
        <w:rPr>
          <w:rFonts w:ascii="Arial" w:hAnsi="Arial" w:cs="Arial"/>
        </w:rPr>
      </w:pPr>
      <w:r>
        <w:rPr>
          <w:rFonts w:ascii="Arial" w:hAnsi="Arial" w:cs="Arial"/>
          <w:b/>
          <w:bCs/>
        </w:rPr>
        <w:t>Recommendation</w:t>
      </w:r>
      <w:r w:rsidR="00AE5AE0">
        <w:rPr>
          <w:rFonts w:ascii="Arial" w:hAnsi="Arial" w:cs="Arial"/>
          <w:b/>
          <w:bCs/>
        </w:rPr>
        <w:t xml:space="preserve"> </w:t>
      </w:r>
      <w:r w:rsidR="008B1C90">
        <w:rPr>
          <w:rFonts w:ascii="Arial" w:hAnsi="Arial" w:cs="Arial"/>
          <w:b/>
          <w:bCs/>
        </w:rPr>
        <w:t>1</w:t>
      </w:r>
      <w:r w:rsidR="00200A4E">
        <w:rPr>
          <w:rFonts w:ascii="Arial" w:hAnsi="Arial" w:cs="Arial"/>
          <w:b/>
          <w:bCs/>
        </w:rPr>
        <w:t>5</w:t>
      </w:r>
      <w:r w:rsidR="00BF6372">
        <w:rPr>
          <w:rFonts w:ascii="Arial" w:hAnsi="Arial" w:cs="Arial"/>
          <w:b/>
          <w:bCs/>
        </w:rPr>
        <w:t xml:space="preserve"> – </w:t>
      </w:r>
      <w:r>
        <w:rPr>
          <w:rFonts w:ascii="Arial" w:hAnsi="Arial" w:cs="Arial"/>
        </w:rPr>
        <w:t>That the</w:t>
      </w:r>
      <w:r w:rsidR="002249DE">
        <w:rPr>
          <w:rFonts w:ascii="Arial" w:hAnsi="Arial" w:cs="Arial"/>
        </w:rPr>
        <w:t xml:space="preserve"> revi</w:t>
      </w:r>
      <w:r>
        <w:rPr>
          <w:rFonts w:ascii="Arial" w:hAnsi="Arial" w:cs="Arial"/>
        </w:rPr>
        <w:t xml:space="preserve">ew </w:t>
      </w:r>
      <w:r w:rsidR="002249DE">
        <w:rPr>
          <w:rFonts w:ascii="Arial" w:hAnsi="Arial" w:cs="Arial"/>
        </w:rPr>
        <w:t>b</w:t>
      </w:r>
      <w:r>
        <w:rPr>
          <w:rFonts w:ascii="Arial" w:hAnsi="Arial" w:cs="Arial"/>
        </w:rPr>
        <w:t>ody ensures adequate data protection for all applicants, but particularly those in the NDIS division</w:t>
      </w:r>
      <w:r w:rsidR="008C79C7">
        <w:rPr>
          <w:rFonts w:ascii="Arial" w:hAnsi="Arial" w:cs="Arial"/>
        </w:rPr>
        <w:t>,</w:t>
      </w:r>
      <w:r>
        <w:rPr>
          <w:rFonts w:ascii="Arial" w:hAnsi="Arial" w:cs="Arial"/>
        </w:rPr>
        <w:t xml:space="preserve"> to protect their right to privacy. </w:t>
      </w:r>
    </w:p>
    <w:p w14:paraId="38AD7FCD" w14:textId="77777777" w:rsidR="008B1C90" w:rsidRPr="006F3FD9" w:rsidRDefault="008B1C90" w:rsidP="00621B43">
      <w:pPr>
        <w:spacing w:before="0" w:after="0" w:line="312" w:lineRule="auto"/>
        <w:jc w:val="both"/>
        <w:rPr>
          <w:rFonts w:ascii="Arial" w:hAnsi="Arial" w:cs="Arial"/>
        </w:rPr>
      </w:pPr>
    </w:p>
    <w:p w14:paraId="66899CBE" w14:textId="17B23152" w:rsidR="002F1799" w:rsidRDefault="002F1799" w:rsidP="00621B43">
      <w:pPr>
        <w:pStyle w:val="Heading2"/>
        <w:spacing w:before="0" w:line="312" w:lineRule="auto"/>
      </w:pPr>
      <w:r>
        <w:t>Other</w:t>
      </w:r>
      <w:r w:rsidR="005C0DBB">
        <w:t xml:space="preserve"> Miscellaneous</w:t>
      </w:r>
      <w:r>
        <w:t xml:space="preserve"> Recommendations</w:t>
      </w:r>
    </w:p>
    <w:p w14:paraId="6E015D4C" w14:textId="77777777" w:rsidR="005E2B7A" w:rsidRDefault="005E2B7A" w:rsidP="00621B43">
      <w:pPr>
        <w:spacing w:before="0" w:after="0" w:line="312" w:lineRule="auto"/>
      </w:pPr>
    </w:p>
    <w:p w14:paraId="02E8F781" w14:textId="4948195A" w:rsidR="0074784E" w:rsidRDefault="0074784E" w:rsidP="00621B43">
      <w:pPr>
        <w:spacing w:before="0" w:after="0" w:line="312" w:lineRule="auto"/>
      </w:pPr>
      <w:r>
        <w:t xml:space="preserve">In addition to the above, we recommend that: </w:t>
      </w:r>
    </w:p>
    <w:p w14:paraId="73125793" w14:textId="77777777" w:rsidR="002249DE" w:rsidRPr="0074784E" w:rsidRDefault="002249DE" w:rsidP="00621B43">
      <w:pPr>
        <w:spacing w:before="0" w:after="0" w:line="312" w:lineRule="auto"/>
      </w:pPr>
    </w:p>
    <w:p w14:paraId="484F0262" w14:textId="3BCDC684" w:rsidR="002F1799" w:rsidRPr="002249DE" w:rsidRDefault="002249DE" w:rsidP="00621B43">
      <w:pPr>
        <w:spacing w:before="0" w:after="0" w:line="312" w:lineRule="auto"/>
        <w:contextualSpacing/>
        <w:jc w:val="both"/>
        <w:rPr>
          <w:rFonts w:ascii="Arial" w:hAnsi="Arial" w:cs="Arial"/>
        </w:rPr>
      </w:pPr>
      <w:r>
        <w:rPr>
          <w:rFonts w:ascii="Arial" w:hAnsi="Arial" w:cs="Arial"/>
          <w:b/>
          <w:bCs/>
        </w:rPr>
        <w:t>Recommendation 1</w:t>
      </w:r>
      <w:r w:rsidR="00200A4E">
        <w:rPr>
          <w:rFonts w:ascii="Arial" w:hAnsi="Arial" w:cs="Arial"/>
          <w:b/>
          <w:bCs/>
        </w:rPr>
        <w:t>6</w:t>
      </w:r>
      <w:r>
        <w:rPr>
          <w:rFonts w:ascii="Arial" w:hAnsi="Arial" w:cs="Arial"/>
          <w:b/>
          <w:bCs/>
        </w:rPr>
        <w:t xml:space="preserve"> – </w:t>
      </w:r>
      <w:r w:rsidR="002F1799" w:rsidRPr="002249DE">
        <w:rPr>
          <w:rFonts w:ascii="Arial" w:hAnsi="Arial" w:cs="Arial"/>
        </w:rPr>
        <w:t xml:space="preserve">The </w:t>
      </w:r>
      <w:r w:rsidR="008C79C7" w:rsidRPr="002249DE">
        <w:rPr>
          <w:rFonts w:ascii="Arial" w:hAnsi="Arial" w:cs="Arial"/>
        </w:rPr>
        <w:t>new review body</w:t>
      </w:r>
      <w:r w:rsidR="002F1799" w:rsidRPr="002249DE">
        <w:rPr>
          <w:rFonts w:ascii="Arial" w:hAnsi="Arial" w:cs="Arial"/>
        </w:rPr>
        <w:t xml:space="preserve"> should have a mechanism for communicating systemic issues to the NDIA to improve administrative decision making</w:t>
      </w:r>
      <w:r w:rsidR="008C79C7" w:rsidRPr="002249DE">
        <w:rPr>
          <w:rFonts w:ascii="Arial" w:hAnsi="Arial" w:cs="Arial"/>
        </w:rPr>
        <w:t>.</w:t>
      </w:r>
      <w:r w:rsidR="002F1799" w:rsidRPr="002249DE">
        <w:rPr>
          <w:rFonts w:ascii="Arial" w:hAnsi="Arial" w:cs="Arial"/>
        </w:rPr>
        <w:t xml:space="preserve"> </w:t>
      </w:r>
    </w:p>
    <w:p w14:paraId="5B8B0497" w14:textId="77777777" w:rsidR="002249DE" w:rsidRDefault="002249DE" w:rsidP="00621B43">
      <w:pPr>
        <w:spacing w:before="0" w:after="0" w:line="312" w:lineRule="auto"/>
        <w:contextualSpacing/>
        <w:jc w:val="both"/>
        <w:rPr>
          <w:rFonts w:ascii="Arial" w:hAnsi="Arial" w:cs="Arial"/>
        </w:rPr>
      </w:pPr>
    </w:p>
    <w:p w14:paraId="51732F14" w14:textId="03EB6232" w:rsidR="005C0DBB" w:rsidRDefault="002249DE" w:rsidP="00621B43">
      <w:pPr>
        <w:spacing w:before="0" w:after="0" w:line="312" w:lineRule="auto"/>
        <w:contextualSpacing/>
        <w:jc w:val="both"/>
        <w:rPr>
          <w:rFonts w:ascii="Arial" w:hAnsi="Arial" w:cs="Arial"/>
        </w:rPr>
      </w:pPr>
      <w:r>
        <w:rPr>
          <w:rFonts w:ascii="Arial" w:hAnsi="Arial" w:cs="Arial"/>
          <w:b/>
          <w:bCs/>
        </w:rPr>
        <w:lastRenderedPageBreak/>
        <w:t>Recommendation 1</w:t>
      </w:r>
      <w:r w:rsidR="00200A4E">
        <w:rPr>
          <w:rFonts w:ascii="Arial" w:hAnsi="Arial" w:cs="Arial"/>
          <w:b/>
          <w:bCs/>
        </w:rPr>
        <w:t>7</w:t>
      </w:r>
      <w:r>
        <w:rPr>
          <w:rFonts w:ascii="Arial" w:hAnsi="Arial" w:cs="Arial"/>
          <w:b/>
          <w:bCs/>
        </w:rPr>
        <w:t xml:space="preserve"> – </w:t>
      </w:r>
      <w:r w:rsidR="002F1799" w:rsidRPr="002249DE">
        <w:rPr>
          <w:rFonts w:ascii="Arial" w:hAnsi="Arial" w:cs="Arial"/>
        </w:rPr>
        <w:t xml:space="preserve">The </w:t>
      </w:r>
      <w:r w:rsidR="008C79C7" w:rsidRPr="002249DE">
        <w:rPr>
          <w:rFonts w:ascii="Arial" w:hAnsi="Arial" w:cs="Arial"/>
        </w:rPr>
        <w:t>new review body’s</w:t>
      </w:r>
      <w:r w:rsidR="002F1799" w:rsidRPr="002249DE">
        <w:rPr>
          <w:rFonts w:ascii="Arial" w:hAnsi="Arial" w:cs="Arial"/>
        </w:rPr>
        <w:t xml:space="preserve"> legislation </w:t>
      </w:r>
      <w:r w:rsidR="008C79C7" w:rsidRPr="002249DE">
        <w:rPr>
          <w:rFonts w:ascii="Arial" w:hAnsi="Arial" w:cs="Arial"/>
        </w:rPr>
        <w:t>should include Australia’s international human rights obligations as guiding principle</w:t>
      </w:r>
      <w:r w:rsidR="00630FA6">
        <w:rPr>
          <w:rFonts w:ascii="Arial" w:hAnsi="Arial" w:cs="Arial"/>
        </w:rPr>
        <w:t>s</w:t>
      </w:r>
      <w:r w:rsidR="008C79C7" w:rsidRPr="002249DE">
        <w:rPr>
          <w:rFonts w:ascii="Arial" w:hAnsi="Arial" w:cs="Arial"/>
        </w:rPr>
        <w:t>.</w:t>
      </w:r>
    </w:p>
    <w:p w14:paraId="5F5431DC" w14:textId="77777777" w:rsidR="005C0DBB" w:rsidRDefault="005C0DBB" w:rsidP="00621B43">
      <w:pPr>
        <w:spacing w:before="0" w:after="0" w:line="312" w:lineRule="auto"/>
        <w:contextualSpacing/>
        <w:jc w:val="both"/>
        <w:rPr>
          <w:rFonts w:ascii="Arial" w:hAnsi="Arial" w:cs="Arial"/>
        </w:rPr>
      </w:pPr>
    </w:p>
    <w:p w14:paraId="24D44242" w14:textId="6E1F6ECF" w:rsidR="002F1799" w:rsidRPr="002249DE" w:rsidRDefault="005C0DBB" w:rsidP="00621B43">
      <w:pPr>
        <w:spacing w:before="0" w:after="0" w:line="312" w:lineRule="auto"/>
        <w:contextualSpacing/>
        <w:jc w:val="both"/>
        <w:rPr>
          <w:rFonts w:ascii="Arial" w:hAnsi="Arial" w:cs="Arial"/>
        </w:rPr>
      </w:pPr>
      <w:r>
        <w:rPr>
          <w:rFonts w:ascii="Arial" w:hAnsi="Arial" w:cs="Arial"/>
          <w:b/>
          <w:bCs/>
        </w:rPr>
        <w:t>Recommendation 1</w:t>
      </w:r>
      <w:r w:rsidR="00200A4E">
        <w:rPr>
          <w:rFonts w:ascii="Arial" w:hAnsi="Arial" w:cs="Arial"/>
          <w:b/>
          <w:bCs/>
        </w:rPr>
        <w:t>8</w:t>
      </w:r>
      <w:r>
        <w:rPr>
          <w:rFonts w:ascii="Arial" w:hAnsi="Arial" w:cs="Arial"/>
          <w:b/>
          <w:bCs/>
        </w:rPr>
        <w:t xml:space="preserve"> – </w:t>
      </w:r>
      <w:r w:rsidR="002F1799" w:rsidRPr="002249DE">
        <w:rPr>
          <w:rFonts w:ascii="Arial" w:hAnsi="Arial" w:cs="Arial"/>
        </w:rPr>
        <w:t xml:space="preserve">Members of the </w:t>
      </w:r>
      <w:r>
        <w:rPr>
          <w:rFonts w:ascii="Arial" w:hAnsi="Arial" w:cs="Arial"/>
        </w:rPr>
        <w:t>new r</w:t>
      </w:r>
      <w:r w:rsidR="002F1799" w:rsidRPr="002249DE">
        <w:rPr>
          <w:rFonts w:ascii="Arial" w:hAnsi="Arial" w:cs="Arial"/>
        </w:rPr>
        <w:t xml:space="preserve">eview </w:t>
      </w:r>
      <w:r>
        <w:rPr>
          <w:rFonts w:ascii="Arial" w:hAnsi="Arial" w:cs="Arial"/>
        </w:rPr>
        <w:t>bo</w:t>
      </w:r>
      <w:r w:rsidR="002F1799" w:rsidRPr="002249DE">
        <w:rPr>
          <w:rFonts w:ascii="Arial" w:hAnsi="Arial" w:cs="Arial"/>
        </w:rPr>
        <w:t xml:space="preserve">dy should be appointed transparently and based on merits, with affirmative action measures for people with disability and other groups. </w:t>
      </w:r>
    </w:p>
    <w:p w14:paraId="70CAE316" w14:textId="77777777" w:rsidR="005C0DBB" w:rsidRDefault="005C0DBB" w:rsidP="00621B43">
      <w:pPr>
        <w:spacing w:before="0" w:after="0" w:line="312" w:lineRule="auto"/>
        <w:contextualSpacing/>
        <w:jc w:val="both"/>
        <w:rPr>
          <w:rFonts w:ascii="Arial" w:hAnsi="Arial" w:cs="Arial"/>
        </w:rPr>
      </w:pPr>
    </w:p>
    <w:p w14:paraId="7DFE9771" w14:textId="7EE261DD" w:rsidR="003D56A0" w:rsidRDefault="005C0DBB" w:rsidP="00621B43">
      <w:pPr>
        <w:spacing w:before="0" w:after="0" w:line="312" w:lineRule="auto"/>
        <w:contextualSpacing/>
        <w:jc w:val="both"/>
        <w:rPr>
          <w:rFonts w:ascii="Arial" w:hAnsi="Arial" w:cs="Arial"/>
        </w:rPr>
      </w:pPr>
      <w:r>
        <w:rPr>
          <w:rFonts w:ascii="Arial" w:hAnsi="Arial" w:cs="Arial"/>
          <w:b/>
          <w:bCs/>
        </w:rPr>
        <w:t>Recommendation 1</w:t>
      </w:r>
      <w:r w:rsidR="00200A4E">
        <w:rPr>
          <w:rFonts w:ascii="Arial" w:hAnsi="Arial" w:cs="Arial"/>
          <w:b/>
          <w:bCs/>
        </w:rPr>
        <w:t>9</w:t>
      </w:r>
      <w:r>
        <w:rPr>
          <w:rFonts w:ascii="Arial" w:hAnsi="Arial" w:cs="Arial"/>
          <w:b/>
          <w:bCs/>
        </w:rPr>
        <w:t xml:space="preserve"> – </w:t>
      </w:r>
      <w:r w:rsidR="008A53B3" w:rsidRPr="005C0DBB">
        <w:rPr>
          <w:rFonts w:ascii="Arial" w:hAnsi="Arial" w:cs="Arial"/>
        </w:rPr>
        <w:t xml:space="preserve">The new review body must publish decisions in a way that is accessible by all people with disability, including through providing </w:t>
      </w:r>
      <w:r w:rsidR="00B772E8">
        <w:rPr>
          <w:rFonts w:ascii="Arial" w:hAnsi="Arial" w:cs="Arial"/>
        </w:rPr>
        <w:t>E</w:t>
      </w:r>
      <w:r w:rsidR="008A53B3" w:rsidRPr="005C0DBB">
        <w:rPr>
          <w:rFonts w:ascii="Arial" w:hAnsi="Arial" w:cs="Arial"/>
        </w:rPr>
        <w:t>asy-</w:t>
      </w:r>
      <w:r w:rsidR="00B772E8">
        <w:rPr>
          <w:rFonts w:ascii="Arial" w:hAnsi="Arial" w:cs="Arial"/>
        </w:rPr>
        <w:t>R</w:t>
      </w:r>
      <w:r w:rsidR="008A53B3" w:rsidRPr="005C0DBB">
        <w:rPr>
          <w:rFonts w:ascii="Arial" w:hAnsi="Arial" w:cs="Arial"/>
        </w:rPr>
        <w:t xml:space="preserve">ead versions. </w:t>
      </w:r>
    </w:p>
    <w:p w14:paraId="61EF07E0" w14:textId="77777777" w:rsidR="00621B43" w:rsidRDefault="00621B43" w:rsidP="00621B43">
      <w:pPr>
        <w:spacing w:before="0" w:after="0" w:line="312" w:lineRule="auto"/>
        <w:rPr>
          <w:rFonts w:ascii="Arial" w:hAnsi="Arial" w:cs="Arial"/>
        </w:rPr>
      </w:pPr>
    </w:p>
    <w:p w14:paraId="3B627E55" w14:textId="3F134947" w:rsidR="002F1799" w:rsidRPr="00621B43" w:rsidRDefault="009D519B" w:rsidP="00621B43">
      <w:pPr>
        <w:spacing w:before="0" w:after="0" w:line="312" w:lineRule="auto"/>
        <w:rPr>
          <w:rFonts w:ascii="Arial" w:hAnsi="Arial" w:cs="Arial"/>
        </w:rPr>
      </w:pPr>
      <w:r>
        <w:t xml:space="preserve">If you wish to discuss our submission further, </w:t>
      </w:r>
      <w:r w:rsidRPr="009D519B">
        <w:t xml:space="preserve">please contact my Senior Manager of Policy, Mx Giancarlo de Vera, at </w:t>
      </w:r>
      <w:hyperlink r:id="rId24" w:history="1">
        <w:r w:rsidRPr="009D519B">
          <w:rPr>
            <w:rStyle w:val="Hyperlink"/>
          </w:rPr>
          <w:t>giancarlod@pwd.org.au</w:t>
        </w:r>
      </w:hyperlink>
      <w:r w:rsidRPr="009D519B">
        <w:t xml:space="preserve"> or via telephone on 0413 135 731</w:t>
      </w:r>
      <w:r>
        <w:t xml:space="preserve">. </w:t>
      </w:r>
    </w:p>
    <w:p w14:paraId="512CBE91" w14:textId="77777777" w:rsidR="005C0DBB" w:rsidRDefault="005C0DBB" w:rsidP="00621B43">
      <w:pPr>
        <w:spacing w:before="0" w:after="0" w:line="312" w:lineRule="auto"/>
      </w:pPr>
    </w:p>
    <w:bookmarkEnd w:id="2"/>
    <w:p w14:paraId="66B22E54" w14:textId="3A49F35C" w:rsidR="00241328" w:rsidRDefault="00A7766F" w:rsidP="00621B43">
      <w:pPr>
        <w:pStyle w:val="BodyText"/>
        <w:spacing w:before="0" w:after="0" w:line="312" w:lineRule="auto"/>
      </w:pPr>
      <w:r w:rsidRPr="00A37DEA">
        <w:t>Yours s</w:t>
      </w:r>
      <w:r w:rsidR="00653AA1" w:rsidRPr="00A37DEA">
        <w:t>incerely</w:t>
      </w:r>
    </w:p>
    <w:p w14:paraId="0DD50766" w14:textId="77777777" w:rsidR="009C4264" w:rsidRPr="009C4264" w:rsidRDefault="009C4264" w:rsidP="00621B43">
      <w:pPr>
        <w:pStyle w:val="BodyText"/>
        <w:spacing w:before="0" w:after="0" w:line="312" w:lineRule="auto"/>
      </w:pPr>
    </w:p>
    <w:p w14:paraId="5942C8DB" w14:textId="37539A1F" w:rsidR="009C4264" w:rsidRDefault="009C4264" w:rsidP="00621B43">
      <w:pPr>
        <w:pStyle w:val="BodyText"/>
        <w:spacing w:before="0" w:after="0" w:line="312" w:lineRule="auto"/>
        <w:rPr>
          <w:highlight w:val="yellow"/>
        </w:rPr>
      </w:pPr>
      <w:r>
        <w:rPr>
          <w:noProof/>
        </w:rPr>
        <w:drawing>
          <wp:inline distT="0" distB="0" distL="0" distR="0" wp14:anchorId="1D4C77D9" wp14:editId="6F80C672">
            <wp:extent cx="1562318" cy="514422"/>
            <wp:effectExtent l="0" t="0" r="0" b="0"/>
            <wp:docPr id="1008751429" name="Picture 1" descr="A picture containing ske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51429" name="Picture 1" descr="A picture containing sketch&#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1562318" cy="514422"/>
                    </a:xfrm>
                    <a:prstGeom prst="rect">
                      <a:avLst/>
                    </a:prstGeom>
                  </pic:spPr>
                </pic:pic>
              </a:graphicData>
            </a:graphic>
          </wp:inline>
        </w:drawing>
      </w:r>
    </w:p>
    <w:p w14:paraId="7937E605" w14:textId="77777777" w:rsidR="009C4264" w:rsidRDefault="009C4264" w:rsidP="00621B43">
      <w:pPr>
        <w:pStyle w:val="BodyText"/>
        <w:spacing w:before="0" w:after="0" w:line="312" w:lineRule="auto"/>
        <w:rPr>
          <w:highlight w:val="yellow"/>
        </w:rPr>
      </w:pPr>
    </w:p>
    <w:p w14:paraId="5CA82887" w14:textId="15FDAB7C" w:rsidR="00CB2E90" w:rsidRPr="008948F1" w:rsidRDefault="009D519B" w:rsidP="00621B43">
      <w:pPr>
        <w:pStyle w:val="AddressBlockdate"/>
        <w:spacing w:line="312" w:lineRule="auto"/>
      </w:pPr>
      <w:r>
        <w:t xml:space="preserve">Sebastian Zagarella </w:t>
      </w:r>
    </w:p>
    <w:p w14:paraId="3A279EFB" w14:textId="34C3DF6C" w:rsidR="00A7766F" w:rsidRPr="003C482D" w:rsidRDefault="009D519B" w:rsidP="00621B43">
      <w:pPr>
        <w:pStyle w:val="AddressBlockdate"/>
        <w:spacing w:line="312" w:lineRule="auto"/>
        <w:rPr>
          <w:b w:val="0"/>
          <w:bCs/>
        </w:rPr>
      </w:pPr>
      <w:r w:rsidRPr="003C482D">
        <w:rPr>
          <w:b w:val="0"/>
          <w:bCs/>
        </w:rPr>
        <w:t xml:space="preserve">Chief Executive Officer </w:t>
      </w:r>
    </w:p>
    <w:p w14:paraId="1D0AD828" w14:textId="77777777" w:rsidR="005F5CBD" w:rsidRPr="003C482D" w:rsidRDefault="00A7766F" w:rsidP="00621B43">
      <w:pPr>
        <w:pStyle w:val="AddressBlockdate"/>
        <w:spacing w:line="312" w:lineRule="auto"/>
        <w:rPr>
          <w:b w:val="0"/>
          <w:bCs/>
        </w:rPr>
      </w:pPr>
      <w:r w:rsidRPr="003C482D">
        <w:rPr>
          <w:b w:val="0"/>
          <w:bCs/>
        </w:rPr>
        <w:t xml:space="preserve">People </w:t>
      </w:r>
      <w:r w:rsidR="00F01942" w:rsidRPr="003C482D">
        <w:rPr>
          <w:b w:val="0"/>
          <w:bCs/>
        </w:rPr>
        <w:t>w</w:t>
      </w:r>
      <w:r w:rsidRPr="003C482D">
        <w:rPr>
          <w:b w:val="0"/>
          <w:bCs/>
        </w:rPr>
        <w:t>ith Disability Australia</w:t>
      </w:r>
    </w:p>
    <w:sectPr w:rsidR="005F5CBD" w:rsidRPr="003C482D" w:rsidSect="00B25C49">
      <w:type w:val="continuous"/>
      <w:pgSz w:w="11906" w:h="16838" w:code="9"/>
      <w:pgMar w:top="1135" w:right="1134" w:bottom="1418"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7D4F" w14:textId="77777777" w:rsidR="00BE1144" w:rsidRDefault="00BE1144" w:rsidP="00F1283C">
      <w:pPr>
        <w:spacing w:after="0" w:line="240" w:lineRule="auto"/>
      </w:pPr>
      <w:r>
        <w:separator/>
      </w:r>
    </w:p>
  </w:endnote>
  <w:endnote w:type="continuationSeparator" w:id="0">
    <w:p w14:paraId="579B3141" w14:textId="77777777" w:rsidR="00BE1144" w:rsidRDefault="00BE1144"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panose1 w:val="020B0500000000000000"/>
    <w:charset w:val="00"/>
    <w:family w:val="swiss"/>
    <w:pitch w:val="variable"/>
    <w:sig w:usb0="00000003" w:usb1="00000000" w:usb2="00000000" w:usb3="00000000" w:csb0="00000001" w:csb1="00000000"/>
  </w:font>
  <w:font w:name="VAGblake">
    <w:altName w:val="Calibri"/>
    <w:panose1 w:val="00000000000000000000"/>
    <w:charset w:val="00"/>
    <w:family w:val="modern"/>
    <w:notTrueType/>
    <w:pitch w:val="variable"/>
    <w:sig w:usb0="800000AF" w:usb1="40000048"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6A33" w14:textId="77777777" w:rsidR="001B4D24" w:rsidRDefault="001B4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607531"/>
      <w:docPartObj>
        <w:docPartGallery w:val="Page Numbers (Bottom of Page)"/>
        <w:docPartUnique/>
      </w:docPartObj>
    </w:sdtPr>
    <w:sdtEndPr>
      <w:rPr>
        <w:noProof/>
      </w:rPr>
    </w:sdtEndPr>
    <w:sdtContent>
      <w:p w14:paraId="49311256" w14:textId="77777777" w:rsidR="00D2193E" w:rsidRPr="0088658F" w:rsidRDefault="00D2193E" w:rsidP="00D2193E">
        <w:pPr>
          <w:pStyle w:val="Footer"/>
          <w:jc w:val="center"/>
          <w:rPr>
            <w:noProof/>
            <w:color w:val="005496" w:themeColor="accent1"/>
          </w:rPr>
        </w:pPr>
        <w:r w:rsidRPr="0088658F">
          <w:rPr>
            <w:color w:val="005496" w:themeColor="accent1"/>
          </w:rPr>
          <w:fldChar w:fldCharType="begin"/>
        </w:r>
        <w:r w:rsidRPr="0088658F">
          <w:rPr>
            <w:color w:val="005496" w:themeColor="accent1"/>
          </w:rPr>
          <w:instrText xml:space="preserve"> PAGE   \* MERGEFORMAT </w:instrText>
        </w:r>
        <w:r w:rsidRPr="0088658F">
          <w:rPr>
            <w:color w:val="005496" w:themeColor="accent1"/>
          </w:rPr>
          <w:fldChar w:fldCharType="separate"/>
        </w:r>
        <w:r w:rsidRPr="0088658F">
          <w:rPr>
            <w:noProof/>
            <w:color w:val="005496" w:themeColor="accent1"/>
          </w:rPr>
          <w:t>2</w:t>
        </w:r>
        <w:r w:rsidRPr="0088658F">
          <w:rPr>
            <w:noProof/>
            <w:color w:val="005496" w:themeColor="accent1"/>
          </w:rPr>
          <w:fldChar w:fldCharType="end"/>
        </w:r>
      </w:p>
      <w:p w14:paraId="7A994E0C" w14:textId="77777777" w:rsidR="00665E6E" w:rsidRDefault="00000000" w:rsidP="00D2193E">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3533" w14:textId="77777777" w:rsidR="00ED4A4E" w:rsidRPr="00ED4A4E" w:rsidRDefault="00EA7300" w:rsidP="00ED4A4E">
    <w:pPr>
      <w:pStyle w:val="Footer"/>
      <w:ind w:right="-143"/>
      <w:jc w:val="right"/>
      <w:rPr>
        <w:b/>
        <w:bCs/>
      </w:rPr>
    </w:pPr>
    <w:r>
      <w:rPr>
        <w:noProof/>
      </w:rPr>
      <w:drawing>
        <wp:anchor distT="0" distB="0" distL="114300" distR="114300" simplePos="0" relativeHeight="251657728" behindDoc="1" locked="0" layoutInCell="1" allowOverlap="1" wp14:anchorId="6685BEB8" wp14:editId="33F293E1">
          <wp:simplePos x="0" y="0"/>
          <wp:positionH relativeFrom="page">
            <wp:posOffset>6152111</wp:posOffset>
          </wp:positionH>
          <wp:positionV relativeFrom="paragraph">
            <wp:posOffset>-592282</wp:posOffset>
          </wp:positionV>
          <wp:extent cx="1395442" cy="1246159"/>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98652" cy="1249025"/>
                  </a:xfrm>
                  <a:prstGeom prst="rect">
                    <a:avLst/>
                  </a:prstGeom>
                </pic:spPr>
              </pic:pic>
            </a:graphicData>
          </a:graphic>
          <wp14:sizeRelH relativeFrom="page">
            <wp14:pctWidth>0</wp14:pctWidth>
          </wp14:sizeRelH>
          <wp14:sizeRelV relativeFrom="page">
            <wp14:pctHeight>0</wp14:pctHeight>
          </wp14:sizeRelV>
        </wp:anchor>
      </w:drawing>
    </w:r>
    <w:sdt>
      <w:sdtPr>
        <w:id w:val="-1025715486"/>
        <w:docPartObj>
          <w:docPartGallery w:val="Page Numbers (Bottom of Page)"/>
          <w:docPartUnique/>
        </w:docPartObj>
      </w:sdtPr>
      <w:sdtEndPr>
        <w:rPr>
          <w:noProof/>
        </w:rPr>
      </w:sdtEndPr>
      <w:sdtContent>
        <w:r w:rsidR="00ED4A4E" w:rsidRPr="00ED4A4E">
          <w:rPr>
            <w:rFonts w:asciiTheme="minorHAnsi" w:hAnsiTheme="minorHAnsi" w:cstheme="minorHAnsi"/>
            <w:b/>
            <w:bCs/>
            <w:color w:val="005496" w:themeColor="text2"/>
          </w:rPr>
          <w:fldChar w:fldCharType="begin"/>
        </w:r>
        <w:r w:rsidR="00ED4A4E" w:rsidRPr="00ED4A4E">
          <w:rPr>
            <w:rFonts w:asciiTheme="minorHAnsi" w:hAnsiTheme="minorHAnsi" w:cstheme="minorHAnsi"/>
            <w:b/>
            <w:bCs/>
            <w:color w:val="005496" w:themeColor="text2"/>
          </w:rPr>
          <w:instrText xml:space="preserve"> PAGE   \* MERGEFORMAT </w:instrText>
        </w:r>
        <w:r w:rsidR="00ED4A4E" w:rsidRPr="00ED4A4E">
          <w:rPr>
            <w:rFonts w:asciiTheme="minorHAnsi" w:hAnsiTheme="minorHAnsi" w:cstheme="minorHAnsi"/>
            <w:b/>
            <w:bCs/>
            <w:color w:val="005496" w:themeColor="text2"/>
          </w:rPr>
          <w:fldChar w:fldCharType="separate"/>
        </w:r>
        <w:r w:rsidR="00ED4A4E" w:rsidRPr="00ED4A4E">
          <w:rPr>
            <w:rFonts w:asciiTheme="minorHAnsi" w:hAnsiTheme="minorHAnsi" w:cstheme="minorHAnsi"/>
            <w:b/>
            <w:bCs/>
            <w:noProof/>
            <w:color w:val="005496" w:themeColor="text2"/>
          </w:rPr>
          <w:t>2</w:t>
        </w:r>
        <w:r w:rsidR="00ED4A4E" w:rsidRPr="00ED4A4E">
          <w:rPr>
            <w:rFonts w:asciiTheme="minorHAnsi" w:hAnsiTheme="minorHAnsi" w:cstheme="minorHAnsi"/>
            <w:b/>
            <w:bCs/>
            <w:noProof/>
            <w:color w:val="005496" w:themeColor="text2"/>
          </w:rPr>
          <w:fldChar w:fldCharType="end"/>
        </w:r>
        <w:r w:rsidR="00ED4A4E" w:rsidRPr="00ED4A4E">
          <w:rPr>
            <w:rFonts w:asciiTheme="minorHAnsi" w:hAnsiTheme="minorHAnsi" w:cstheme="minorHAnsi"/>
            <w:b/>
            <w:bCs/>
            <w:noProof/>
          </w:rPr>
          <w:tab/>
        </w:r>
      </w:sdtContent>
    </w:sdt>
  </w:p>
  <w:p w14:paraId="541CD458" w14:textId="77777777" w:rsidR="00F11608" w:rsidRPr="004B15FD" w:rsidRDefault="00F11608" w:rsidP="004B15FD">
    <w:pPr>
      <w:pStyle w:val="Footer"/>
      <w:ind w:right="-143"/>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D0C27" w14:textId="77777777" w:rsidR="00BE1144" w:rsidRDefault="00BE1144" w:rsidP="00F1283C">
      <w:pPr>
        <w:spacing w:after="0" w:line="240" w:lineRule="auto"/>
      </w:pPr>
      <w:bookmarkStart w:id="0" w:name="_Hlk80104043"/>
      <w:bookmarkEnd w:id="0"/>
      <w:r>
        <w:separator/>
      </w:r>
    </w:p>
  </w:footnote>
  <w:footnote w:type="continuationSeparator" w:id="0">
    <w:p w14:paraId="50057FFB" w14:textId="77777777" w:rsidR="00BE1144" w:rsidRDefault="00BE1144" w:rsidP="00F1283C">
      <w:pPr>
        <w:spacing w:after="0" w:line="240" w:lineRule="auto"/>
      </w:pPr>
      <w:r>
        <w:continuationSeparator/>
      </w:r>
    </w:p>
  </w:footnote>
  <w:footnote w:id="1">
    <w:p w14:paraId="76757327" w14:textId="72CB4A73" w:rsidR="006C3FE7" w:rsidRPr="006C3FE7" w:rsidRDefault="006C3FE7">
      <w:pPr>
        <w:pStyle w:val="FootnoteText"/>
        <w:rPr>
          <w:i/>
          <w:iCs/>
        </w:rPr>
      </w:pPr>
      <w:r>
        <w:rPr>
          <w:rStyle w:val="FootnoteReference"/>
        </w:rPr>
        <w:footnoteRef/>
      </w:r>
      <w:r>
        <w:t xml:space="preserve"> AAT (2013) </w:t>
      </w:r>
      <w:hyperlink r:id="rId1" w:history="1">
        <w:r w:rsidRPr="006C3FE7">
          <w:rPr>
            <w:rStyle w:val="Hyperlink"/>
            <w:i/>
            <w:iCs/>
          </w:rPr>
          <w:t>The Duty to Act in Good Faith in ADR Processes at the AAT</w:t>
        </w:r>
      </w:hyperlink>
      <w:r>
        <w:t xml:space="preserve">, accessed 3 May 2023. </w:t>
      </w:r>
      <w:r>
        <w:rPr>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9CC2" w14:textId="77777777" w:rsidR="001B4D24" w:rsidRDefault="001B4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E751" w14:textId="49A7F365" w:rsidR="00665E6E" w:rsidRDefault="00665E6E" w:rsidP="0035331A">
    <w:pPr>
      <w:pStyle w:val="Header"/>
    </w:pPr>
    <w:r>
      <w:rPr>
        <w:noProof/>
        <w:lang w:eastAsia="en-AU"/>
      </w:rPr>
      <w:drawing>
        <wp:anchor distT="0" distB="0" distL="114300" distR="114300" simplePos="0" relativeHeight="251656704" behindDoc="0" locked="1" layoutInCell="1" allowOverlap="1" wp14:anchorId="2E302149" wp14:editId="0779CBA2">
          <wp:simplePos x="0" y="0"/>
          <wp:positionH relativeFrom="page">
            <wp:posOffset>6566535</wp:posOffset>
          </wp:positionH>
          <wp:positionV relativeFrom="page">
            <wp:posOffset>9683115</wp:posOffset>
          </wp:positionV>
          <wp:extent cx="702945" cy="746760"/>
          <wp:effectExtent l="0" t="0" r="1905"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2945" cy="746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2168" w14:textId="77777777" w:rsidR="00162100" w:rsidRPr="00162100" w:rsidRDefault="0057465D" w:rsidP="0035331A">
    <w:pPr>
      <w:pStyle w:val="Header"/>
      <w:rPr>
        <w:sz w:val="10"/>
        <w:szCs w:val="10"/>
      </w:rPr>
    </w:pPr>
    <w:r>
      <w:ptab w:relativeTo="margin" w:alignment="right" w:leader="none"/>
    </w:r>
  </w:p>
  <w:p w14:paraId="27D17324" w14:textId="77777777" w:rsidR="009122C2" w:rsidRPr="0035331A" w:rsidRDefault="009122C2" w:rsidP="0035331A">
    <w:pPr>
      <w:pStyle w:val="Header"/>
      <w:rPr>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CE29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28F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CCA7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B228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3EF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BE9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A67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41C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C90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C0FD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21F17"/>
    <w:multiLevelType w:val="multilevel"/>
    <w:tmpl w:val="C0063F0E"/>
    <w:name w:val="PWDA_Numbered"/>
    <w:styleLink w:val="PWDANumbered"/>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1" w15:restartNumberingAfterBreak="0">
    <w:nsid w:val="136B26DF"/>
    <w:multiLevelType w:val="hybridMultilevel"/>
    <w:tmpl w:val="A1AE03B6"/>
    <w:lvl w:ilvl="0" w:tplc="FBF2F608">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B873497"/>
    <w:multiLevelType w:val="multilevel"/>
    <w:tmpl w:val="26A2851A"/>
    <w:name w:val="PWDA_Bullets2"/>
    <w:numStyleLink w:val="PWDABullets"/>
  </w:abstractNum>
  <w:abstractNum w:abstractNumId="13" w15:restartNumberingAfterBreak="0">
    <w:nsid w:val="1F7B5C7F"/>
    <w:multiLevelType w:val="hybridMultilevel"/>
    <w:tmpl w:val="747EA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26EDE"/>
    <w:multiLevelType w:val="multilevel"/>
    <w:tmpl w:val="26A2851A"/>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5" w15:restartNumberingAfterBreak="0">
    <w:nsid w:val="4A9D4058"/>
    <w:multiLevelType w:val="hybridMultilevel"/>
    <w:tmpl w:val="619E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D772DF7"/>
    <w:multiLevelType w:val="hybridMultilevel"/>
    <w:tmpl w:val="4D04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97C78"/>
    <w:multiLevelType w:val="hybridMultilevel"/>
    <w:tmpl w:val="FC2CB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AE6651"/>
    <w:multiLevelType w:val="hybridMultilevel"/>
    <w:tmpl w:val="1312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E915DB"/>
    <w:multiLevelType w:val="hybridMultilevel"/>
    <w:tmpl w:val="A82AFAA6"/>
    <w:lvl w:ilvl="0" w:tplc="4A3AE642">
      <w:start w:val="1"/>
      <w:numFmt w:val="decimal"/>
      <w:pStyle w:val="ListParagraph"/>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0D759E"/>
    <w:multiLevelType w:val="hybridMultilevel"/>
    <w:tmpl w:val="072ED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B81249"/>
    <w:multiLevelType w:val="hybridMultilevel"/>
    <w:tmpl w:val="51884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3910345">
    <w:abstractNumId w:val="16"/>
  </w:num>
  <w:num w:numId="2" w16cid:durableId="1969310240">
    <w:abstractNumId w:val="14"/>
  </w:num>
  <w:num w:numId="3" w16cid:durableId="12543131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8866667">
    <w:abstractNumId w:val="12"/>
  </w:num>
  <w:num w:numId="5" w16cid:durableId="822890308">
    <w:abstractNumId w:val="10"/>
  </w:num>
  <w:num w:numId="6" w16cid:durableId="342781867">
    <w:abstractNumId w:val="9"/>
  </w:num>
  <w:num w:numId="7" w16cid:durableId="1167400990">
    <w:abstractNumId w:val="9"/>
  </w:num>
  <w:num w:numId="8" w16cid:durableId="1287784076">
    <w:abstractNumId w:val="11"/>
  </w:num>
  <w:num w:numId="9" w16cid:durableId="448669458">
    <w:abstractNumId w:val="11"/>
  </w:num>
  <w:num w:numId="10" w16cid:durableId="408776349">
    <w:abstractNumId w:val="20"/>
  </w:num>
  <w:num w:numId="11" w16cid:durableId="928849134">
    <w:abstractNumId w:val="7"/>
  </w:num>
  <w:num w:numId="12" w16cid:durableId="225189944">
    <w:abstractNumId w:val="6"/>
  </w:num>
  <w:num w:numId="13" w16cid:durableId="1689091377">
    <w:abstractNumId w:val="5"/>
  </w:num>
  <w:num w:numId="14" w16cid:durableId="1882673379">
    <w:abstractNumId w:val="4"/>
  </w:num>
  <w:num w:numId="15" w16cid:durableId="1027098462">
    <w:abstractNumId w:val="8"/>
  </w:num>
  <w:num w:numId="16" w16cid:durableId="2046130820">
    <w:abstractNumId w:val="3"/>
  </w:num>
  <w:num w:numId="17" w16cid:durableId="546529430">
    <w:abstractNumId w:val="2"/>
  </w:num>
  <w:num w:numId="18" w16cid:durableId="1679892060">
    <w:abstractNumId w:val="1"/>
  </w:num>
  <w:num w:numId="19" w16cid:durableId="1153377671">
    <w:abstractNumId w:val="0"/>
  </w:num>
  <w:num w:numId="20" w16cid:durableId="582955392">
    <w:abstractNumId w:val="18"/>
  </w:num>
  <w:num w:numId="21" w16cid:durableId="1261256042">
    <w:abstractNumId w:val="13"/>
  </w:num>
  <w:num w:numId="22" w16cid:durableId="1025638523">
    <w:abstractNumId w:val="19"/>
  </w:num>
  <w:num w:numId="23" w16cid:durableId="461046968">
    <w:abstractNumId w:val="21"/>
  </w:num>
  <w:num w:numId="24" w16cid:durableId="689143655">
    <w:abstractNumId w:val="17"/>
  </w:num>
  <w:num w:numId="25" w16cid:durableId="1609702836">
    <w:abstractNumId w:val="22"/>
  </w:num>
  <w:num w:numId="26" w16cid:durableId="1897324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Dc0MjEwNTcwMTFQ0lEKTi0uzszPAykwNKoFAPo7q7gtAAAA"/>
  </w:docVars>
  <w:rsids>
    <w:rsidRoot w:val="007E3010"/>
    <w:rsid w:val="000044E4"/>
    <w:rsid w:val="00010F04"/>
    <w:rsid w:val="00016449"/>
    <w:rsid w:val="00022451"/>
    <w:rsid w:val="0004322B"/>
    <w:rsid w:val="00050B42"/>
    <w:rsid w:val="000545E2"/>
    <w:rsid w:val="00056ADB"/>
    <w:rsid w:val="00060067"/>
    <w:rsid w:val="00080684"/>
    <w:rsid w:val="00082178"/>
    <w:rsid w:val="00094B50"/>
    <w:rsid w:val="000952BC"/>
    <w:rsid w:val="0009665D"/>
    <w:rsid w:val="000A2514"/>
    <w:rsid w:val="000A6856"/>
    <w:rsid w:val="000B059B"/>
    <w:rsid w:val="000C1031"/>
    <w:rsid w:val="000C6B1B"/>
    <w:rsid w:val="000C7744"/>
    <w:rsid w:val="000C7F5E"/>
    <w:rsid w:val="000D1508"/>
    <w:rsid w:val="000D33FB"/>
    <w:rsid w:val="000D49B3"/>
    <w:rsid w:val="000D7F2C"/>
    <w:rsid w:val="000E1DD1"/>
    <w:rsid w:val="000F7DE3"/>
    <w:rsid w:val="0010241A"/>
    <w:rsid w:val="001234CE"/>
    <w:rsid w:val="00124C62"/>
    <w:rsid w:val="00134AE2"/>
    <w:rsid w:val="00162100"/>
    <w:rsid w:val="0016635C"/>
    <w:rsid w:val="00171314"/>
    <w:rsid w:val="00171795"/>
    <w:rsid w:val="00175A7E"/>
    <w:rsid w:val="00175BCA"/>
    <w:rsid w:val="00177F6B"/>
    <w:rsid w:val="00194404"/>
    <w:rsid w:val="00194B1F"/>
    <w:rsid w:val="00196775"/>
    <w:rsid w:val="001A4DC3"/>
    <w:rsid w:val="001A67EB"/>
    <w:rsid w:val="001B2388"/>
    <w:rsid w:val="001B4D24"/>
    <w:rsid w:val="001D127E"/>
    <w:rsid w:val="001E1437"/>
    <w:rsid w:val="001E4D5C"/>
    <w:rsid w:val="001F2077"/>
    <w:rsid w:val="00200A4E"/>
    <w:rsid w:val="00210798"/>
    <w:rsid w:val="002114FC"/>
    <w:rsid w:val="002249DE"/>
    <w:rsid w:val="00225F42"/>
    <w:rsid w:val="002353CC"/>
    <w:rsid w:val="00241328"/>
    <w:rsid w:val="00247F9A"/>
    <w:rsid w:val="00263397"/>
    <w:rsid w:val="0026482F"/>
    <w:rsid w:val="00266A88"/>
    <w:rsid w:val="00277D45"/>
    <w:rsid w:val="002913ED"/>
    <w:rsid w:val="00291898"/>
    <w:rsid w:val="002956B3"/>
    <w:rsid w:val="002A16D0"/>
    <w:rsid w:val="002A6DD5"/>
    <w:rsid w:val="002D493D"/>
    <w:rsid w:val="002E0D6A"/>
    <w:rsid w:val="002E44A5"/>
    <w:rsid w:val="002F1799"/>
    <w:rsid w:val="002F569B"/>
    <w:rsid w:val="00310E3F"/>
    <w:rsid w:val="003150F5"/>
    <w:rsid w:val="00325F7E"/>
    <w:rsid w:val="003260A4"/>
    <w:rsid w:val="003309CC"/>
    <w:rsid w:val="00335B6F"/>
    <w:rsid w:val="00341219"/>
    <w:rsid w:val="00350762"/>
    <w:rsid w:val="00351A77"/>
    <w:rsid w:val="0035331A"/>
    <w:rsid w:val="00360F86"/>
    <w:rsid w:val="003630D9"/>
    <w:rsid w:val="00370B21"/>
    <w:rsid w:val="00382057"/>
    <w:rsid w:val="0038234D"/>
    <w:rsid w:val="003864A1"/>
    <w:rsid w:val="00387F88"/>
    <w:rsid w:val="00395455"/>
    <w:rsid w:val="003A7D8A"/>
    <w:rsid w:val="003B7305"/>
    <w:rsid w:val="003C225A"/>
    <w:rsid w:val="003C482D"/>
    <w:rsid w:val="003D56A0"/>
    <w:rsid w:val="00411002"/>
    <w:rsid w:val="00411AD4"/>
    <w:rsid w:val="00416F74"/>
    <w:rsid w:val="004208BF"/>
    <w:rsid w:val="00427012"/>
    <w:rsid w:val="0043623E"/>
    <w:rsid w:val="0044012C"/>
    <w:rsid w:val="0046384C"/>
    <w:rsid w:val="00472C55"/>
    <w:rsid w:val="00473180"/>
    <w:rsid w:val="004770E2"/>
    <w:rsid w:val="00485D8C"/>
    <w:rsid w:val="004864C4"/>
    <w:rsid w:val="0049109A"/>
    <w:rsid w:val="004923C2"/>
    <w:rsid w:val="004957AF"/>
    <w:rsid w:val="004A0FF7"/>
    <w:rsid w:val="004A3C31"/>
    <w:rsid w:val="004B15FD"/>
    <w:rsid w:val="004B78DF"/>
    <w:rsid w:val="004C1E32"/>
    <w:rsid w:val="004C66D7"/>
    <w:rsid w:val="004E0558"/>
    <w:rsid w:val="004E4983"/>
    <w:rsid w:val="00500C67"/>
    <w:rsid w:val="00504DE6"/>
    <w:rsid w:val="00554BAD"/>
    <w:rsid w:val="00557A6C"/>
    <w:rsid w:val="00560251"/>
    <w:rsid w:val="005706AF"/>
    <w:rsid w:val="0057465D"/>
    <w:rsid w:val="005770A9"/>
    <w:rsid w:val="00582DD2"/>
    <w:rsid w:val="00584995"/>
    <w:rsid w:val="005909A6"/>
    <w:rsid w:val="005913C7"/>
    <w:rsid w:val="005A43BE"/>
    <w:rsid w:val="005B793D"/>
    <w:rsid w:val="005C0DBB"/>
    <w:rsid w:val="005C3A8B"/>
    <w:rsid w:val="005D39CF"/>
    <w:rsid w:val="005E2B7A"/>
    <w:rsid w:val="005E4EBA"/>
    <w:rsid w:val="005F3AF7"/>
    <w:rsid w:val="005F5CBD"/>
    <w:rsid w:val="005F630B"/>
    <w:rsid w:val="00601A41"/>
    <w:rsid w:val="006053F1"/>
    <w:rsid w:val="006100D9"/>
    <w:rsid w:val="006104C2"/>
    <w:rsid w:val="0061668F"/>
    <w:rsid w:val="00621B43"/>
    <w:rsid w:val="0062652F"/>
    <w:rsid w:val="00626901"/>
    <w:rsid w:val="00630FA6"/>
    <w:rsid w:val="006334B5"/>
    <w:rsid w:val="00637733"/>
    <w:rsid w:val="00653AA1"/>
    <w:rsid w:val="00654B23"/>
    <w:rsid w:val="00660FB3"/>
    <w:rsid w:val="00665E6E"/>
    <w:rsid w:val="00666353"/>
    <w:rsid w:val="00670EB5"/>
    <w:rsid w:val="006733DA"/>
    <w:rsid w:val="006817E7"/>
    <w:rsid w:val="0068592A"/>
    <w:rsid w:val="00687AF0"/>
    <w:rsid w:val="0069054E"/>
    <w:rsid w:val="00696E38"/>
    <w:rsid w:val="006A5B1D"/>
    <w:rsid w:val="006A6F57"/>
    <w:rsid w:val="006B4B67"/>
    <w:rsid w:val="006C08AC"/>
    <w:rsid w:val="006C3FE7"/>
    <w:rsid w:val="006C40E0"/>
    <w:rsid w:val="006C4D8E"/>
    <w:rsid w:val="006D6E93"/>
    <w:rsid w:val="006E0311"/>
    <w:rsid w:val="006E2CC6"/>
    <w:rsid w:val="006F0A74"/>
    <w:rsid w:val="0070174E"/>
    <w:rsid w:val="0070255E"/>
    <w:rsid w:val="00711FC5"/>
    <w:rsid w:val="00720921"/>
    <w:rsid w:val="00737AF5"/>
    <w:rsid w:val="0074194B"/>
    <w:rsid w:val="00746425"/>
    <w:rsid w:val="0074784E"/>
    <w:rsid w:val="00751F64"/>
    <w:rsid w:val="007627A6"/>
    <w:rsid w:val="00771157"/>
    <w:rsid w:val="00777992"/>
    <w:rsid w:val="007815AD"/>
    <w:rsid w:val="00784D9B"/>
    <w:rsid w:val="00787DE7"/>
    <w:rsid w:val="00796A86"/>
    <w:rsid w:val="007B34FD"/>
    <w:rsid w:val="007C2375"/>
    <w:rsid w:val="007C2C0B"/>
    <w:rsid w:val="007D4451"/>
    <w:rsid w:val="007E3010"/>
    <w:rsid w:val="007F3EAE"/>
    <w:rsid w:val="007F7D2F"/>
    <w:rsid w:val="00810253"/>
    <w:rsid w:val="008115C0"/>
    <w:rsid w:val="008129DB"/>
    <w:rsid w:val="008132F0"/>
    <w:rsid w:val="008171A9"/>
    <w:rsid w:val="008176A0"/>
    <w:rsid w:val="00820C9C"/>
    <w:rsid w:val="0085067B"/>
    <w:rsid w:val="00851B78"/>
    <w:rsid w:val="00860DCD"/>
    <w:rsid w:val="0086598F"/>
    <w:rsid w:val="00867F2F"/>
    <w:rsid w:val="00872D7F"/>
    <w:rsid w:val="0088658F"/>
    <w:rsid w:val="0088730C"/>
    <w:rsid w:val="00891AAF"/>
    <w:rsid w:val="00891C68"/>
    <w:rsid w:val="00894322"/>
    <w:rsid w:val="008948F1"/>
    <w:rsid w:val="008A53B3"/>
    <w:rsid w:val="008B1C90"/>
    <w:rsid w:val="008C79C7"/>
    <w:rsid w:val="008D7962"/>
    <w:rsid w:val="008E1926"/>
    <w:rsid w:val="008E2BF3"/>
    <w:rsid w:val="008E4408"/>
    <w:rsid w:val="008F1A31"/>
    <w:rsid w:val="008F5C5F"/>
    <w:rsid w:val="008F739D"/>
    <w:rsid w:val="008F750C"/>
    <w:rsid w:val="009070F0"/>
    <w:rsid w:val="00910F24"/>
    <w:rsid w:val="009122C2"/>
    <w:rsid w:val="00920BBD"/>
    <w:rsid w:val="00922935"/>
    <w:rsid w:val="00932718"/>
    <w:rsid w:val="00932A37"/>
    <w:rsid w:val="00942EC9"/>
    <w:rsid w:val="00944389"/>
    <w:rsid w:val="00956B8F"/>
    <w:rsid w:val="00964A2E"/>
    <w:rsid w:val="00985AC3"/>
    <w:rsid w:val="0099361C"/>
    <w:rsid w:val="009955E8"/>
    <w:rsid w:val="00996E37"/>
    <w:rsid w:val="009A27C1"/>
    <w:rsid w:val="009B31BF"/>
    <w:rsid w:val="009B78EE"/>
    <w:rsid w:val="009B7BD1"/>
    <w:rsid w:val="009C4264"/>
    <w:rsid w:val="009C5611"/>
    <w:rsid w:val="009C78AD"/>
    <w:rsid w:val="009D0BBB"/>
    <w:rsid w:val="009D519B"/>
    <w:rsid w:val="009D5CD1"/>
    <w:rsid w:val="009F2576"/>
    <w:rsid w:val="009F36B7"/>
    <w:rsid w:val="00A047D6"/>
    <w:rsid w:val="00A07E31"/>
    <w:rsid w:val="00A167D4"/>
    <w:rsid w:val="00A27EEA"/>
    <w:rsid w:val="00A3763C"/>
    <w:rsid w:val="00A37C27"/>
    <w:rsid w:val="00A37DEA"/>
    <w:rsid w:val="00A416B0"/>
    <w:rsid w:val="00A450F5"/>
    <w:rsid w:val="00A457A6"/>
    <w:rsid w:val="00A60070"/>
    <w:rsid w:val="00A6248E"/>
    <w:rsid w:val="00A7766F"/>
    <w:rsid w:val="00A80850"/>
    <w:rsid w:val="00A8723C"/>
    <w:rsid w:val="00A94071"/>
    <w:rsid w:val="00A962D6"/>
    <w:rsid w:val="00AA310E"/>
    <w:rsid w:val="00AA651B"/>
    <w:rsid w:val="00AA665D"/>
    <w:rsid w:val="00AB41A2"/>
    <w:rsid w:val="00AB75B5"/>
    <w:rsid w:val="00AD37FF"/>
    <w:rsid w:val="00AD56D0"/>
    <w:rsid w:val="00AE5AE0"/>
    <w:rsid w:val="00AF0C23"/>
    <w:rsid w:val="00AF2C2A"/>
    <w:rsid w:val="00AF3053"/>
    <w:rsid w:val="00B00A9A"/>
    <w:rsid w:val="00B04BCE"/>
    <w:rsid w:val="00B069B5"/>
    <w:rsid w:val="00B25C49"/>
    <w:rsid w:val="00B32054"/>
    <w:rsid w:val="00B661F6"/>
    <w:rsid w:val="00B70EB2"/>
    <w:rsid w:val="00B72BFD"/>
    <w:rsid w:val="00B752B3"/>
    <w:rsid w:val="00B75DA3"/>
    <w:rsid w:val="00B772E8"/>
    <w:rsid w:val="00B90B66"/>
    <w:rsid w:val="00BB28E7"/>
    <w:rsid w:val="00BB5F2A"/>
    <w:rsid w:val="00BD698A"/>
    <w:rsid w:val="00BE1144"/>
    <w:rsid w:val="00BE59B2"/>
    <w:rsid w:val="00BE7182"/>
    <w:rsid w:val="00BF4B45"/>
    <w:rsid w:val="00BF6372"/>
    <w:rsid w:val="00BF7059"/>
    <w:rsid w:val="00C00E3D"/>
    <w:rsid w:val="00C02BFC"/>
    <w:rsid w:val="00C117D2"/>
    <w:rsid w:val="00C12098"/>
    <w:rsid w:val="00C13138"/>
    <w:rsid w:val="00C5370A"/>
    <w:rsid w:val="00C621B5"/>
    <w:rsid w:val="00C63E13"/>
    <w:rsid w:val="00C714E8"/>
    <w:rsid w:val="00C825DF"/>
    <w:rsid w:val="00C8427C"/>
    <w:rsid w:val="00C9040E"/>
    <w:rsid w:val="00C92FD9"/>
    <w:rsid w:val="00C947A5"/>
    <w:rsid w:val="00CA48FC"/>
    <w:rsid w:val="00CB2E90"/>
    <w:rsid w:val="00CE5E55"/>
    <w:rsid w:val="00CF2563"/>
    <w:rsid w:val="00CF4877"/>
    <w:rsid w:val="00CF53F6"/>
    <w:rsid w:val="00D00EAA"/>
    <w:rsid w:val="00D03463"/>
    <w:rsid w:val="00D05B5F"/>
    <w:rsid w:val="00D10D9D"/>
    <w:rsid w:val="00D12848"/>
    <w:rsid w:val="00D129E5"/>
    <w:rsid w:val="00D12DE2"/>
    <w:rsid w:val="00D16A6A"/>
    <w:rsid w:val="00D2193E"/>
    <w:rsid w:val="00D247E6"/>
    <w:rsid w:val="00D31A22"/>
    <w:rsid w:val="00D47140"/>
    <w:rsid w:val="00D558E0"/>
    <w:rsid w:val="00D664A5"/>
    <w:rsid w:val="00D67E93"/>
    <w:rsid w:val="00D74141"/>
    <w:rsid w:val="00D8023A"/>
    <w:rsid w:val="00D84EA8"/>
    <w:rsid w:val="00D95B02"/>
    <w:rsid w:val="00D97D27"/>
    <w:rsid w:val="00DA1C6F"/>
    <w:rsid w:val="00DA4288"/>
    <w:rsid w:val="00DA5131"/>
    <w:rsid w:val="00DB3539"/>
    <w:rsid w:val="00DC1CF8"/>
    <w:rsid w:val="00DC31D5"/>
    <w:rsid w:val="00DD3BA3"/>
    <w:rsid w:val="00DD61C1"/>
    <w:rsid w:val="00DE2C09"/>
    <w:rsid w:val="00DE772E"/>
    <w:rsid w:val="00DF0552"/>
    <w:rsid w:val="00DF4A71"/>
    <w:rsid w:val="00E0176B"/>
    <w:rsid w:val="00E0326D"/>
    <w:rsid w:val="00E11A00"/>
    <w:rsid w:val="00E1424C"/>
    <w:rsid w:val="00E26297"/>
    <w:rsid w:val="00E37839"/>
    <w:rsid w:val="00E5430E"/>
    <w:rsid w:val="00E56331"/>
    <w:rsid w:val="00E61969"/>
    <w:rsid w:val="00E61E50"/>
    <w:rsid w:val="00E66ED7"/>
    <w:rsid w:val="00E9401C"/>
    <w:rsid w:val="00E94B30"/>
    <w:rsid w:val="00EA2A1C"/>
    <w:rsid w:val="00EA7300"/>
    <w:rsid w:val="00EB35A3"/>
    <w:rsid w:val="00EB701C"/>
    <w:rsid w:val="00EC4143"/>
    <w:rsid w:val="00ED25E4"/>
    <w:rsid w:val="00ED4A4E"/>
    <w:rsid w:val="00EE538F"/>
    <w:rsid w:val="00EF0526"/>
    <w:rsid w:val="00EF4177"/>
    <w:rsid w:val="00EF65CD"/>
    <w:rsid w:val="00F01942"/>
    <w:rsid w:val="00F11608"/>
    <w:rsid w:val="00F1283C"/>
    <w:rsid w:val="00F149FD"/>
    <w:rsid w:val="00F23B8D"/>
    <w:rsid w:val="00F250C0"/>
    <w:rsid w:val="00F316CB"/>
    <w:rsid w:val="00F33DAC"/>
    <w:rsid w:val="00F35F3A"/>
    <w:rsid w:val="00F53974"/>
    <w:rsid w:val="00F55383"/>
    <w:rsid w:val="00F6642E"/>
    <w:rsid w:val="00F8311B"/>
    <w:rsid w:val="00F90613"/>
    <w:rsid w:val="00FA27D5"/>
    <w:rsid w:val="00FA33DB"/>
    <w:rsid w:val="00FC315E"/>
    <w:rsid w:val="00FD4AFB"/>
    <w:rsid w:val="00FD4C17"/>
    <w:rsid w:val="00FD56C3"/>
    <w:rsid w:val="00FD7ADD"/>
    <w:rsid w:val="00FD7E07"/>
    <w:rsid w:val="00FE0163"/>
    <w:rsid w:val="00FE01B2"/>
    <w:rsid w:val="00FE1B6A"/>
    <w:rsid w:val="00FF0CC5"/>
    <w:rsid w:val="00FF2124"/>
    <w:rsid w:val="00FF40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608D6"/>
  <w15:docId w15:val="{3648A3F4-D481-3042-91FB-7B6F89DA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0E1DD1"/>
    <w:pPr>
      <w:spacing w:before="240" w:after="240" w:line="360" w:lineRule="auto"/>
    </w:pPr>
  </w:style>
  <w:style w:type="paragraph" w:styleId="Heading1">
    <w:name w:val="heading 1"/>
    <w:basedOn w:val="Normal"/>
    <w:next w:val="BodyText"/>
    <w:link w:val="Heading1Char"/>
    <w:uiPriority w:val="1"/>
    <w:qFormat/>
    <w:rsid w:val="008D7962"/>
    <w:pPr>
      <w:keepNext/>
      <w:keepLines/>
      <w:spacing w:after="360"/>
      <w:outlineLvl w:val="0"/>
    </w:pPr>
    <w:rPr>
      <w:rFonts w:ascii="VAG Rounded" w:eastAsiaTheme="majorEastAsia" w:hAnsi="VAG Rounded" w:cstheme="majorBidi"/>
      <w:b/>
      <w:color w:val="005496" w:themeColor="accent1"/>
      <w:spacing w:val="14"/>
      <w:sz w:val="40"/>
      <w:szCs w:val="32"/>
    </w:rPr>
  </w:style>
  <w:style w:type="paragraph" w:styleId="Heading2">
    <w:name w:val="heading 2"/>
    <w:basedOn w:val="Normal"/>
    <w:next w:val="Normal"/>
    <w:link w:val="Heading2Char"/>
    <w:uiPriority w:val="1"/>
    <w:qFormat/>
    <w:rsid w:val="00867F2F"/>
    <w:pPr>
      <w:keepNext/>
      <w:keepLines/>
      <w:spacing w:after="0"/>
      <w:outlineLvl w:val="1"/>
    </w:pPr>
    <w:rPr>
      <w:rFonts w:ascii="VAG Rounded" w:eastAsiaTheme="majorEastAsia" w:hAnsi="VAG Rounded" w:cstheme="majorBidi"/>
      <w:color w:val="005496" w:themeColor="accent1"/>
      <w:sz w:val="36"/>
      <w:szCs w:val="26"/>
    </w:rPr>
  </w:style>
  <w:style w:type="paragraph" w:styleId="Heading3">
    <w:name w:val="heading 3"/>
    <w:basedOn w:val="Normal"/>
    <w:next w:val="Normal"/>
    <w:link w:val="Heading3Char"/>
    <w:uiPriority w:val="1"/>
    <w:qFormat/>
    <w:rsid w:val="00867F2F"/>
    <w:pPr>
      <w:keepNext/>
      <w:keepLines/>
      <w:spacing w:before="0"/>
      <w:outlineLvl w:val="2"/>
    </w:pPr>
    <w:rPr>
      <w:rFonts w:ascii="VAG Rounded" w:eastAsiaTheme="majorEastAsia" w:hAnsi="VAG Rounded" w:cstheme="majorBidi"/>
      <w:color w:val="00884F" w:themeColor="accent2"/>
      <w:sz w:val="32"/>
      <w:szCs w:val="32"/>
    </w:rPr>
  </w:style>
  <w:style w:type="paragraph" w:styleId="Heading4">
    <w:name w:val="heading 4"/>
    <w:basedOn w:val="Normal"/>
    <w:next w:val="Normal"/>
    <w:link w:val="Heading4Char"/>
    <w:uiPriority w:val="1"/>
    <w:qFormat/>
    <w:rsid w:val="008D7962"/>
    <w:pPr>
      <w:keepNext/>
      <w:keepLines/>
      <w:outlineLvl w:val="3"/>
    </w:pPr>
    <w:rPr>
      <w:rFonts w:asciiTheme="majorHAnsi" w:eastAsiaTheme="majorEastAsia" w:hAnsiTheme="majorHAnsi" w:cstheme="majorBidi"/>
      <w:b/>
      <w:iCs/>
      <w:color w:val="005496" w:themeColor="accent1"/>
      <w:sz w:val="28"/>
    </w:rPr>
  </w:style>
  <w:style w:type="paragraph" w:styleId="Heading5">
    <w:name w:val="heading 5"/>
    <w:basedOn w:val="Normal"/>
    <w:next w:val="Normal"/>
    <w:link w:val="Heading5Char"/>
    <w:uiPriority w:val="1"/>
    <w:unhideWhenUsed/>
    <w:qFormat/>
    <w:rsid w:val="0016635C"/>
    <w:pPr>
      <w:keepNext/>
      <w:keepLines/>
      <w:spacing w:before="40" w:after="0"/>
      <w:outlineLvl w:val="4"/>
    </w:pPr>
    <w:rPr>
      <w:rFonts w:asciiTheme="majorHAnsi" w:eastAsiaTheme="majorEastAsia" w:hAnsiTheme="majorHAnsi" w:cstheme="majorBidi"/>
      <w:b/>
      <w:color w:val="00549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58E0"/>
    <w:rPr>
      <w:rFonts w:ascii="VAG Rounded" w:eastAsiaTheme="majorEastAsia" w:hAnsi="VAG Rounded" w:cstheme="majorBidi"/>
      <w:b/>
      <w:color w:val="005496" w:themeColor="accent1"/>
      <w:spacing w:val="14"/>
      <w:sz w:val="40"/>
      <w:szCs w:val="32"/>
    </w:rPr>
  </w:style>
  <w:style w:type="paragraph" w:customStyle="1" w:styleId="PWDAContacts">
    <w:name w:val="PWDA Contacts"/>
    <w:uiPriority w:val="5"/>
    <w:qFormat/>
    <w:rsid w:val="002D493D"/>
    <w:pPr>
      <w:spacing w:before="80" w:after="0" w:line="360" w:lineRule="auto"/>
    </w:pPr>
  </w:style>
  <w:style w:type="character" w:customStyle="1" w:styleId="PWDAContactsHeading">
    <w:name w:val="PWDA Contacts Heading"/>
    <w:basedOn w:val="DefaultParagraphFont"/>
    <w:uiPriority w:val="5"/>
    <w:rsid w:val="001E4D5C"/>
    <w:rPr>
      <w:rFonts w:ascii="VAGblake" w:hAnsi="VAGblake"/>
      <w:b/>
      <w:color w:val="005496" w:themeColor="text2"/>
    </w:rPr>
  </w:style>
  <w:style w:type="paragraph" w:styleId="Header">
    <w:name w:val="header"/>
    <w:basedOn w:val="TableGap"/>
    <w:link w:val="HeaderChar"/>
    <w:uiPriority w:val="99"/>
    <w:unhideWhenUsed/>
    <w:rsid w:val="005F3AF7"/>
    <w:pPr>
      <w:spacing w:before="0" w:line="360" w:lineRule="auto"/>
    </w:pPr>
    <w:rPr>
      <w:rFonts w:cs="Arial"/>
      <w:b/>
      <w:bCs/>
      <w:color w:val="005496" w:themeColor="accent1"/>
      <w:sz w:val="24"/>
      <w:szCs w:val="48"/>
    </w:rPr>
  </w:style>
  <w:style w:type="character" w:customStyle="1" w:styleId="HeaderChar">
    <w:name w:val="Header Char"/>
    <w:basedOn w:val="DefaultParagraphFont"/>
    <w:link w:val="Header"/>
    <w:uiPriority w:val="99"/>
    <w:rsid w:val="005F3AF7"/>
    <w:rPr>
      <w:rFonts w:cs="Arial"/>
      <w:b/>
      <w:bCs/>
      <w:color w:val="005496" w:themeColor="accent1"/>
      <w:szCs w:val="48"/>
    </w:rPr>
  </w:style>
  <w:style w:type="paragraph" w:styleId="Footer">
    <w:name w:val="footer"/>
    <w:basedOn w:val="Normal"/>
    <w:link w:val="FooterChar"/>
    <w:uiPriority w:val="99"/>
    <w:unhideWhenUsed/>
    <w:rsid w:val="004B15FD"/>
    <w:pPr>
      <w:tabs>
        <w:tab w:val="center" w:pos="4680"/>
        <w:tab w:val="right" w:pos="9360"/>
      </w:tabs>
      <w:spacing w:after="0" w:line="240" w:lineRule="auto"/>
    </w:pPr>
    <w:rPr>
      <w:rFonts w:ascii="VAG Rounded" w:hAnsi="VAG Rounded"/>
      <w:color w:val="00884F" w:themeColor="accent2"/>
    </w:rPr>
  </w:style>
  <w:style w:type="character" w:customStyle="1" w:styleId="FooterChar">
    <w:name w:val="Footer Char"/>
    <w:basedOn w:val="DefaultParagraphFont"/>
    <w:link w:val="Footer"/>
    <w:uiPriority w:val="99"/>
    <w:rsid w:val="004B15FD"/>
    <w:rPr>
      <w:rFonts w:ascii="VAG Rounded" w:hAnsi="VAG Rounded"/>
      <w:color w:val="00884F" w:themeColor="accent2"/>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unhideWhenUsed/>
    <w:qFormat/>
    <w:rsid w:val="00560251"/>
    <w:rPr>
      <w:b/>
      <w:i w:val="0"/>
      <w:color w:val="005496"/>
      <w:u w:val="non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1"/>
    <w:rsid w:val="00867F2F"/>
    <w:rPr>
      <w:rFonts w:ascii="VAG Rounded" w:eastAsiaTheme="majorEastAsia" w:hAnsi="VAG Rounded" w:cstheme="majorBidi"/>
      <w:color w:val="005496" w:themeColor="accent1"/>
      <w:sz w:val="36"/>
      <w:szCs w:val="26"/>
    </w:rPr>
  </w:style>
  <w:style w:type="character" w:customStyle="1" w:styleId="Heading3Char">
    <w:name w:val="Heading 3 Char"/>
    <w:basedOn w:val="DefaultParagraphFont"/>
    <w:link w:val="Heading3"/>
    <w:uiPriority w:val="1"/>
    <w:rsid w:val="00867F2F"/>
    <w:rPr>
      <w:rFonts w:ascii="VAG Rounded" w:eastAsiaTheme="majorEastAsia" w:hAnsi="VAG Rounded" w:cstheme="majorBidi"/>
      <w:color w:val="00884F" w:themeColor="accent2"/>
      <w:sz w:val="32"/>
      <w:szCs w:val="32"/>
    </w:rPr>
  </w:style>
  <w:style w:type="paragraph" w:customStyle="1" w:styleId="TableGap">
    <w:name w:val="Table Gap"/>
    <w:basedOn w:val="Normal"/>
    <w:uiPriority w:val="5"/>
    <w:rsid w:val="001A67EB"/>
    <w:pPr>
      <w:spacing w:after="0" w:line="240" w:lineRule="auto"/>
    </w:pPr>
    <w:rPr>
      <w:sz w:val="6"/>
    </w:rPr>
  </w:style>
  <w:style w:type="paragraph" w:customStyle="1" w:styleId="Bullet1">
    <w:name w:val="Bullet 1"/>
    <w:basedOn w:val="Normal"/>
    <w:uiPriority w:val="1"/>
    <w:semiHidden/>
    <w:qFormat/>
    <w:rsid w:val="001234CE"/>
  </w:style>
  <w:style w:type="paragraph" w:styleId="ListParagraph">
    <w:name w:val="List Paragraph"/>
    <w:aliases w:val="Numbered List"/>
    <w:basedOn w:val="Normal"/>
    <w:link w:val="ListParagraphChar"/>
    <w:uiPriority w:val="34"/>
    <w:qFormat/>
    <w:rsid w:val="0086598F"/>
    <w:pPr>
      <w:numPr>
        <w:numId w:val="10"/>
      </w:numPr>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semiHidden/>
    <w:qFormat/>
    <w:rsid w:val="00C02BFC"/>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semiHidden/>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semiHidden/>
    <w:rsid w:val="00D558E0"/>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D558E0"/>
    <w:rPr>
      <w:rFonts w:asciiTheme="majorHAnsi" w:eastAsiaTheme="majorEastAsia" w:hAnsiTheme="majorHAnsi" w:cstheme="majorBidi"/>
      <w:b/>
      <w:iCs/>
      <w:color w:val="005496" w:themeColor="accent1"/>
      <w:sz w:val="28"/>
    </w:rPr>
  </w:style>
  <w:style w:type="paragraph" w:styleId="Caption">
    <w:name w:val="caption"/>
    <w:basedOn w:val="Normal"/>
    <w:next w:val="Normal"/>
    <w:uiPriority w:val="35"/>
    <w:unhideWhenUsed/>
    <w:qFormat/>
    <w:rsid w:val="002956B3"/>
    <w:pPr>
      <w:keepNext/>
      <w:spacing w:after="200" w:line="240" w:lineRule="auto"/>
    </w:pPr>
    <w:rPr>
      <w:iCs/>
      <w:color w:val="005496" w:themeColor="text2"/>
      <w:szCs w:val="18"/>
    </w:rPr>
  </w:style>
  <w:style w:type="paragraph" w:customStyle="1" w:styleId="AddressBlockdate">
    <w:name w:val="Address Block &amp; date"/>
    <w:basedOn w:val="Normal"/>
    <w:uiPriority w:val="3"/>
    <w:qFormat/>
    <w:rsid w:val="00696E38"/>
    <w:pPr>
      <w:spacing w:before="0" w:after="0"/>
      <w:contextualSpacing/>
    </w:pPr>
    <w:rPr>
      <w:b/>
    </w:rPr>
  </w:style>
  <w:style w:type="paragraph" w:customStyle="1" w:styleId="BasicParagraph">
    <w:name w:val="[Basic Paragraph]"/>
    <w:basedOn w:val="Normal"/>
    <w:uiPriority w:val="99"/>
    <w:rsid w:val="002A6DD5"/>
    <w:pPr>
      <w:autoSpaceDE w:val="0"/>
      <w:autoSpaceDN w:val="0"/>
      <w:adjustRightInd w:val="0"/>
      <w:spacing w:after="0" w:line="288" w:lineRule="auto"/>
      <w:textAlignment w:val="center"/>
    </w:pPr>
    <w:rPr>
      <w:rFonts w:ascii="MinionPro-Regular" w:hAnsi="MinionPro-Regular" w:cs="MinionPro-Regular"/>
      <w:color w:val="000000"/>
      <w:lang w:val="en-US"/>
    </w:rPr>
  </w:style>
  <w:style w:type="character" w:styleId="UnresolvedMention">
    <w:name w:val="Unresolved Mention"/>
    <w:basedOn w:val="DefaultParagraphFont"/>
    <w:uiPriority w:val="99"/>
    <w:semiHidden/>
    <w:unhideWhenUsed/>
    <w:rsid w:val="00B32054"/>
    <w:rPr>
      <w:color w:val="605E5C"/>
      <w:shd w:val="clear" w:color="auto" w:fill="E1DFDD"/>
    </w:rPr>
  </w:style>
  <w:style w:type="paragraph" w:styleId="BodyText">
    <w:name w:val="Body Text"/>
    <w:basedOn w:val="Normal"/>
    <w:link w:val="BodyTextChar"/>
    <w:qFormat/>
    <w:rsid w:val="002D493D"/>
  </w:style>
  <w:style w:type="character" w:customStyle="1" w:styleId="BodyTextChar">
    <w:name w:val="Body Text Char"/>
    <w:basedOn w:val="DefaultParagraphFont"/>
    <w:link w:val="BodyText"/>
    <w:rsid w:val="002D493D"/>
  </w:style>
  <w:style w:type="paragraph" w:styleId="ListBullet">
    <w:name w:val="List Bullet"/>
    <w:aliases w:val="Bullet List"/>
    <w:basedOn w:val="Normal"/>
    <w:uiPriority w:val="2"/>
    <w:qFormat/>
    <w:rsid w:val="0086598F"/>
    <w:pPr>
      <w:numPr>
        <w:numId w:val="9"/>
      </w:numPr>
    </w:pPr>
  </w:style>
  <w:style w:type="character" w:customStyle="1" w:styleId="ListParagraphChar">
    <w:name w:val="List Paragraph Char"/>
    <w:aliases w:val="Numbered List Char"/>
    <w:link w:val="ListParagraph"/>
    <w:uiPriority w:val="1"/>
    <w:qFormat/>
    <w:rsid w:val="0086598F"/>
  </w:style>
  <w:style w:type="character" w:styleId="EndnoteReference">
    <w:name w:val="endnote reference"/>
    <w:basedOn w:val="DefaultParagraphFont"/>
    <w:uiPriority w:val="99"/>
    <w:unhideWhenUsed/>
    <w:rsid w:val="002956B3"/>
    <w:rPr>
      <w:rFonts w:asciiTheme="minorHAnsi" w:hAnsiTheme="minorHAnsi"/>
      <w:b/>
      <w:sz w:val="24"/>
      <w:vertAlign w:val="superscript"/>
    </w:rPr>
  </w:style>
  <w:style w:type="paragraph" w:styleId="EndnoteText">
    <w:name w:val="endnote text"/>
    <w:basedOn w:val="Normal"/>
    <w:link w:val="EndnoteTextChar"/>
    <w:uiPriority w:val="99"/>
    <w:unhideWhenUsed/>
    <w:rsid w:val="002956B3"/>
    <w:pPr>
      <w:spacing w:after="0" w:line="240" w:lineRule="auto"/>
    </w:pPr>
    <w:rPr>
      <w:szCs w:val="20"/>
    </w:rPr>
  </w:style>
  <w:style w:type="character" w:customStyle="1" w:styleId="EndnoteTextChar">
    <w:name w:val="Endnote Text Char"/>
    <w:basedOn w:val="DefaultParagraphFont"/>
    <w:link w:val="EndnoteText"/>
    <w:uiPriority w:val="99"/>
    <w:rsid w:val="002956B3"/>
    <w:rPr>
      <w:szCs w:val="20"/>
    </w:rPr>
  </w:style>
  <w:style w:type="character" w:styleId="FootnoteReference">
    <w:name w:val="footnote reference"/>
    <w:basedOn w:val="DefaultParagraphFont"/>
    <w:uiPriority w:val="99"/>
    <w:semiHidden/>
    <w:unhideWhenUsed/>
    <w:rsid w:val="008171A9"/>
    <w:rPr>
      <w:vertAlign w:val="superscript"/>
    </w:rPr>
  </w:style>
  <w:style w:type="character" w:styleId="PlaceholderText">
    <w:name w:val="Placeholder Text"/>
    <w:basedOn w:val="DefaultParagraphFont"/>
    <w:uiPriority w:val="99"/>
    <w:semiHidden/>
    <w:rsid w:val="00DF4A71"/>
    <w:rPr>
      <w:color w:val="808080"/>
    </w:rPr>
  </w:style>
  <w:style w:type="character" w:customStyle="1" w:styleId="Heading5Char">
    <w:name w:val="Heading 5 Char"/>
    <w:basedOn w:val="DefaultParagraphFont"/>
    <w:link w:val="Heading5"/>
    <w:uiPriority w:val="1"/>
    <w:rsid w:val="00D558E0"/>
    <w:rPr>
      <w:rFonts w:asciiTheme="majorHAnsi" w:eastAsiaTheme="majorEastAsia" w:hAnsiTheme="majorHAnsi" w:cstheme="majorBidi"/>
      <w:b/>
      <w:color w:val="005496" w:themeColor="text2"/>
    </w:rPr>
  </w:style>
  <w:style w:type="character" w:styleId="SubtleEmphasis">
    <w:name w:val="Subtle Emphasis"/>
    <w:basedOn w:val="DefaultParagraphFont"/>
    <w:uiPriority w:val="19"/>
    <w:qFormat/>
    <w:rsid w:val="002D493D"/>
    <w:rPr>
      <w:rFonts w:asciiTheme="minorHAnsi" w:hAnsiTheme="minorHAnsi"/>
      <w:i w:val="0"/>
      <w:iCs/>
      <w:color w:val="005496" w:themeColor="text2"/>
    </w:rPr>
  </w:style>
  <w:style w:type="character" w:styleId="Emphasis">
    <w:name w:val="Emphasis"/>
    <w:basedOn w:val="DefaultParagraphFont"/>
    <w:uiPriority w:val="20"/>
    <w:qFormat/>
    <w:rsid w:val="002D493D"/>
    <w:rPr>
      <w:rFonts w:asciiTheme="minorHAnsi" w:hAnsiTheme="minorHAnsi"/>
      <w:b w:val="0"/>
      <w:i w:val="0"/>
      <w:iCs/>
      <w:color w:val="005496" w:themeColor="text2"/>
      <w:sz w:val="24"/>
    </w:rPr>
  </w:style>
  <w:style w:type="paragraph" w:customStyle="1" w:styleId="Breakoutbox">
    <w:name w:val="Breakout box"/>
    <w:basedOn w:val="BodyText"/>
    <w:uiPriority w:val="99"/>
    <w:rsid w:val="002D493D"/>
    <w:pPr>
      <w:pBdr>
        <w:top w:val="single" w:sz="8" w:space="5" w:color="005496" w:themeColor="text2"/>
        <w:bottom w:val="single" w:sz="8" w:space="5" w:color="005496" w:themeColor="text2"/>
      </w:pBdr>
    </w:pPr>
    <w:rPr>
      <w:color w:val="005496" w:themeColor="text2"/>
    </w:rPr>
  </w:style>
  <w:style w:type="paragraph" w:styleId="IntenseQuote">
    <w:name w:val="Intense Quote"/>
    <w:basedOn w:val="Normal"/>
    <w:next w:val="Normal"/>
    <w:link w:val="IntenseQuoteChar"/>
    <w:uiPriority w:val="30"/>
    <w:qFormat/>
    <w:rsid w:val="002956B3"/>
    <w:pPr>
      <w:pBdr>
        <w:top w:val="single" w:sz="4" w:space="10" w:color="005496" w:themeColor="accent1"/>
        <w:bottom w:val="single" w:sz="4" w:space="10" w:color="005496" w:themeColor="accent1"/>
      </w:pBdr>
      <w:spacing w:before="360" w:after="360"/>
      <w:ind w:left="851" w:right="851"/>
    </w:pPr>
    <w:rPr>
      <w:iCs/>
      <w:color w:val="005496" w:themeColor="accent1"/>
    </w:rPr>
  </w:style>
  <w:style w:type="character" w:customStyle="1" w:styleId="IntenseQuoteChar">
    <w:name w:val="Intense Quote Char"/>
    <w:basedOn w:val="DefaultParagraphFont"/>
    <w:link w:val="IntenseQuote"/>
    <w:uiPriority w:val="30"/>
    <w:rsid w:val="002956B3"/>
    <w:rPr>
      <w:iCs/>
      <w:color w:val="005496" w:themeColor="accent1"/>
    </w:rPr>
  </w:style>
  <w:style w:type="character" w:styleId="Strong">
    <w:name w:val="Strong"/>
    <w:basedOn w:val="DefaultParagraphFont"/>
    <w:uiPriority w:val="22"/>
    <w:qFormat/>
    <w:rsid w:val="002956B3"/>
    <w:rPr>
      <w:rFonts w:asciiTheme="minorHAnsi" w:hAnsiTheme="minorHAnsi"/>
      <w:b/>
      <w:bCs/>
      <w:color w:val="005496" w:themeColor="text2"/>
      <w:sz w:val="28"/>
    </w:rPr>
  </w:style>
  <w:style w:type="paragraph" w:styleId="Quote">
    <w:name w:val="Quote"/>
    <w:basedOn w:val="Normal"/>
    <w:next w:val="Normal"/>
    <w:link w:val="QuoteChar"/>
    <w:uiPriority w:val="29"/>
    <w:qFormat/>
    <w:rsid w:val="002956B3"/>
    <w:pPr>
      <w:spacing w:before="200" w:after="160"/>
      <w:ind w:left="864" w:right="864"/>
      <w:jc w:val="center"/>
    </w:pPr>
    <w:rPr>
      <w:iCs/>
      <w:color w:val="005496" w:themeColor="text2"/>
    </w:rPr>
  </w:style>
  <w:style w:type="character" w:customStyle="1" w:styleId="QuoteChar">
    <w:name w:val="Quote Char"/>
    <w:basedOn w:val="DefaultParagraphFont"/>
    <w:link w:val="Quote"/>
    <w:uiPriority w:val="29"/>
    <w:rsid w:val="002956B3"/>
    <w:rPr>
      <w:iCs/>
      <w:color w:val="005496" w:themeColor="text2"/>
    </w:rPr>
  </w:style>
  <w:style w:type="character" w:styleId="BookTitle">
    <w:name w:val="Book Title"/>
    <w:basedOn w:val="DefaultParagraphFont"/>
    <w:uiPriority w:val="33"/>
    <w:qFormat/>
    <w:rsid w:val="002956B3"/>
    <w:rPr>
      <w:b/>
      <w:bCs/>
      <w:i w:val="0"/>
      <w:iCs/>
      <w:spacing w:val="5"/>
    </w:rPr>
  </w:style>
  <w:style w:type="paragraph" w:customStyle="1" w:styleId="recipientaddress">
    <w:name w:val="recipient address"/>
    <w:basedOn w:val="AddressBlockdate"/>
    <w:uiPriority w:val="99"/>
    <w:qFormat/>
    <w:rsid w:val="00310E3F"/>
    <w:pPr>
      <w:spacing w:before="240" w:after="240"/>
      <w:contextualSpacing w:val="0"/>
    </w:pPr>
    <w:rPr>
      <w:b w:val="0"/>
    </w:rPr>
  </w:style>
  <w:style w:type="character" w:styleId="CommentReference">
    <w:name w:val="annotation reference"/>
    <w:basedOn w:val="DefaultParagraphFont"/>
    <w:uiPriority w:val="99"/>
    <w:semiHidden/>
    <w:unhideWhenUsed/>
    <w:rsid w:val="008F750C"/>
    <w:rPr>
      <w:sz w:val="16"/>
      <w:szCs w:val="16"/>
    </w:rPr>
  </w:style>
  <w:style w:type="paragraph" w:styleId="CommentText">
    <w:name w:val="annotation text"/>
    <w:basedOn w:val="Normal"/>
    <w:link w:val="CommentTextChar"/>
    <w:uiPriority w:val="99"/>
    <w:unhideWhenUsed/>
    <w:rsid w:val="008F750C"/>
    <w:pPr>
      <w:spacing w:line="240" w:lineRule="auto"/>
    </w:pPr>
    <w:rPr>
      <w:sz w:val="20"/>
      <w:szCs w:val="20"/>
    </w:rPr>
  </w:style>
  <w:style w:type="character" w:customStyle="1" w:styleId="CommentTextChar">
    <w:name w:val="Comment Text Char"/>
    <w:basedOn w:val="DefaultParagraphFont"/>
    <w:link w:val="CommentText"/>
    <w:uiPriority w:val="99"/>
    <w:rsid w:val="008F750C"/>
    <w:rPr>
      <w:sz w:val="20"/>
      <w:szCs w:val="20"/>
    </w:rPr>
  </w:style>
  <w:style w:type="paragraph" w:styleId="CommentSubject">
    <w:name w:val="annotation subject"/>
    <w:basedOn w:val="CommentText"/>
    <w:next w:val="CommentText"/>
    <w:link w:val="CommentSubjectChar"/>
    <w:uiPriority w:val="99"/>
    <w:semiHidden/>
    <w:unhideWhenUsed/>
    <w:rsid w:val="008F750C"/>
    <w:rPr>
      <w:b/>
      <w:bCs/>
    </w:rPr>
  </w:style>
  <w:style w:type="character" w:customStyle="1" w:styleId="CommentSubjectChar">
    <w:name w:val="Comment Subject Char"/>
    <w:basedOn w:val="CommentTextChar"/>
    <w:link w:val="CommentSubject"/>
    <w:uiPriority w:val="99"/>
    <w:semiHidden/>
    <w:rsid w:val="008F750C"/>
    <w:rPr>
      <w:b/>
      <w:bCs/>
      <w:sz w:val="20"/>
      <w:szCs w:val="20"/>
    </w:rPr>
  </w:style>
  <w:style w:type="character" w:styleId="FollowedHyperlink">
    <w:name w:val="FollowedHyperlink"/>
    <w:basedOn w:val="DefaultParagraphFont"/>
    <w:uiPriority w:val="99"/>
    <w:semiHidden/>
    <w:unhideWhenUsed/>
    <w:rsid w:val="002F1799"/>
    <w:rPr>
      <w:color w:val="005496" w:themeColor="followedHyperlink"/>
      <w:u w:val="single"/>
    </w:rPr>
  </w:style>
  <w:style w:type="paragraph" w:styleId="FootnoteText">
    <w:name w:val="footnote text"/>
    <w:basedOn w:val="Normal"/>
    <w:link w:val="FootnoteTextChar"/>
    <w:uiPriority w:val="99"/>
    <w:semiHidden/>
    <w:unhideWhenUsed/>
    <w:rsid w:val="001D127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D127E"/>
    <w:rPr>
      <w:sz w:val="20"/>
      <w:szCs w:val="20"/>
    </w:rPr>
  </w:style>
  <w:style w:type="paragraph" w:styleId="Revision">
    <w:name w:val="Revision"/>
    <w:hidden/>
    <w:uiPriority w:val="99"/>
    <w:semiHidden/>
    <w:rsid w:val="00D10D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pwd.org.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wd.org.au"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pwd@pwd.org.au"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consultations.ag.gov.au/legal-system/administrative-review-reform-issues-pap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giancarlod@pwd.org.au"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pwd.org.au/our-lives-our-decisions-submission-to-the-disability-royal-commission-on-guardianship-substituted-and-supported-decision-making/" TargetMode="External"/><Relationship Id="rId10" Type="http://schemas.openxmlformats.org/officeDocument/2006/relationships/header" Target="header1.xml"/><Relationship Id="rId19" Type="http://schemas.openxmlformats.org/officeDocument/2006/relationships/hyperlink" Target="mailto:AATReformEnquiries@ag.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aat.gov.au/landing-pages/practice-directions-guides-and-guidelines/general-practice-direction"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at.gov.au/AAT/media/AAT/Files/Directions%20and%20guides/DutyToActInGoodFaith.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EEBEA"/>
      </a:lt2>
      <a:accent1>
        <a:srgbClr val="005496"/>
      </a:accent1>
      <a:accent2>
        <a:srgbClr val="00884F"/>
      </a:accent2>
      <a:accent3>
        <a:srgbClr val="00BDF2"/>
      </a:accent3>
      <a:accent4>
        <a:srgbClr val="67C18C"/>
      </a:accent4>
      <a:accent5>
        <a:srgbClr val="EEEBEA"/>
      </a:accent5>
      <a:accent6>
        <a:srgbClr val="000000"/>
      </a:accent6>
      <a:hlink>
        <a:srgbClr val="FFFFFF"/>
      </a:hlink>
      <a:folHlink>
        <a:srgbClr val="0054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5" ma:contentTypeDescription="Create a new document." ma:contentTypeScope="" ma:versionID="585fcba33eac6ef75a698b4fd3e180b2">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571cdbb5a9267b8b6f59149a7eac45cd"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57B893-FE60-46F6-AEBC-A1C7E8C9D131}">
  <ds:schemaRefs>
    <ds:schemaRef ds:uri="http://schemas.openxmlformats.org/officeDocument/2006/bibliography"/>
  </ds:schemaRefs>
</ds:datastoreItem>
</file>

<file path=customXml/itemProps2.xml><?xml version="1.0" encoding="utf-8"?>
<ds:datastoreItem xmlns:ds="http://schemas.openxmlformats.org/officeDocument/2006/customXml" ds:itemID="{DFFB9C18-56ED-41ED-9A37-28559F6ABA29}">
  <ds:schemaRefs>
    <ds:schemaRef ds:uri="http://schemas.microsoft.com/sharepoint/v3/contenttype/forms"/>
  </ds:schemaRefs>
</ds:datastoreItem>
</file>

<file path=customXml/itemProps3.xml><?xml version="1.0" encoding="utf-8"?>
<ds:datastoreItem xmlns:ds="http://schemas.openxmlformats.org/officeDocument/2006/customXml" ds:itemID="{F7654CD1-755E-43E7-812F-0AFB815B5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Ira</dc:creator>
  <cp:lastModifiedBy>Craig  Andrews</cp:lastModifiedBy>
  <cp:revision>3</cp:revision>
  <cp:lastPrinted>2018-04-09T10:08:00Z</cp:lastPrinted>
  <dcterms:created xsi:type="dcterms:W3CDTF">2023-05-11T02:20:00Z</dcterms:created>
  <dcterms:modified xsi:type="dcterms:W3CDTF">2023-05-11T02:20:00Z</dcterms:modified>
</cp:coreProperties>
</file>