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1FD19" w14:textId="4FD440BA" w:rsidR="007D215F" w:rsidRPr="00182E58" w:rsidRDefault="007D215F" w:rsidP="002937C8">
      <w:pPr>
        <w:pStyle w:val="Heading1"/>
        <w:rPr>
          <w:rStyle w:val="BodyTextChar"/>
          <w:lang w:val="en-AU"/>
        </w:rPr>
      </w:pPr>
    </w:p>
    <w:p w14:paraId="0A487F0F" w14:textId="77777777" w:rsidR="009E0E39" w:rsidRDefault="009E0E39" w:rsidP="009E0E39">
      <w:pPr>
        <w:pStyle w:val="Heading1"/>
        <w:jc w:val="center"/>
      </w:pPr>
    </w:p>
    <w:p w14:paraId="0F078BBD" w14:textId="126AF03D" w:rsidR="0070255E" w:rsidRPr="00182E58" w:rsidRDefault="002937C8" w:rsidP="009E0E39">
      <w:pPr>
        <w:pStyle w:val="Heading1"/>
        <w:jc w:val="center"/>
      </w:pPr>
      <w:r w:rsidRPr="00182E58">
        <w:rPr>
          <w:noProof/>
          <w:lang w:val="en-GB" w:eastAsia="en-GB"/>
        </w:rPr>
        <w:drawing>
          <wp:anchor distT="0" distB="0" distL="114300" distR="114300" simplePos="0" relativeHeight="251656192" behindDoc="1" locked="1" layoutInCell="1" allowOverlap="1" wp14:anchorId="1FFCE6BC" wp14:editId="2C0C02AD">
            <wp:simplePos x="0" y="0"/>
            <wp:positionH relativeFrom="page">
              <wp:align>right</wp:align>
            </wp:positionH>
            <wp:positionV relativeFrom="page">
              <wp:posOffset>-32385</wp:posOffset>
            </wp:positionV>
            <wp:extent cx="7559675" cy="1069086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r w:rsidR="007B0DEA">
        <w:t>A Human Rights Act for All</w:t>
      </w:r>
    </w:p>
    <w:p w14:paraId="55EFC87D" w14:textId="549C08D2" w:rsidR="009E0E39" w:rsidRPr="004B08EE" w:rsidRDefault="009E0E39" w:rsidP="009E0E39">
      <w:pPr>
        <w:pStyle w:val="Heading1"/>
        <w:spacing w:after="240" w:line="360" w:lineRule="auto"/>
        <w:jc w:val="center"/>
        <w:rPr>
          <w:rFonts w:asciiTheme="minorHAnsi" w:hAnsiTheme="minorHAnsi" w:cstheme="minorHAnsi"/>
          <w:b w:val="0"/>
          <w:bCs/>
          <w:iCs/>
          <w:sz w:val="24"/>
          <w:szCs w:val="24"/>
        </w:rPr>
      </w:pPr>
      <w:r>
        <w:rPr>
          <w:rFonts w:asciiTheme="minorHAnsi" w:eastAsiaTheme="minorHAnsi" w:hAnsiTheme="minorHAnsi" w:cstheme="minorHAnsi"/>
          <w:b w:val="0"/>
          <w:bCs/>
          <w:iCs/>
          <w:sz w:val="24"/>
          <w:szCs w:val="24"/>
        </w:rPr>
        <w:t xml:space="preserve">Submission to </w:t>
      </w:r>
      <w:r w:rsidR="007B0DEA">
        <w:rPr>
          <w:rFonts w:asciiTheme="minorHAnsi" w:eastAsiaTheme="minorHAnsi" w:hAnsiTheme="minorHAnsi" w:cstheme="minorHAnsi"/>
          <w:b w:val="0"/>
          <w:bCs/>
          <w:iCs/>
          <w:sz w:val="24"/>
          <w:szCs w:val="24"/>
        </w:rPr>
        <w:t xml:space="preserve">the Parliamentary Joint Committee on Human Rights’ Inquiry into Australia’s Human Rights Framework </w:t>
      </w:r>
      <w:r>
        <w:rPr>
          <w:rFonts w:asciiTheme="minorHAnsi" w:eastAsiaTheme="minorHAnsi" w:hAnsiTheme="minorHAnsi" w:cstheme="minorHAnsi"/>
          <w:b w:val="0"/>
          <w:bCs/>
          <w:iCs/>
          <w:sz w:val="24"/>
          <w:szCs w:val="24"/>
        </w:rPr>
        <w:t xml:space="preserve"> </w:t>
      </w:r>
    </w:p>
    <w:p w14:paraId="69F5F342" w14:textId="77777777" w:rsidR="009E0E39" w:rsidRPr="009E0E39" w:rsidRDefault="009E0E39" w:rsidP="009E0E39">
      <w:pPr>
        <w:pStyle w:val="BodyText"/>
        <w:rPr>
          <w:lang w:val="en-AU"/>
        </w:rPr>
      </w:pPr>
    </w:p>
    <w:p w14:paraId="26C6BA97" w14:textId="77777777" w:rsidR="002937C8" w:rsidRPr="00182E58" w:rsidRDefault="00AB1E97" w:rsidP="00897833">
      <w:pPr>
        <w:pStyle w:val="BodyText"/>
        <w:rPr>
          <w:lang w:val="en-AU"/>
        </w:rPr>
      </w:pPr>
      <w:r w:rsidRPr="00182E58">
        <w:rPr>
          <w:noProof/>
          <w:sz w:val="56"/>
          <w:lang w:val="en-GB" w:eastAsia="en-GB"/>
        </w:rPr>
        <mc:AlternateContent>
          <mc:Choice Requires="wps">
            <w:drawing>
              <wp:anchor distT="0" distB="0" distL="114300" distR="114300" simplePos="0" relativeHeight="251664384" behindDoc="0" locked="0" layoutInCell="1" allowOverlap="1" wp14:anchorId="7B47AAE3" wp14:editId="0773BA62">
                <wp:simplePos x="0" y="0"/>
                <wp:positionH relativeFrom="page">
                  <wp:posOffset>533400</wp:posOffset>
                </wp:positionH>
                <wp:positionV relativeFrom="page">
                  <wp:posOffset>9420225</wp:posOffset>
                </wp:positionV>
                <wp:extent cx="1296000" cy="1052423"/>
                <wp:effectExtent l="0" t="0" r="0" b="14605"/>
                <wp:wrapNone/>
                <wp:docPr id="6" name="Text Box 6"/>
                <wp:cNvGraphicFramePr/>
                <a:graphic xmlns:a="http://schemas.openxmlformats.org/drawingml/2006/main">
                  <a:graphicData uri="http://schemas.microsoft.com/office/word/2010/wordprocessingShape">
                    <wps:wsp>
                      <wps:cNvSpPr txBox="1"/>
                      <wps:spPr>
                        <a:xfrm>
                          <a:off x="0" y="0"/>
                          <a:ext cx="1296000" cy="1052423"/>
                        </a:xfrm>
                        <a:prstGeom prst="rect">
                          <a:avLst/>
                        </a:prstGeom>
                        <a:noFill/>
                        <a:ln w="6350">
                          <a:noFill/>
                        </a:ln>
                      </wps:spPr>
                      <wps:txbx>
                        <w:txbxContent>
                          <w:p w14:paraId="5F890BDE" w14:textId="7B8B2993" w:rsidR="009D31EF" w:rsidRDefault="002860EB" w:rsidP="00AB1E97">
                            <w:pPr>
                              <w:pStyle w:val="TitleDate"/>
                              <w:rPr>
                                <w:rFonts w:ascii="VAG Rounded" w:hAnsi="VAG Rounded"/>
                                <w:lang w:val="en-US"/>
                              </w:rPr>
                            </w:pPr>
                            <w:r>
                              <w:rPr>
                                <w:rFonts w:ascii="VAG Rounded" w:hAnsi="VAG Rounded"/>
                                <w:lang w:val="en-US"/>
                              </w:rPr>
                              <w:t>June</w:t>
                            </w:r>
                          </w:p>
                          <w:p w14:paraId="27992941" w14:textId="77777777" w:rsidR="009D31EF" w:rsidRPr="000A3A30" w:rsidRDefault="009D31EF" w:rsidP="00AB1E97">
                            <w:pPr>
                              <w:pStyle w:val="TitleDate"/>
                              <w:rPr>
                                <w:rFonts w:ascii="VAG Rounded" w:hAnsi="VAG Rounded"/>
                                <w:lang w:val="en-US"/>
                              </w:rPr>
                            </w:pPr>
                            <w:r>
                              <w:rPr>
                                <w:rFonts w:ascii="VAG Rounded" w:hAnsi="VAG Rounded"/>
                                <w:lang w:val="en-US"/>
                              </w:rPr>
                              <w:t>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7AAE3" id="_x0000_t202" coordsize="21600,21600" o:spt="202" path="m,l,21600r21600,l21600,xe">
                <v:stroke joinstyle="miter"/>
                <v:path gradientshapeok="t" o:connecttype="rect"/>
              </v:shapetype>
              <v:shape id="Text Box 6" o:spid="_x0000_s1026" type="#_x0000_t202" style="position:absolute;margin-left:42pt;margin-top:741.75pt;width:102.05pt;height:82.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" filled="f" stroked="f" strokeweight=".5pt">
                <v:textbox inset="0,0,0,0">
                  <w:txbxContent>
                    <w:p w14:paraId="5F890BDE" w14:textId="7B8B2993" w:rsidR="009D31EF" w:rsidRDefault="002860EB" w:rsidP="00AB1E97">
                      <w:pPr>
                        <w:pStyle w:val="TitleDate"/>
                        <w:rPr>
                          <w:rFonts w:ascii="VAG Rounded" w:hAnsi="VAG Rounded"/>
                          <w:lang w:val="en-US"/>
                        </w:rPr>
                      </w:pPr>
                      <w:r>
                        <w:rPr>
                          <w:rFonts w:ascii="VAG Rounded" w:hAnsi="VAG Rounded"/>
                          <w:lang w:val="en-US"/>
                        </w:rPr>
                        <w:t>June</w:t>
                      </w:r>
                    </w:p>
                    <w:p w14:paraId="27992941" w14:textId="77777777" w:rsidR="009D31EF" w:rsidRPr="000A3A30" w:rsidRDefault="009D31EF" w:rsidP="00AB1E97">
                      <w:pPr>
                        <w:pStyle w:val="TitleDate"/>
                        <w:rPr>
                          <w:rFonts w:ascii="VAG Rounded" w:hAnsi="VAG Rounded"/>
                          <w:lang w:val="en-US"/>
                        </w:rPr>
                      </w:pPr>
                      <w:r>
                        <w:rPr>
                          <w:rFonts w:ascii="VAG Rounded" w:hAnsi="VAG Rounded"/>
                          <w:lang w:val="en-US"/>
                        </w:rPr>
                        <w:t>2023</w:t>
                      </w:r>
                    </w:p>
                  </w:txbxContent>
                </v:textbox>
                <w10:wrap anchorx="page" anchory="page"/>
              </v:shape>
            </w:pict>
          </mc:Fallback>
        </mc:AlternateContent>
      </w:r>
    </w:p>
    <w:p w14:paraId="30F1038E" w14:textId="77777777" w:rsidR="002937C8" w:rsidRPr="00182E58" w:rsidRDefault="002937C8" w:rsidP="00897833">
      <w:pPr>
        <w:pStyle w:val="BodyText"/>
        <w:rPr>
          <w:lang w:val="en-AU"/>
        </w:rPr>
        <w:sectPr w:rsidR="002937C8" w:rsidRPr="00182E58" w:rsidSect="007D215F">
          <w:headerReference w:type="even" r:id="rId11"/>
          <w:headerReference w:type="default" r:id="rId12"/>
          <w:footerReference w:type="even" r:id="rId13"/>
          <w:footerReference w:type="default" r:id="rId14"/>
          <w:headerReference w:type="first" r:id="rId15"/>
          <w:footerReference w:type="first" r:id="rId16"/>
          <w:pgSz w:w="11906" w:h="16838" w:code="9"/>
          <w:pgMar w:top="8222" w:right="1134" w:bottom="1928" w:left="3686" w:header="284" w:footer="510" w:gutter="0"/>
          <w:cols w:space="708"/>
          <w:docGrid w:linePitch="360"/>
        </w:sectPr>
      </w:pPr>
    </w:p>
    <w:p w14:paraId="29222A1E" w14:textId="77777777" w:rsidR="001818A8" w:rsidRPr="00182E58" w:rsidRDefault="001818A8" w:rsidP="000F781C">
      <w:pPr>
        <w:pStyle w:val="Heading2notincontents"/>
        <w:spacing w:line="240" w:lineRule="auto"/>
      </w:pPr>
      <w:bookmarkStart w:id="0" w:name="_Toc511064385"/>
      <w:r w:rsidRPr="00182E58">
        <w:lastRenderedPageBreak/>
        <w:t>Copyright information</w:t>
      </w:r>
    </w:p>
    <w:p w14:paraId="2C0632F0" w14:textId="69402531" w:rsidR="00A74936" w:rsidRPr="00A74936" w:rsidRDefault="00A74936" w:rsidP="00A74936">
      <w:pPr>
        <w:pStyle w:val="BodyText"/>
        <w:rPr>
          <w:i/>
          <w:iCs/>
        </w:rPr>
      </w:pPr>
      <w:r w:rsidRPr="00A74936">
        <w:rPr>
          <w:i/>
          <w:iCs/>
        </w:rPr>
        <w:t xml:space="preserve">A Human Rights Act </w:t>
      </w:r>
      <w:r w:rsidR="008B723B">
        <w:rPr>
          <w:i/>
          <w:iCs/>
        </w:rPr>
        <w:t>f</w:t>
      </w:r>
      <w:r w:rsidRPr="00A74936">
        <w:rPr>
          <w:i/>
          <w:iCs/>
        </w:rPr>
        <w:t xml:space="preserve">or All: </w:t>
      </w:r>
      <w:r w:rsidR="006B7354">
        <w:rPr>
          <w:i/>
          <w:iCs/>
        </w:rPr>
        <w:t>S</w:t>
      </w:r>
      <w:r w:rsidRPr="00A74936">
        <w:rPr>
          <w:i/>
          <w:iCs/>
        </w:rPr>
        <w:t xml:space="preserve">ubmission to the Parliamentary Joint Committee on Human Rights' Inquiry into Australia's Human Rights Framework </w:t>
      </w:r>
    </w:p>
    <w:p w14:paraId="59255257" w14:textId="0C935510" w:rsidR="001818A8" w:rsidRPr="00182E58" w:rsidRDefault="00AB1E97" w:rsidP="00897833">
      <w:pPr>
        <w:pStyle w:val="BodyText"/>
        <w:rPr>
          <w:lang w:val="en-AU"/>
        </w:rPr>
      </w:pPr>
      <w:r w:rsidRPr="00182E58">
        <w:rPr>
          <w:lang w:val="en-AU"/>
        </w:rPr>
        <w:t>First published in 2023 by People with Disability Australia Ltd.</w:t>
      </w:r>
      <w:r w:rsidR="00232893" w:rsidRPr="00182E58">
        <w:rPr>
          <w:lang w:val="en-AU"/>
        </w:rPr>
        <w:br/>
      </w:r>
      <w:r w:rsidR="001818A8" w:rsidRPr="00182E58">
        <w:rPr>
          <w:lang w:val="en-AU"/>
        </w:rPr>
        <w:t>Level 8, 418a Elizabeth Street, Surry Hills, Sydney, New South Wales, Australia 2010</w:t>
      </w:r>
      <w:r w:rsidR="00232893" w:rsidRPr="00182E58">
        <w:rPr>
          <w:lang w:val="en-AU"/>
        </w:rPr>
        <w:br/>
      </w:r>
      <w:r w:rsidR="001818A8" w:rsidRPr="00182E58">
        <w:rPr>
          <w:lang w:val="en-AU"/>
        </w:rPr>
        <w:t xml:space="preserve">Email: </w:t>
      </w:r>
      <w:hyperlink r:id="rId17" w:tooltip="PWDA email address" w:history="1">
        <w:r w:rsidR="001818A8" w:rsidRPr="00182E58">
          <w:rPr>
            <w:rStyle w:val="Hyperlink"/>
            <w:lang w:val="en-AU"/>
          </w:rPr>
          <w:t>pwda@pwd.org.au</w:t>
        </w:r>
      </w:hyperlink>
      <w:r w:rsidR="00232893" w:rsidRPr="00182E58">
        <w:rPr>
          <w:rStyle w:val="Hyperlink"/>
          <w:lang w:val="en-AU"/>
        </w:rPr>
        <w:br/>
      </w:r>
      <w:r w:rsidR="001818A8" w:rsidRPr="00182E58">
        <w:rPr>
          <w:lang w:val="en-AU"/>
        </w:rPr>
        <w:t>Phone: +61 2 9370 3100 Fax: +61 2 9318 1372</w:t>
      </w:r>
      <w:r w:rsidR="00232893" w:rsidRPr="00182E58">
        <w:rPr>
          <w:lang w:val="en-AU"/>
        </w:rPr>
        <w:br/>
      </w:r>
      <w:r w:rsidR="001818A8" w:rsidRPr="00182E58">
        <w:rPr>
          <w:lang w:val="en-AU"/>
        </w:rPr>
        <w:t xml:space="preserve">URL: </w:t>
      </w:r>
      <w:hyperlink r:id="rId18" w:tooltip="PWDA home page" w:history="1">
        <w:r w:rsidR="001818A8" w:rsidRPr="00182E58">
          <w:rPr>
            <w:rStyle w:val="Hyperlink"/>
            <w:lang w:val="en-AU"/>
          </w:rPr>
          <w:t>www.pwd.org.au</w:t>
        </w:r>
      </w:hyperlink>
    </w:p>
    <w:p w14:paraId="04178B36" w14:textId="77777777" w:rsidR="00AB1E97" w:rsidRPr="00182E58" w:rsidRDefault="00AB1E97" w:rsidP="00AB1E97">
      <w:pPr>
        <w:pStyle w:val="BodyText"/>
        <w:rPr>
          <w:lang w:val="en-AU"/>
        </w:rPr>
      </w:pPr>
      <w:r w:rsidRPr="00182E58">
        <w:rPr>
          <w:lang w:val="en-AU"/>
        </w:rPr>
        <w:t>© People with Disability Australia Ltd. 2023</w:t>
      </w:r>
    </w:p>
    <w:p w14:paraId="164452CA" w14:textId="77777777" w:rsidR="00AB1E97" w:rsidRPr="00182E58" w:rsidRDefault="00AB1E97" w:rsidP="00AB1E97">
      <w:pPr>
        <w:pStyle w:val="BodyText"/>
        <w:rPr>
          <w:lang w:val="en-AU"/>
        </w:rPr>
      </w:pPr>
      <w:r w:rsidRPr="00182E58">
        <w:rPr>
          <w:lang w:val="en-AU"/>
        </w:rPr>
        <w:t>The moral rights of the authors have been asserted</w:t>
      </w:r>
    </w:p>
    <w:p w14:paraId="5628BD63" w14:textId="77777777" w:rsidR="00AB1E97" w:rsidRPr="00182E58" w:rsidRDefault="00AB1E97" w:rsidP="00AB1E97">
      <w:pPr>
        <w:pStyle w:val="BodyText"/>
        <w:rPr>
          <w:lang w:val="en-AU"/>
        </w:rPr>
      </w:pPr>
      <w:r w:rsidRPr="00182E58">
        <w:rPr>
          <w:lang w:val="en-AU"/>
        </w:rPr>
        <w:t>National Library of Australia Cataloguing-in-Publication data: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AB1E97" w:rsidRPr="00182E58" w14:paraId="57C60B18" w14:textId="77777777" w:rsidTr="00361209">
        <w:tc>
          <w:tcPr>
            <w:tcW w:w="1413" w:type="dxa"/>
          </w:tcPr>
          <w:p w14:paraId="73F66D08" w14:textId="77777777" w:rsidR="00AB1E97" w:rsidRPr="00182E58" w:rsidRDefault="00AB1E97" w:rsidP="00361209">
            <w:pPr>
              <w:pStyle w:val="BodyText"/>
              <w:spacing w:before="0" w:after="0" w:line="240" w:lineRule="auto"/>
              <w:rPr>
                <w:lang w:val="en-AU"/>
              </w:rPr>
            </w:pPr>
            <w:r w:rsidRPr="00182E58">
              <w:rPr>
                <w:lang w:val="en-AU"/>
              </w:rPr>
              <w:t>Creator(s):</w:t>
            </w:r>
          </w:p>
        </w:tc>
        <w:tc>
          <w:tcPr>
            <w:tcW w:w="8215" w:type="dxa"/>
          </w:tcPr>
          <w:p w14:paraId="4FC1C597" w14:textId="53615679" w:rsidR="00AB1E97" w:rsidRPr="00B60DBD" w:rsidRDefault="00505F46" w:rsidP="00F86011">
            <w:pPr>
              <w:pStyle w:val="BodyText"/>
              <w:spacing w:before="0" w:after="0" w:line="240" w:lineRule="auto"/>
              <w:rPr>
                <w:lang w:val="en-AU"/>
              </w:rPr>
            </w:pPr>
            <w:r>
              <w:rPr>
                <w:lang w:val="en-AU"/>
              </w:rPr>
              <w:t xml:space="preserve">People with Disability Australia </w:t>
            </w:r>
            <w:r w:rsidR="00F86011" w:rsidRPr="00B60DBD">
              <w:rPr>
                <w:lang w:val="en-AU"/>
              </w:rPr>
              <w:t xml:space="preserve"> </w:t>
            </w:r>
          </w:p>
        </w:tc>
      </w:tr>
      <w:tr w:rsidR="00AB1E97" w:rsidRPr="00182E58" w14:paraId="27820475" w14:textId="77777777" w:rsidTr="00361209">
        <w:tc>
          <w:tcPr>
            <w:tcW w:w="1413" w:type="dxa"/>
          </w:tcPr>
          <w:p w14:paraId="63A47E5E" w14:textId="77777777" w:rsidR="00AB1E97" w:rsidRPr="00182E58" w:rsidRDefault="00AB1E97" w:rsidP="00AB1E97">
            <w:pPr>
              <w:pStyle w:val="BodyText"/>
              <w:rPr>
                <w:lang w:val="en-AU"/>
              </w:rPr>
            </w:pPr>
            <w:r w:rsidRPr="00182E58">
              <w:rPr>
                <w:lang w:val="en-AU"/>
              </w:rPr>
              <w:t>Title:</w:t>
            </w:r>
          </w:p>
        </w:tc>
        <w:tc>
          <w:tcPr>
            <w:tcW w:w="8215" w:type="dxa"/>
          </w:tcPr>
          <w:p w14:paraId="3890D682" w14:textId="38F002E7" w:rsidR="00AB1E97" w:rsidRPr="00A74936" w:rsidRDefault="00A74936" w:rsidP="00066103">
            <w:pPr>
              <w:pStyle w:val="BodyText"/>
            </w:pPr>
            <w:r w:rsidRPr="00A74936">
              <w:t xml:space="preserve">A Human Rights Act For All: </w:t>
            </w:r>
            <w:r w:rsidR="006B7354">
              <w:t>S</w:t>
            </w:r>
            <w:r w:rsidRPr="00A74936">
              <w:t xml:space="preserve">ubmission to the Parliamentary Joint Committee on Human Rights' Inquiry into Australia's Human Rights Framework </w:t>
            </w:r>
          </w:p>
        </w:tc>
      </w:tr>
    </w:tbl>
    <w:p w14:paraId="41F1BE11" w14:textId="77777777" w:rsidR="00AB1E97" w:rsidRPr="00182E58" w:rsidRDefault="00AB1E97" w:rsidP="00AB1E97">
      <w:pPr>
        <w:pStyle w:val="BodyText"/>
        <w:rPr>
          <w:lang w:val="en-AU"/>
        </w:rPr>
      </w:pPr>
      <w:r w:rsidRPr="00182E58">
        <w:rPr>
          <w:lang w:val="en-AU"/>
        </w:rPr>
        <w:t xml:space="preserve">All rights reserved. Except as permitted with the </w:t>
      </w:r>
      <w:hyperlink r:id="rId19" w:history="1">
        <w:r w:rsidRPr="00182E58">
          <w:rPr>
            <w:rStyle w:val="Hyperlink"/>
            <w:lang w:val="en-AU"/>
          </w:rPr>
          <w:t>Australian Copyright Act 1968</w:t>
        </w:r>
      </w:hyperlink>
      <w:r w:rsidRPr="00182E58">
        <w:rPr>
          <w:lang w:val="en-AU"/>
        </w:rPr>
        <w:t xml:space="preserve"> (for example, a fair dealing for the purposes of study, research, criticism or review), no part of this book may be reproduced, stored in a retrieval system, communication or transmitted in any form or by any means without prior written permission. All inquiries should be made to the publisher at the address above.</w:t>
      </w:r>
    </w:p>
    <w:p w14:paraId="7215698A" w14:textId="6175695D" w:rsidR="00AE4678" w:rsidRPr="001969E7" w:rsidRDefault="00943F72" w:rsidP="008B723B">
      <w:pPr>
        <w:pStyle w:val="BodyText"/>
        <w:rPr>
          <w:i/>
          <w:iCs/>
          <w:color w:val="auto"/>
        </w:rPr>
      </w:pPr>
      <w:r>
        <w:t>Suggested citation</w:t>
      </w:r>
      <w:r w:rsidR="009C0586">
        <w:t>:</w:t>
      </w:r>
      <w:r w:rsidR="009C0586" w:rsidRPr="00150422">
        <w:t xml:space="preserve"> </w:t>
      </w:r>
      <w:r w:rsidR="00522DA1">
        <w:t>People with Disability Australia,</w:t>
      </w:r>
      <w:r w:rsidR="008B723B">
        <w:t xml:space="preserve"> </w:t>
      </w:r>
      <w:r w:rsidR="008B723B" w:rsidRPr="00A74936">
        <w:rPr>
          <w:i/>
          <w:iCs/>
        </w:rPr>
        <w:t xml:space="preserve">A Human Rights Act </w:t>
      </w:r>
      <w:r w:rsidR="008B723B">
        <w:rPr>
          <w:i/>
          <w:iCs/>
        </w:rPr>
        <w:t>f</w:t>
      </w:r>
      <w:r w:rsidR="008B723B" w:rsidRPr="00A74936">
        <w:rPr>
          <w:i/>
          <w:iCs/>
        </w:rPr>
        <w:t xml:space="preserve">or All: </w:t>
      </w:r>
      <w:r w:rsidR="006B7354">
        <w:rPr>
          <w:i/>
          <w:iCs/>
        </w:rPr>
        <w:t>S</w:t>
      </w:r>
      <w:r w:rsidR="008B723B" w:rsidRPr="00A74936">
        <w:rPr>
          <w:i/>
          <w:iCs/>
        </w:rPr>
        <w:t>ubmission to the Parliamentary Joint Committee on Human Rights' Inquiry into Australia's Human Rights Framework</w:t>
      </w:r>
      <w:r w:rsidR="008B723B">
        <w:rPr>
          <w:i/>
          <w:iCs/>
        </w:rPr>
        <w:t xml:space="preserve">, </w:t>
      </w:r>
      <w:r w:rsidR="007F3065">
        <w:t>1</w:t>
      </w:r>
      <w:r w:rsidR="006B4ACB">
        <w:t>4</w:t>
      </w:r>
      <w:r w:rsidR="00C166C9" w:rsidRPr="00182E58">
        <w:t xml:space="preserve"> </w:t>
      </w:r>
      <w:r w:rsidR="00C166C9">
        <w:t>June</w:t>
      </w:r>
      <w:r w:rsidR="00C166C9" w:rsidRPr="00182E58">
        <w:t xml:space="preserve"> </w:t>
      </w:r>
      <w:r w:rsidR="00AE4678" w:rsidRPr="00182E58">
        <w:t>2023.</w:t>
      </w:r>
    </w:p>
    <w:p w14:paraId="2D4DA9B3" w14:textId="751E8DA7" w:rsidR="00512B24" w:rsidRPr="001969E7" w:rsidRDefault="001818A8" w:rsidP="001969E7">
      <w:pPr>
        <w:rPr>
          <w:rFonts w:eastAsiaTheme="minorEastAsia" w:cstheme="minorHAnsi"/>
          <w:b/>
        </w:rPr>
        <w:sectPr w:rsidR="00512B24" w:rsidRPr="001969E7" w:rsidSect="005C4D07">
          <w:headerReference w:type="default" r:id="rId20"/>
          <w:pgSz w:w="11906" w:h="16838" w:code="9"/>
          <w:pgMar w:top="1701" w:right="1134" w:bottom="1928" w:left="1134" w:header="284" w:footer="510" w:gutter="0"/>
          <w:pgNumType w:fmt="lowerRoman" w:chapStyle="1"/>
          <w:cols w:space="708"/>
          <w:docGrid w:linePitch="360"/>
        </w:sectPr>
      </w:pPr>
      <w:r w:rsidRPr="001969E7">
        <w:rPr>
          <w:rFonts w:cstheme="minorHAnsi"/>
        </w:rPr>
        <w:t>ISBN</w:t>
      </w:r>
      <w:r w:rsidR="008B723B" w:rsidRPr="001969E7">
        <w:rPr>
          <w:rFonts w:cstheme="minorHAnsi"/>
        </w:rPr>
        <w:t xml:space="preserve"> </w:t>
      </w:r>
      <w:bookmarkStart w:id="1" w:name="_Toc83717712"/>
      <w:bookmarkStart w:id="2" w:name="_Toc83718528"/>
      <w:r w:rsidR="001969E7" w:rsidRPr="001969E7">
        <w:rPr>
          <w:rFonts w:cstheme="minorHAnsi"/>
        </w:rPr>
        <w:fldChar w:fldCharType="begin"/>
      </w:r>
      <w:r w:rsidR="001969E7" w:rsidRPr="001969E7">
        <w:rPr>
          <w:rFonts w:cstheme="minorHAnsi"/>
        </w:rPr>
        <w:instrText>HYPERLINK "https://www.myidentifiers.com.au/title_registration?isbn=978-0-6457443-4-7&amp;icon_type=Pending"</w:instrText>
      </w:r>
      <w:r w:rsidR="001969E7" w:rsidRPr="001969E7">
        <w:rPr>
          <w:rFonts w:cstheme="minorHAnsi"/>
        </w:rPr>
      </w:r>
      <w:r w:rsidR="001969E7" w:rsidRPr="001969E7">
        <w:rPr>
          <w:rFonts w:cstheme="minorHAnsi"/>
        </w:rPr>
        <w:fldChar w:fldCharType="separate"/>
      </w:r>
      <w:r w:rsidR="001969E7" w:rsidRPr="001969E7">
        <w:rPr>
          <w:rStyle w:val="Hyperlink"/>
          <w:rFonts w:cstheme="minorHAnsi"/>
          <w:color w:val="auto"/>
          <w:u w:val="none"/>
          <w:shd w:val="clear" w:color="auto" w:fill="FFFFFF"/>
        </w:rPr>
        <w:t>978-0-6457443-4-7</w:t>
      </w:r>
      <w:r w:rsidR="001969E7" w:rsidRPr="001969E7">
        <w:rPr>
          <w:rFonts w:cstheme="minorHAnsi"/>
        </w:rPr>
        <w:fldChar w:fldCharType="end"/>
      </w:r>
    </w:p>
    <w:sdt>
      <w:sdtPr>
        <w:rPr>
          <w:rFonts w:asciiTheme="minorHAnsi" w:eastAsiaTheme="minorEastAsia" w:hAnsiTheme="minorHAnsi" w:cstheme="minorBidi"/>
          <w:b w:val="0"/>
          <w:bCs/>
          <w:noProof/>
          <w:color w:val="auto"/>
          <w:sz w:val="22"/>
          <w:szCs w:val="22"/>
          <w:lang w:val="en-AU"/>
        </w:rPr>
        <w:id w:val="430169873"/>
        <w:docPartObj>
          <w:docPartGallery w:val="Table of Contents"/>
          <w:docPartUnique/>
        </w:docPartObj>
      </w:sdtPr>
      <w:sdtEndPr>
        <w:rPr>
          <w:rFonts w:eastAsiaTheme="minorHAnsi"/>
          <w:b/>
          <w:sz w:val="24"/>
          <w:szCs w:val="24"/>
        </w:rPr>
      </w:sdtEndPr>
      <w:sdtContent>
        <w:p w14:paraId="177400DC" w14:textId="77777777" w:rsidR="001805F9" w:rsidRPr="00182E58" w:rsidRDefault="001805F9" w:rsidP="00FD47EE">
          <w:pPr>
            <w:pStyle w:val="TOCHeading"/>
            <w:spacing w:after="0" w:line="240" w:lineRule="auto"/>
            <w:rPr>
              <w:lang w:val="en-AU"/>
            </w:rPr>
          </w:pPr>
          <w:r w:rsidRPr="00182E58">
            <w:rPr>
              <w:lang w:val="en-AU"/>
            </w:rPr>
            <w:t>Contents</w:t>
          </w:r>
        </w:p>
        <w:p w14:paraId="793AF80E" w14:textId="77777777" w:rsidR="009E0E39" w:rsidRDefault="009E0E39" w:rsidP="002B0231">
          <w:pPr>
            <w:pStyle w:val="TOC1"/>
          </w:pPr>
        </w:p>
        <w:p w14:paraId="579D9437" w14:textId="68B5E7CA" w:rsidR="00AF23D4" w:rsidRDefault="001805F9">
          <w:pPr>
            <w:pStyle w:val="TOC1"/>
            <w:rPr>
              <w:rFonts w:eastAsiaTheme="minorEastAsia"/>
              <w:b w:val="0"/>
              <w:bCs w:val="0"/>
              <w:kern w:val="2"/>
              <w:sz w:val="22"/>
              <w:szCs w:val="22"/>
              <w:lang w:eastAsia="en-AU"/>
              <w14:ligatures w14:val="standardContextual"/>
            </w:rPr>
          </w:pPr>
          <w:r w:rsidRPr="00182E58">
            <w:fldChar w:fldCharType="begin"/>
          </w:r>
          <w:r w:rsidRPr="00182E58">
            <w:instrText xml:space="preserve"> TOC \h \z \u \t "Heading 2,1,Heading 3,2" </w:instrText>
          </w:r>
          <w:r w:rsidRPr="00182E58">
            <w:fldChar w:fldCharType="separate"/>
          </w:r>
          <w:hyperlink w:anchor="_Toc140247442" w:history="1">
            <w:r w:rsidR="00AF23D4" w:rsidRPr="00653509">
              <w:rPr>
                <w:rStyle w:val="Hyperlink"/>
              </w:rPr>
              <w:t>About PWDA</w:t>
            </w:r>
            <w:r w:rsidR="00AF23D4">
              <w:rPr>
                <w:webHidden/>
              </w:rPr>
              <w:tab/>
            </w:r>
            <w:r w:rsidR="00AF23D4">
              <w:rPr>
                <w:webHidden/>
              </w:rPr>
              <w:fldChar w:fldCharType="begin"/>
            </w:r>
            <w:r w:rsidR="00AF23D4">
              <w:rPr>
                <w:webHidden/>
              </w:rPr>
              <w:instrText xml:space="preserve"> PAGEREF _Toc140247442 \h </w:instrText>
            </w:r>
            <w:r w:rsidR="00AF23D4">
              <w:rPr>
                <w:webHidden/>
              </w:rPr>
            </w:r>
            <w:r w:rsidR="00AF23D4">
              <w:rPr>
                <w:webHidden/>
              </w:rPr>
              <w:fldChar w:fldCharType="separate"/>
            </w:r>
            <w:r w:rsidR="00962588">
              <w:rPr>
                <w:webHidden/>
              </w:rPr>
              <w:t>4</w:t>
            </w:r>
            <w:r w:rsidR="00AF23D4">
              <w:rPr>
                <w:webHidden/>
              </w:rPr>
              <w:fldChar w:fldCharType="end"/>
            </w:r>
          </w:hyperlink>
        </w:p>
        <w:p w14:paraId="534BEDCD" w14:textId="70EDBD38" w:rsidR="00AF23D4" w:rsidRDefault="00AF23D4">
          <w:pPr>
            <w:pStyle w:val="TOC1"/>
            <w:rPr>
              <w:rFonts w:eastAsiaTheme="minorEastAsia"/>
              <w:b w:val="0"/>
              <w:bCs w:val="0"/>
              <w:kern w:val="2"/>
              <w:sz w:val="22"/>
              <w:szCs w:val="22"/>
              <w:lang w:eastAsia="en-AU"/>
              <w14:ligatures w14:val="standardContextual"/>
            </w:rPr>
          </w:pPr>
          <w:hyperlink w:anchor="_Toc140247443" w:history="1">
            <w:r w:rsidRPr="00653509">
              <w:rPr>
                <w:rStyle w:val="Hyperlink"/>
              </w:rPr>
              <w:t>Introduction</w:t>
            </w:r>
            <w:r>
              <w:rPr>
                <w:webHidden/>
              </w:rPr>
              <w:tab/>
            </w:r>
            <w:r>
              <w:rPr>
                <w:webHidden/>
              </w:rPr>
              <w:fldChar w:fldCharType="begin"/>
            </w:r>
            <w:r>
              <w:rPr>
                <w:webHidden/>
              </w:rPr>
              <w:instrText xml:space="preserve"> PAGEREF _Toc140247443 \h </w:instrText>
            </w:r>
            <w:r>
              <w:rPr>
                <w:webHidden/>
              </w:rPr>
            </w:r>
            <w:r>
              <w:rPr>
                <w:webHidden/>
              </w:rPr>
              <w:fldChar w:fldCharType="separate"/>
            </w:r>
            <w:r w:rsidR="00962588">
              <w:rPr>
                <w:webHidden/>
              </w:rPr>
              <w:t>5</w:t>
            </w:r>
            <w:r>
              <w:rPr>
                <w:webHidden/>
              </w:rPr>
              <w:fldChar w:fldCharType="end"/>
            </w:r>
          </w:hyperlink>
        </w:p>
        <w:p w14:paraId="3B5F7484" w14:textId="4DBE4A8A" w:rsidR="00AF23D4" w:rsidRDefault="00AF23D4">
          <w:pPr>
            <w:pStyle w:val="TOC1"/>
            <w:rPr>
              <w:rFonts w:eastAsiaTheme="minorEastAsia"/>
              <w:b w:val="0"/>
              <w:bCs w:val="0"/>
              <w:kern w:val="2"/>
              <w:sz w:val="22"/>
              <w:szCs w:val="22"/>
              <w:lang w:eastAsia="en-AU"/>
              <w14:ligatures w14:val="standardContextual"/>
            </w:rPr>
          </w:pPr>
          <w:hyperlink w:anchor="_Toc140247445" w:history="1">
            <w:r w:rsidRPr="00653509">
              <w:rPr>
                <w:rStyle w:val="Hyperlink"/>
              </w:rPr>
              <w:t>Summary of recommendations</w:t>
            </w:r>
            <w:r>
              <w:rPr>
                <w:webHidden/>
              </w:rPr>
              <w:tab/>
            </w:r>
            <w:r>
              <w:rPr>
                <w:webHidden/>
              </w:rPr>
              <w:fldChar w:fldCharType="begin"/>
            </w:r>
            <w:r>
              <w:rPr>
                <w:webHidden/>
              </w:rPr>
              <w:instrText xml:space="preserve"> PAGEREF _Toc140247445 \h </w:instrText>
            </w:r>
            <w:r>
              <w:rPr>
                <w:webHidden/>
              </w:rPr>
            </w:r>
            <w:r>
              <w:rPr>
                <w:webHidden/>
              </w:rPr>
              <w:fldChar w:fldCharType="separate"/>
            </w:r>
            <w:r w:rsidR="00962588">
              <w:rPr>
                <w:webHidden/>
              </w:rPr>
              <w:t>7</w:t>
            </w:r>
            <w:r>
              <w:rPr>
                <w:webHidden/>
              </w:rPr>
              <w:fldChar w:fldCharType="end"/>
            </w:r>
          </w:hyperlink>
        </w:p>
        <w:p w14:paraId="5805C75D" w14:textId="2D464933" w:rsidR="00AF23D4" w:rsidRDefault="00AF23D4">
          <w:pPr>
            <w:pStyle w:val="TOC2"/>
            <w:tabs>
              <w:tab w:val="right" w:pos="9628"/>
            </w:tabs>
            <w:rPr>
              <w:rFonts w:eastAsiaTheme="minorEastAsia"/>
              <w:noProof/>
              <w:kern w:val="2"/>
              <w:sz w:val="22"/>
              <w:szCs w:val="22"/>
              <w:lang w:eastAsia="en-AU"/>
              <w14:ligatures w14:val="standardContextual"/>
            </w:rPr>
          </w:pPr>
          <w:hyperlink w:anchor="_Toc140247446" w:history="1">
            <w:r w:rsidRPr="00653509">
              <w:rPr>
                <w:rStyle w:val="Hyperlink"/>
                <w:noProof/>
              </w:rPr>
              <w:t>Key recommendation</w:t>
            </w:r>
            <w:r>
              <w:rPr>
                <w:noProof/>
                <w:webHidden/>
              </w:rPr>
              <w:tab/>
            </w:r>
            <w:r>
              <w:rPr>
                <w:noProof/>
                <w:webHidden/>
              </w:rPr>
              <w:fldChar w:fldCharType="begin"/>
            </w:r>
            <w:r>
              <w:rPr>
                <w:noProof/>
                <w:webHidden/>
              </w:rPr>
              <w:instrText xml:space="preserve"> PAGEREF _Toc140247446 \h </w:instrText>
            </w:r>
            <w:r>
              <w:rPr>
                <w:noProof/>
                <w:webHidden/>
              </w:rPr>
            </w:r>
            <w:r>
              <w:rPr>
                <w:noProof/>
                <w:webHidden/>
              </w:rPr>
              <w:fldChar w:fldCharType="separate"/>
            </w:r>
            <w:r w:rsidR="00962588">
              <w:rPr>
                <w:noProof/>
                <w:webHidden/>
              </w:rPr>
              <w:t>7</w:t>
            </w:r>
            <w:r>
              <w:rPr>
                <w:noProof/>
                <w:webHidden/>
              </w:rPr>
              <w:fldChar w:fldCharType="end"/>
            </w:r>
          </w:hyperlink>
        </w:p>
        <w:p w14:paraId="70BE2BB3" w14:textId="61A5D238" w:rsidR="00AF23D4" w:rsidRDefault="00AF23D4">
          <w:pPr>
            <w:pStyle w:val="TOC2"/>
            <w:tabs>
              <w:tab w:val="right" w:pos="9628"/>
            </w:tabs>
            <w:rPr>
              <w:rFonts w:eastAsiaTheme="minorEastAsia"/>
              <w:noProof/>
              <w:kern w:val="2"/>
              <w:sz w:val="22"/>
              <w:szCs w:val="22"/>
              <w:lang w:eastAsia="en-AU"/>
              <w14:ligatures w14:val="standardContextual"/>
            </w:rPr>
          </w:pPr>
          <w:hyperlink w:anchor="_Toc140247447" w:history="1">
            <w:r w:rsidRPr="00653509">
              <w:rPr>
                <w:rStyle w:val="Hyperlink"/>
                <w:noProof/>
              </w:rPr>
              <w:t>Supporting recommendations</w:t>
            </w:r>
            <w:r>
              <w:rPr>
                <w:noProof/>
                <w:webHidden/>
              </w:rPr>
              <w:tab/>
            </w:r>
            <w:r>
              <w:rPr>
                <w:noProof/>
                <w:webHidden/>
              </w:rPr>
              <w:fldChar w:fldCharType="begin"/>
            </w:r>
            <w:r>
              <w:rPr>
                <w:noProof/>
                <w:webHidden/>
              </w:rPr>
              <w:instrText xml:space="preserve"> PAGEREF _Toc140247447 \h </w:instrText>
            </w:r>
            <w:r>
              <w:rPr>
                <w:noProof/>
                <w:webHidden/>
              </w:rPr>
            </w:r>
            <w:r>
              <w:rPr>
                <w:noProof/>
                <w:webHidden/>
              </w:rPr>
              <w:fldChar w:fldCharType="separate"/>
            </w:r>
            <w:r w:rsidR="00962588">
              <w:rPr>
                <w:noProof/>
                <w:webHidden/>
              </w:rPr>
              <w:t>7</w:t>
            </w:r>
            <w:r>
              <w:rPr>
                <w:noProof/>
                <w:webHidden/>
              </w:rPr>
              <w:fldChar w:fldCharType="end"/>
            </w:r>
          </w:hyperlink>
        </w:p>
        <w:p w14:paraId="4A9F67F7" w14:textId="5ED0BE05" w:rsidR="00AF23D4" w:rsidRDefault="00AF23D4">
          <w:pPr>
            <w:pStyle w:val="TOC1"/>
            <w:rPr>
              <w:rFonts w:eastAsiaTheme="minorEastAsia"/>
              <w:b w:val="0"/>
              <w:bCs w:val="0"/>
              <w:kern w:val="2"/>
              <w:sz w:val="22"/>
              <w:szCs w:val="22"/>
              <w:lang w:eastAsia="en-AU"/>
              <w14:ligatures w14:val="standardContextual"/>
            </w:rPr>
          </w:pPr>
          <w:hyperlink w:anchor="_Toc140247448" w:history="1">
            <w:r w:rsidRPr="00653509">
              <w:rPr>
                <w:rStyle w:val="Hyperlink"/>
              </w:rPr>
              <w:t>Inadequacy of current protections</w:t>
            </w:r>
            <w:r>
              <w:rPr>
                <w:webHidden/>
              </w:rPr>
              <w:tab/>
            </w:r>
            <w:r>
              <w:rPr>
                <w:webHidden/>
              </w:rPr>
              <w:fldChar w:fldCharType="begin"/>
            </w:r>
            <w:r>
              <w:rPr>
                <w:webHidden/>
              </w:rPr>
              <w:instrText xml:space="preserve"> PAGEREF _Toc140247448 \h </w:instrText>
            </w:r>
            <w:r>
              <w:rPr>
                <w:webHidden/>
              </w:rPr>
            </w:r>
            <w:r>
              <w:rPr>
                <w:webHidden/>
              </w:rPr>
              <w:fldChar w:fldCharType="separate"/>
            </w:r>
            <w:r w:rsidR="00962588">
              <w:rPr>
                <w:webHidden/>
              </w:rPr>
              <w:t>8</w:t>
            </w:r>
            <w:r>
              <w:rPr>
                <w:webHidden/>
              </w:rPr>
              <w:fldChar w:fldCharType="end"/>
            </w:r>
          </w:hyperlink>
        </w:p>
        <w:p w14:paraId="606444F9" w14:textId="4647E710" w:rsidR="00AF23D4" w:rsidRDefault="00AF23D4">
          <w:pPr>
            <w:pStyle w:val="TOC1"/>
            <w:rPr>
              <w:rFonts w:eastAsiaTheme="minorEastAsia"/>
              <w:b w:val="0"/>
              <w:bCs w:val="0"/>
              <w:kern w:val="2"/>
              <w:sz w:val="22"/>
              <w:szCs w:val="22"/>
              <w:lang w:eastAsia="en-AU"/>
              <w14:ligatures w14:val="standardContextual"/>
            </w:rPr>
          </w:pPr>
          <w:hyperlink w:anchor="_Toc140247449" w:history="1">
            <w:r w:rsidRPr="00653509">
              <w:rPr>
                <w:rStyle w:val="Hyperlink"/>
              </w:rPr>
              <w:t>The positive impact of human rights legislation in realising human rights</w:t>
            </w:r>
            <w:r>
              <w:rPr>
                <w:webHidden/>
              </w:rPr>
              <w:tab/>
            </w:r>
            <w:r>
              <w:rPr>
                <w:webHidden/>
              </w:rPr>
              <w:fldChar w:fldCharType="begin"/>
            </w:r>
            <w:r>
              <w:rPr>
                <w:webHidden/>
              </w:rPr>
              <w:instrText xml:space="preserve"> PAGEREF _Toc140247449 \h </w:instrText>
            </w:r>
            <w:r>
              <w:rPr>
                <w:webHidden/>
              </w:rPr>
            </w:r>
            <w:r>
              <w:rPr>
                <w:webHidden/>
              </w:rPr>
              <w:fldChar w:fldCharType="separate"/>
            </w:r>
            <w:r w:rsidR="00962588">
              <w:rPr>
                <w:webHidden/>
              </w:rPr>
              <w:t>10</w:t>
            </w:r>
            <w:r>
              <w:rPr>
                <w:webHidden/>
              </w:rPr>
              <w:fldChar w:fldCharType="end"/>
            </w:r>
          </w:hyperlink>
        </w:p>
        <w:p w14:paraId="01B6E0EC" w14:textId="4F3A23A7" w:rsidR="00AF23D4" w:rsidRDefault="00AF23D4">
          <w:pPr>
            <w:pStyle w:val="TOC2"/>
            <w:tabs>
              <w:tab w:val="right" w:pos="9628"/>
            </w:tabs>
            <w:rPr>
              <w:rFonts w:eastAsiaTheme="minorEastAsia"/>
              <w:noProof/>
              <w:kern w:val="2"/>
              <w:sz w:val="22"/>
              <w:szCs w:val="22"/>
              <w:lang w:eastAsia="en-AU"/>
              <w14:ligatures w14:val="standardContextual"/>
            </w:rPr>
          </w:pPr>
          <w:hyperlink w:anchor="_Toc140247450" w:history="1">
            <w:r w:rsidRPr="00653509">
              <w:rPr>
                <w:rStyle w:val="Hyperlink"/>
                <w:noProof/>
              </w:rPr>
              <w:t>Law making and reform</w:t>
            </w:r>
            <w:r>
              <w:rPr>
                <w:noProof/>
                <w:webHidden/>
              </w:rPr>
              <w:tab/>
            </w:r>
            <w:r>
              <w:rPr>
                <w:noProof/>
                <w:webHidden/>
              </w:rPr>
              <w:fldChar w:fldCharType="begin"/>
            </w:r>
            <w:r>
              <w:rPr>
                <w:noProof/>
                <w:webHidden/>
              </w:rPr>
              <w:instrText xml:space="preserve"> PAGEREF _Toc140247450 \h </w:instrText>
            </w:r>
            <w:r>
              <w:rPr>
                <w:noProof/>
                <w:webHidden/>
              </w:rPr>
            </w:r>
            <w:r>
              <w:rPr>
                <w:noProof/>
                <w:webHidden/>
              </w:rPr>
              <w:fldChar w:fldCharType="separate"/>
            </w:r>
            <w:r w:rsidR="00962588">
              <w:rPr>
                <w:noProof/>
                <w:webHidden/>
              </w:rPr>
              <w:t>10</w:t>
            </w:r>
            <w:r>
              <w:rPr>
                <w:noProof/>
                <w:webHidden/>
              </w:rPr>
              <w:fldChar w:fldCharType="end"/>
            </w:r>
          </w:hyperlink>
        </w:p>
        <w:p w14:paraId="5FDF76C1" w14:textId="5306FA43" w:rsidR="00AF23D4" w:rsidRDefault="00AF23D4">
          <w:pPr>
            <w:pStyle w:val="TOC2"/>
            <w:tabs>
              <w:tab w:val="right" w:pos="9628"/>
            </w:tabs>
            <w:rPr>
              <w:rFonts w:eastAsiaTheme="minorEastAsia"/>
              <w:noProof/>
              <w:kern w:val="2"/>
              <w:sz w:val="22"/>
              <w:szCs w:val="22"/>
              <w:lang w:eastAsia="en-AU"/>
              <w14:ligatures w14:val="standardContextual"/>
            </w:rPr>
          </w:pPr>
          <w:hyperlink w:anchor="_Toc140247451" w:history="1">
            <w:r w:rsidRPr="00653509">
              <w:rPr>
                <w:rStyle w:val="Hyperlink"/>
                <w:noProof/>
              </w:rPr>
              <w:t>Tribunals and court cases</w:t>
            </w:r>
            <w:r>
              <w:rPr>
                <w:noProof/>
                <w:webHidden/>
              </w:rPr>
              <w:tab/>
            </w:r>
            <w:r>
              <w:rPr>
                <w:noProof/>
                <w:webHidden/>
              </w:rPr>
              <w:fldChar w:fldCharType="begin"/>
            </w:r>
            <w:r>
              <w:rPr>
                <w:noProof/>
                <w:webHidden/>
              </w:rPr>
              <w:instrText xml:space="preserve"> PAGEREF _Toc140247451 \h </w:instrText>
            </w:r>
            <w:r>
              <w:rPr>
                <w:noProof/>
                <w:webHidden/>
              </w:rPr>
            </w:r>
            <w:r>
              <w:rPr>
                <w:noProof/>
                <w:webHidden/>
              </w:rPr>
              <w:fldChar w:fldCharType="separate"/>
            </w:r>
            <w:r w:rsidR="00962588">
              <w:rPr>
                <w:noProof/>
                <w:webHidden/>
              </w:rPr>
              <w:t>12</w:t>
            </w:r>
            <w:r>
              <w:rPr>
                <w:noProof/>
                <w:webHidden/>
              </w:rPr>
              <w:fldChar w:fldCharType="end"/>
            </w:r>
          </w:hyperlink>
        </w:p>
        <w:p w14:paraId="1ADBACB9" w14:textId="36AD4459" w:rsidR="00AF23D4" w:rsidRDefault="00AF23D4">
          <w:pPr>
            <w:pStyle w:val="TOC2"/>
            <w:tabs>
              <w:tab w:val="right" w:pos="9628"/>
            </w:tabs>
            <w:rPr>
              <w:rFonts w:eastAsiaTheme="minorEastAsia"/>
              <w:noProof/>
              <w:kern w:val="2"/>
              <w:sz w:val="22"/>
              <w:szCs w:val="22"/>
              <w:lang w:eastAsia="en-AU"/>
              <w14:ligatures w14:val="standardContextual"/>
            </w:rPr>
          </w:pPr>
          <w:hyperlink w:anchor="_Toc140247452" w:history="1">
            <w:r w:rsidRPr="00653509">
              <w:rPr>
                <w:rStyle w:val="Hyperlink"/>
                <w:noProof/>
              </w:rPr>
              <w:t>Complaints and dispute resolution</w:t>
            </w:r>
            <w:r>
              <w:rPr>
                <w:noProof/>
                <w:webHidden/>
              </w:rPr>
              <w:tab/>
            </w:r>
            <w:r>
              <w:rPr>
                <w:noProof/>
                <w:webHidden/>
              </w:rPr>
              <w:fldChar w:fldCharType="begin"/>
            </w:r>
            <w:r>
              <w:rPr>
                <w:noProof/>
                <w:webHidden/>
              </w:rPr>
              <w:instrText xml:space="preserve"> PAGEREF _Toc140247452 \h </w:instrText>
            </w:r>
            <w:r>
              <w:rPr>
                <w:noProof/>
                <w:webHidden/>
              </w:rPr>
            </w:r>
            <w:r>
              <w:rPr>
                <w:noProof/>
                <w:webHidden/>
              </w:rPr>
              <w:fldChar w:fldCharType="separate"/>
            </w:r>
            <w:r w:rsidR="00962588">
              <w:rPr>
                <w:noProof/>
                <w:webHidden/>
              </w:rPr>
              <w:t>14</w:t>
            </w:r>
            <w:r>
              <w:rPr>
                <w:noProof/>
                <w:webHidden/>
              </w:rPr>
              <w:fldChar w:fldCharType="end"/>
            </w:r>
          </w:hyperlink>
        </w:p>
        <w:p w14:paraId="787E012E" w14:textId="6A0C93A4" w:rsidR="00AF23D4" w:rsidRDefault="00AF23D4">
          <w:pPr>
            <w:pStyle w:val="TOC1"/>
            <w:rPr>
              <w:rFonts w:eastAsiaTheme="minorEastAsia"/>
              <w:b w:val="0"/>
              <w:bCs w:val="0"/>
              <w:kern w:val="2"/>
              <w:sz w:val="22"/>
              <w:szCs w:val="22"/>
              <w:lang w:eastAsia="en-AU"/>
              <w14:ligatures w14:val="standardContextual"/>
            </w:rPr>
          </w:pPr>
          <w:hyperlink w:anchor="_Toc140247453" w:history="1">
            <w:r w:rsidRPr="00653509">
              <w:rPr>
                <w:rStyle w:val="Hyperlink"/>
              </w:rPr>
              <w:t>Scope of the human rights legislation</w:t>
            </w:r>
            <w:r>
              <w:rPr>
                <w:webHidden/>
              </w:rPr>
              <w:tab/>
            </w:r>
            <w:r>
              <w:rPr>
                <w:webHidden/>
              </w:rPr>
              <w:fldChar w:fldCharType="begin"/>
            </w:r>
            <w:r>
              <w:rPr>
                <w:webHidden/>
              </w:rPr>
              <w:instrText xml:space="preserve"> PAGEREF _Toc140247453 \h </w:instrText>
            </w:r>
            <w:r>
              <w:rPr>
                <w:webHidden/>
              </w:rPr>
            </w:r>
            <w:r>
              <w:rPr>
                <w:webHidden/>
              </w:rPr>
              <w:fldChar w:fldCharType="separate"/>
            </w:r>
            <w:r w:rsidR="00962588">
              <w:rPr>
                <w:webHidden/>
              </w:rPr>
              <w:t>16</w:t>
            </w:r>
            <w:r>
              <w:rPr>
                <w:webHidden/>
              </w:rPr>
              <w:fldChar w:fldCharType="end"/>
            </w:r>
          </w:hyperlink>
        </w:p>
        <w:p w14:paraId="150048F6" w14:textId="40B9CDFD" w:rsidR="00AF23D4" w:rsidRDefault="00AF23D4">
          <w:pPr>
            <w:pStyle w:val="TOC2"/>
            <w:tabs>
              <w:tab w:val="right" w:pos="9628"/>
            </w:tabs>
            <w:rPr>
              <w:rFonts w:eastAsiaTheme="minorEastAsia"/>
              <w:noProof/>
              <w:kern w:val="2"/>
              <w:sz w:val="22"/>
              <w:szCs w:val="22"/>
              <w:lang w:eastAsia="en-AU"/>
              <w14:ligatures w14:val="standardContextual"/>
            </w:rPr>
          </w:pPr>
          <w:hyperlink w:anchor="_Toc140247454" w:history="1">
            <w:r w:rsidRPr="00653509">
              <w:rPr>
                <w:rStyle w:val="Hyperlink"/>
                <w:noProof/>
              </w:rPr>
              <w:t>Why should the CRPD be expressly incorporated in national human rights legislation?</w:t>
            </w:r>
            <w:r>
              <w:rPr>
                <w:noProof/>
                <w:webHidden/>
              </w:rPr>
              <w:tab/>
            </w:r>
            <w:r>
              <w:rPr>
                <w:noProof/>
                <w:webHidden/>
              </w:rPr>
              <w:fldChar w:fldCharType="begin"/>
            </w:r>
            <w:r>
              <w:rPr>
                <w:noProof/>
                <w:webHidden/>
              </w:rPr>
              <w:instrText xml:space="preserve"> PAGEREF _Toc140247454 \h </w:instrText>
            </w:r>
            <w:r>
              <w:rPr>
                <w:noProof/>
                <w:webHidden/>
              </w:rPr>
            </w:r>
            <w:r>
              <w:rPr>
                <w:noProof/>
                <w:webHidden/>
              </w:rPr>
              <w:fldChar w:fldCharType="separate"/>
            </w:r>
            <w:r w:rsidR="00962588">
              <w:rPr>
                <w:noProof/>
                <w:webHidden/>
              </w:rPr>
              <w:t>16</w:t>
            </w:r>
            <w:r>
              <w:rPr>
                <w:noProof/>
                <w:webHidden/>
              </w:rPr>
              <w:fldChar w:fldCharType="end"/>
            </w:r>
          </w:hyperlink>
        </w:p>
        <w:p w14:paraId="46FBB399" w14:textId="782BD362" w:rsidR="00AF23D4" w:rsidRDefault="00AF23D4">
          <w:pPr>
            <w:pStyle w:val="TOC1"/>
            <w:rPr>
              <w:rFonts w:eastAsiaTheme="minorEastAsia"/>
              <w:b w:val="0"/>
              <w:bCs w:val="0"/>
              <w:kern w:val="2"/>
              <w:sz w:val="22"/>
              <w:szCs w:val="22"/>
              <w:lang w:eastAsia="en-AU"/>
              <w14:ligatures w14:val="standardContextual"/>
            </w:rPr>
          </w:pPr>
          <w:hyperlink w:anchor="_Toc140247455" w:history="1">
            <w:r w:rsidRPr="00653509">
              <w:rPr>
                <w:rStyle w:val="Hyperlink"/>
              </w:rPr>
              <w:t>Australian Human Rights Commission recommendations</w:t>
            </w:r>
            <w:r>
              <w:rPr>
                <w:webHidden/>
              </w:rPr>
              <w:tab/>
            </w:r>
            <w:r>
              <w:rPr>
                <w:webHidden/>
              </w:rPr>
              <w:fldChar w:fldCharType="begin"/>
            </w:r>
            <w:r>
              <w:rPr>
                <w:webHidden/>
              </w:rPr>
              <w:instrText xml:space="preserve"> PAGEREF _Toc140247455 \h </w:instrText>
            </w:r>
            <w:r>
              <w:rPr>
                <w:webHidden/>
              </w:rPr>
            </w:r>
            <w:r>
              <w:rPr>
                <w:webHidden/>
              </w:rPr>
              <w:fldChar w:fldCharType="separate"/>
            </w:r>
            <w:r w:rsidR="00962588">
              <w:rPr>
                <w:webHidden/>
              </w:rPr>
              <w:t>18</w:t>
            </w:r>
            <w:r>
              <w:rPr>
                <w:webHidden/>
              </w:rPr>
              <w:fldChar w:fldCharType="end"/>
            </w:r>
          </w:hyperlink>
        </w:p>
        <w:p w14:paraId="4125D132" w14:textId="307B4492" w:rsidR="00AF23D4" w:rsidRDefault="00AF23D4">
          <w:pPr>
            <w:pStyle w:val="TOC2"/>
            <w:tabs>
              <w:tab w:val="right" w:pos="9628"/>
            </w:tabs>
            <w:rPr>
              <w:rFonts w:eastAsiaTheme="minorEastAsia"/>
              <w:noProof/>
              <w:kern w:val="2"/>
              <w:sz w:val="22"/>
              <w:szCs w:val="22"/>
              <w:lang w:eastAsia="en-AU"/>
              <w14:ligatures w14:val="standardContextual"/>
            </w:rPr>
          </w:pPr>
          <w:hyperlink w:anchor="_Toc140247456" w:history="1">
            <w:r w:rsidRPr="00653509">
              <w:rPr>
                <w:rStyle w:val="Hyperlink"/>
                <w:noProof/>
              </w:rPr>
              <w:t>Further recommendations</w:t>
            </w:r>
            <w:r>
              <w:rPr>
                <w:noProof/>
                <w:webHidden/>
              </w:rPr>
              <w:tab/>
            </w:r>
            <w:r>
              <w:rPr>
                <w:noProof/>
                <w:webHidden/>
              </w:rPr>
              <w:fldChar w:fldCharType="begin"/>
            </w:r>
            <w:r>
              <w:rPr>
                <w:noProof/>
                <w:webHidden/>
              </w:rPr>
              <w:instrText xml:space="preserve"> PAGEREF _Toc140247456 \h </w:instrText>
            </w:r>
            <w:r>
              <w:rPr>
                <w:noProof/>
                <w:webHidden/>
              </w:rPr>
            </w:r>
            <w:r>
              <w:rPr>
                <w:noProof/>
                <w:webHidden/>
              </w:rPr>
              <w:fldChar w:fldCharType="separate"/>
            </w:r>
            <w:r w:rsidR="00962588">
              <w:rPr>
                <w:noProof/>
                <w:webHidden/>
              </w:rPr>
              <w:t>19</w:t>
            </w:r>
            <w:r>
              <w:rPr>
                <w:noProof/>
                <w:webHidden/>
              </w:rPr>
              <w:fldChar w:fldCharType="end"/>
            </w:r>
          </w:hyperlink>
        </w:p>
        <w:p w14:paraId="62D7321F" w14:textId="6920050B" w:rsidR="00AF23D4" w:rsidRDefault="00AF23D4">
          <w:pPr>
            <w:pStyle w:val="TOC1"/>
            <w:rPr>
              <w:rFonts w:eastAsiaTheme="minorEastAsia"/>
              <w:b w:val="0"/>
              <w:bCs w:val="0"/>
              <w:kern w:val="2"/>
              <w:sz w:val="22"/>
              <w:szCs w:val="22"/>
              <w:lang w:eastAsia="en-AU"/>
              <w14:ligatures w14:val="standardContextual"/>
            </w:rPr>
          </w:pPr>
          <w:hyperlink w:anchor="_Toc140247457" w:history="1">
            <w:r w:rsidRPr="00653509">
              <w:rPr>
                <w:rStyle w:val="Hyperlink"/>
              </w:rPr>
              <w:t>Conclusion</w:t>
            </w:r>
            <w:r>
              <w:rPr>
                <w:webHidden/>
              </w:rPr>
              <w:tab/>
            </w:r>
            <w:r>
              <w:rPr>
                <w:webHidden/>
              </w:rPr>
              <w:fldChar w:fldCharType="begin"/>
            </w:r>
            <w:r>
              <w:rPr>
                <w:webHidden/>
              </w:rPr>
              <w:instrText xml:space="preserve"> PAGEREF _Toc140247457 \h </w:instrText>
            </w:r>
            <w:r>
              <w:rPr>
                <w:webHidden/>
              </w:rPr>
            </w:r>
            <w:r>
              <w:rPr>
                <w:webHidden/>
              </w:rPr>
              <w:fldChar w:fldCharType="separate"/>
            </w:r>
            <w:r w:rsidR="00962588">
              <w:rPr>
                <w:webHidden/>
              </w:rPr>
              <w:t>20</w:t>
            </w:r>
            <w:r>
              <w:rPr>
                <w:webHidden/>
              </w:rPr>
              <w:fldChar w:fldCharType="end"/>
            </w:r>
          </w:hyperlink>
        </w:p>
        <w:p w14:paraId="74AAA99F" w14:textId="008D02FE" w:rsidR="00AF23D4" w:rsidRDefault="00AF23D4">
          <w:pPr>
            <w:pStyle w:val="TOC1"/>
            <w:rPr>
              <w:rFonts w:eastAsiaTheme="minorEastAsia"/>
              <w:b w:val="0"/>
              <w:bCs w:val="0"/>
              <w:kern w:val="2"/>
              <w:sz w:val="22"/>
              <w:szCs w:val="22"/>
              <w:lang w:eastAsia="en-AU"/>
              <w14:ligatures w14:val="standardContextual"/>
            </w:rPr>
          </w:pPr>
          <w:hyperlink w:anchor="_Toc140247458" w:history="1">
            <w:r>
              <w:rPr>
                <w:webHidden/>
              </w:rPr>
              <w:tab/>
            </w:r>
            <w:r>
              <w:rPr>
                <w:webHidden/>
              </w:rPr>
              <w:fldChar w:fldCharType="begin"/>
            </w:r>
            <w:r>
              <w:rPr>
                <w:webHidden/>
              </w:rPr>
              <w:instrText xml:space="preserve"> PAGEREF _Toc140247458 \h </w:instrText>
            </w:r>
            <w:r>
              <w:rPr>
                <w:webHidden/>
              </w:rPr>
            </w:r>
            <w:r>
              <w:rPr>
                <w:webHidden/>
              </w:rPr>
              <w:fldChar w:fldCharType="separate"/>
            </w:r>
            <w:r w:rsidR="00962588">
              <w:rPr>
                <w:webHidden/>
              </w:rPr>
              <w:t>21</w:t>
            </w:r>
            <w:r>
              <w:rPr>
                <w:webHidden/>
              </w:rPr>
              <w:fldChar w:fldCharType="end"/>
            </w:r>
          </w:hyperlink>
        </w:p>
        <w:p w14:paraId="598A8E28" w14:textId="523A3B36" w:rsidR="005C4D07" w:rsidRPr="00182E58" w:rsidRDefault="001805F9" w:rsidP="002B0231">
          <w:pPr>
            <w:pStyle w:val="TOC1"/>
            <w:sectPr w:rsidR="005C4D07" w:rsidRPr="00182E58" w:rsidSect="00512B24">
              <w:pgSz w:w="11906" w:h="16838" w:code="9"/>
              <w:pgMar w:top="1701" w:right="1134" w:bottom="1928" w:left="1134" w:header="284" w:footer="510" w:gutter="0"/>
              <w:pgNumType w:fmt="lowerRoman" w:chapStyle="1"/>
              <w:cols w:space="708"/>
              <w:docGrid w:linePitch="360"/>
            </w:sectPr>
          </w:pPr>
          <w:r w:rsidRPr="00182E58">
            <w:fldChar w:fldCharType="end"/>
          </w:r>
        </w:p>
      </w:sdtContent>
    </w:sdt>
    <w:p w14:paraId="337C6C80" w14:textId="77777777" w:rsidR="00FD4C17" w:rsidRPr="00182E58" w:rsidRDefault="00FD4C17" w:rsidP="008400F3">
      <w:pPr>
        <w:pStyle w:val="Heading2"/>
      </w:pPr>
      <w:bookmarkStart w:id="3" w:name="_Toc138853910"/>
      <w:bookmarkStart w:id="4" w:name="_Toc138865359"/>
      <w:bookmarkStart w:id="5" w:name="_Toc140247442"/>
      <w:r w:rsidRPr="00182E58">
        <w:lastRenderedPageBreak/>
        <w:t>About PWDA</w:t>
      </w:r>
      <w:bookmarkEnd w:id="0"/>
      <w:bookmarkEnd w:id="1"/>
      <w:bookmarkEnd w:id="2"/>
      <w:bookmarkEnd w:id="3"/>
      <w:bookmarkEnd w:id="4"/>
      <w:bookmarkEnd w:id="5"/>
    </w:p>
    <w:bookmarkStart w:id="6" w:name="_Hlk81918433"/>
    <w:p w14:paraId="475B276B" w14:textId="77777777" w:rsidR="005C4D07" w:rsidRPr="00182E58" w:rsidRDefault="005C4D07" w:rsidP="005C4D07">
      <w:pPr>
        <w:pStyle w:val="BodyText"/>
        <w:rPr>
          <w:lang w:val="en-AU"/>
        </w:rPr>
      </w:pPr>
      <w:r w:rsidRPr="00182E58">
        <w:rPr>
          <w:lang w:val="en-AU"/>
        </w:rPr>
        <w:fldChar w:fldCharType="begin"/>
      </w:r>
      <w:r w:rsidRPr="00182E58">
        <w:rPr>
          <w:lang w:val="en-AU"/>
        </w:rPr>
        <w:instrText xml:space="preserve"> HYPERLINK "https://pwd.org.au/" </w:instrText>
      </w:r>
      <w:r w:rsidRPr="00182E58">
        <w:rPr>
          <w:lang w:val="en-AU"/>
        </w:rPr>
      </w:r>
      <w:r w:rsidRPr="00182E58">
        <w:rPr>
          <w:lang w:val="en-AU"/>
        </w:rPr>
        <w:fldChar w:fldCharType="separate"/>
      </w:r>
      <w:r w:rsidRPr="00182E58">
        <w:rPr>
          <w:rStyle w:val="Hyperlink"/>
          <w:lang w:val="en-AU"/>
        </w:rPr>
        <w:t>People with Disability Australia</w:t>
      </w:r>
      <w:r w:rsidRPr="00182E58">
        <w:rPr>
          <w:lang w:val="en-AU"/>
        </w:rPr>
        <w:fldChar w:fldCharType="end"/>
      </w:r>
      <w:r w:rsidRPr="00182E58">
        <w:rPr>
          <w:lang w:val="en-AU"/>
        </w:rPr>
        <w:t> (PWDA) is a national disability rights and advocacy organisation made up of, and led by, people with disability.</w:t>
      </w:r>
    </w:p>
    <w:p w14:paraId="0F040133" w14:textId="77777777" w:rsidR="005C4D07" w:rsidRPr="00182E58" w:rsidRDefault="005C4D07" w:rsidP="005C4D07">
      <w:pPr>
        <w:pStyle w:val="BodyText"/>
        <w:rPr>
          <w:lang w:val="en-AU"/>
        </w:rPr>
      </w:pPr>
      <w:r w:rsidRPr="00182E58">
        <w:rPr>
          <w:lang w:val="en-AU"/>
        </w:rPr>
        <w:t>The disability representative organisation has a vision of a socially just, accessible and inclusive community in which the contribution, potential and diversity of people with disability are not only recognised and respected but also celebrated.</w:t>
      </w:r>
    </w:p>
    <w:p w14:paraId="27AEC663" w14:textId="77777777" w:rsidR="005C4D07" w:rsidRPr="00182E58" w:rsidRDefault="005C4D07" w:rsidP="005C4D07">
      <w:pPr>
        <w:rPr>
          <w:rFonts w:ascii="Arial" w:hAnsi="Arial" w:cs="Arial"/>
        </w:rPr>
      </w:pPr>
      <w:r w:rsidRPr="00182E58">
        <w:rPr>
          <w:rFonts w:ascii="Arial" w:hAnsi="Arial" w:cs="Arial"/>
        </w:rPr>
        <w:t xml:space="preserve">PWDA was established in 1981, during the </w:t>
      </w:r>
      <w:hyperlink r:id="rId21" w:history="1">
        <w:r w:rsidRPr="00182E58">
          <w:rPr>
            <w:rStyle w:val="Hyperlink"/>
            <w:rFonts w:ascii="Arial" w:hAnsi="Arial" w:cs="Arial"/>
          </w:rPr>
          <w:t>International Year of Disabled Persons</w:t>
        </w:r>
      </w:hyperlink>
      <w:r w:rsidRPr="00182E58">
        <w:rPr>
          <w:rFonts w:ascii="Arial" w:hAnsi="Arial" w:cs="Arial"/>
        </w:rPr>
        <w:t xml:space="preserve">. </w:t>
      </w:r>
      <w:r w:rsidRPr="00182E58">
        <w:rPr>
          <w:rFonts w:ascii="Arial" w:hAnsi="Arial" w:cs="Arial"/>
        </w:rPr>
        <w:br/>
        <w:t xml:space="preserve">It is a peak, non-profit, non-government organisation that represents the interests </w:t>
      </w:r>
      <w:r w:rsidRPr="00182E58">
        <w:rPr>
          <w:rFonts w:ascii="Arial" w:hAnsi="Arial" w:cs="Arial"/>
        </w:rPr>
        <w:br/>
        <w:t>of people with all kinds of disability.</w:t>
      </w:r>
    </w:p>
    <w:p w14:paraId="76FD9B07" w14:textId="6CBA589E" w:rsidR="005C4D07" w:rsidRPr="00182E58" w:rsidRDefault="005C4D07" w:rsidP="005C4D07">
      <w:pPr>
        <w:pStyle w:val="BodyText"/>
        <w:rPr>
          <w:lang w:val="en-AU"/>
        </w:rPr>
      </w:pPr>
      <w:r w:rsidRPr="00182E58">
        <w:rPr>
          <w:lang w:val="en-AU"/>
        </w:rPr>
        <w:t xml:space="preserve">The organisation of people with disability helps represent the Australian disability community at the </w:t>
      </w:r>
      <w:hyperlink r:id="rId22" w:history="1">
        <w:r w:rsidRPr="00182E58">
          <w:rPr>
            <w:rStyle w:val="Hyperlink"/>
            <w:lang w:val="en-AU"/>
          </w:rPr>
          <w:t>United Nations</w:t>
        </w:r>
      </w:hyperlink>
      <w:r w:rsidRPr="00182E58">
        <w:rPr>
          <w:lang w:val="en-AU"/>
        </w:rPr>
        <w:t xml:space="preserve">, particularly in relation to the international human rights outlined in the </w:t>
      </w:r>
      <w:hyperlink r:id="rId23" w:history="1">
        <w:r w:rsidRPr="00182E58">
          <w:rPr>
            <w:rStyle w:val="Hyperlink"/>
            <w:lang w:val="en-AU"/>
          </w:rPr>
          <w:t>Convention on the Rights of Persons with Disabilities</w:t>
        </w:r>
      </w:hyperlink>
      <w:r w:rsidRPr="00182E58">
        <w:rPr>
          <w:lang w:val="en-AU"/>
        </w:rPr>
        <w:t xml:space="preserve"> (CRPD).</w:t>
      </w:r>
    </w:p>
    <w:p w14:paraId="7A315E4A" w14:textId="77777777" w:rsidR="005C4D07" w:rsidRPr="00182E58" w:rsidRDefault="005C4D07" w:rsidP="005C4D07">
      <w:pPr>
        <w:pStyle w:val="BodyText"/>
        <w:rPr>
          <w:lang w:val="en-AU"/>
        </w:rPr>
      </w:pPr>
      <w:r w:rsidRPr="00182E58">
        <w:rPr>
          <w:lang w:val="en-AU"/>
        </w:rPr>
        <w:t>PWDA’s work is grounded in a human rights framework that recognises the CRPD and related mechanisms as fundamental tools for advancing the rights of people with disability.</w:t>
      </w:r>
    </w:p>
    <w:p w14:paraId="52FB3BBC" w14:textId="1F3D8D95" w:rsidR="005C4D07" w:rsidRPr="00182E58" w:rsidRDefault="005C4D07" w:rsidP="005C4D07">
      <w:pPr>
        <w:pStyle w:val="BodyText"/>
        <w:rPr>
          <w:lang w:val="en-AU"/>
        </w:rPr>
      </w:pPr>
      <w:r w:rsidRPr="00182E58">
        <w:rPr>
          <w:lang w:val="en-AU"/>
        </w:rPr>
        <w:t xml:space="preserve">The </w:t>
      </w:r>
      <w:r w:rsidR="00101AAE">
        <w:rPr>
          <w:lang w:val="en-AU"/>
        </w:rPr>
        <w:t>D</w:t>
      </w:r>
      <w:r w:rsidRPr="00182E58">
        <w:rPr>
          <w:lang w:val="en-AU"/>
        </w:rPr>
        <w:t xml:space="preserve">isabled </w:t>
      </w:r>
      <w:r w:rsidR="00101AAE">
        <w:rPr>
          <w:lang w:val="en-AU"/>
        </w:rPr>
        <w:t>P</w:t>
      </w:r>
      <w:r w:rsidRPr="00182E58">
        <w:rPr>
          <w:lang w:val="en-AU"/>
        </w:rPr>
        <w:t xml:space="preserve">eople’s </w:t>
      </w:r>
      <w:r w:rsidR="00101AAE">
        <w:rPr>
          <w:lang w:val="en-AU"/>
        </w:rPr>
        <w:t>O</w:t>
      </w:r>
      <w:r w:rsidRPr="00182E58">
        <w:rPr>
          <w:lang w:val="en-AU"/>
        </w:rPr>
        <w:t xml:space="preserve">rganisation (DPO) is a member of </w:t>
      </w:r>
      <w:hyperlink r:id="rId24" w:history="1">
        <w:r w:rsidRPr="00182E58">
          <w:rPr>
            <w:rStyle w:val="Hyperlink"/>
            <w:lang w:val="en-AU"/>
          </w:rPr>
          <w:t>Disabled People’s Organisations Australia</w:t>
        </w:r>
      </w:hyperlink>
      <w:r w:rsidRPr="00182E58">
        <w:rPr>
          <w:lang w:val="en-AU"/>
        </w:rPr>
        <w:t xml:space="preserve"> (DPO Australia), along with the </w:t>
      </w:r>
      <w:hyperlink r:id="rId25" w:history="1">
        <w:r w:rsidRPr="00182E58">
          <w:rPr>
            <w:rStyle w:val="Hyperlink"/>
            <w:lang w:val="en-AU"/>
          </w:rPr>
          <w:t>First People’s Disability Network</w:t>
        </w:r>
      </w:hyperlink>
      <w:r w:rsidRPr="00182E58">
        <w:rPr>
          <w:lang w:val="en-AU"/>
        </w:rPr>
        <w:t xml:space="preserve">, </w:t>
      </w:r>
      <w:hyperlink r:id="rId26" w:history="1">
        <w:r w:rsidRPr="00182E58">
          <w:rPr>
            <w:rStyle w:val="Hyperlink"/>
            <w:lang w:val="en-AU"/>
          </w:rPr>
          <w:t>National Ethnic Disability Alliance</w:t>
        </w:r>
      </w:hyperlink>
      <w:r w:rsidRPr="00182E58">
        <w:rPr>
          <w:lang w:val="en-AU"/>
        </w:rPr>
        <w:t xml:space="preserve"> and </w:t>
      </w:r>
      <w:hyperlink r:id="rId27" w:history="1">
        <w:r w:rsidRPr="00182E58">
          <w:rPr>
            <w:rStyle w:val="Hyperlink"/>
            <w:lang w:val="en-AU"/>
          </w:rPr>
          <w:t>Women with Disabilities Australia</w:t>
        </w:r>
      </w:hyperlink>
      <w:r w:rsidRPr="00182E58">
        <w:rPr>
          <w:lang w:val="en-AU"/>
        </w:rPr>
        <w:t>.</w:t>
      </w:r>
    </w:p>
    <w:p w14:paraId="0B2F8912" w14:textId="5D89E766" w:rsidR="005C4D07" w:rsidRPr="00182E58" w:rsidRDefault="005C4D07" w:rsidP="005C4D07">
      <w:pPr>
        <w:pStyle w:val="BodyText"/>
        <w:rPr>
          <w:lang w:val="en-AU"/>
        </w:rPr>
      </w:pPr>
      <w:r w:rsidRPr="00182E58">
        <w:rPr>
          <w:lang w:val="en-AU"/>
        </w:rPr>
        <w:t xml:space="preserve">As a DPO, PWDA collectively forms a disability rights movement that places people with disability at the centre of decision-making about all aspects of their lives. This in keeping </w:t>
      </w:r>
      <w:r w:rsidR="008D228B">
        <w:rPr>
          <w:lang w:val="en-AU"/>
        </w:rPr>
        <w:t xml:space="preserve">with </w:t>
      </w:r>
      <w:r w:rsidRPr="00182E58">
        <w:rPr>
          <w:lang w:val="en-AU"/>
        </w:rPr>
        <w:t xml:space="preserve">the human rights of people with disability to be involved with legislation, policies and other issues relating to them through representative organisations, and right to equal recognition before the law, under articles </w:t>
      </w:r>
      <w:hyperlink r:id="rId28" w:history="1">
        <w:r w:rsidRPr="00182E58">
          <w:rPr>
            <w:rStyle w:val="Hyperlink"/>
            <w:lang w:val="en-AU"/>
          </w:rPr>
          <w:t>4(3)</w:t>
        </w:r>
      </w:hyperlink>
      <w:r w:rsidRPr="00182E58">
        <w:rPr>
          <w:lang w:val="en-AU"/>
        </w:rPr>
        <w:t xml:space="preserve"> and </w:t>
      </w:r>
      <w:hyperlink r:id="rId29" w:history="1">
        <w:r w:rsidRPr="00182E58">
          <w:rPr>
            <w:rStyle w:val="Hyperlink"/>
            <w:lang w:val="en-AU"/>
          </w:rPr>
          <w:t>12</w:t>
        </w:r>
      </w:hyperlink>
      <w:r w:rsidRPr="00182E58">
        <w:rPr>
          <w:lang w:val="en-AU"/>
        </w:rPr>
        <w:t xml:space="preserve"> of the CRPD.</w:t>
      </w:r>
    </w:p>
    <w:p w14:paraId="39AA2EFD" w14:textId="5F898C2F" w:rsidR="001818A8" w:rsidRPr="00182E58" w:rsidRDefault="005C4D07" w:rsidP="005C4D07">
      <w:pPr>
        <w:pStyle w:val="BodyText"/>
        <w:rPr>
          <w:lang w:val="en-AU"/>
        </w:rPr>
      </w:pPr>
      <w:r w:rsidRPr="00182E58">
        <w:rPr>
          <w:lang w:val="en-AU"/>
        </w:rPr>
        <w:t xml:space="preserve">PWDA’s work also embraces the </w:t>
      </w:r>
      <w:hyperlink r:id="rId30" w:history="1">
        <w:r w:rsidRPr="00182E58">
          <w:rPr>
            <w:rStyle w:val="Hyperlink"/>
            <w:lang w:val="en-AU"/>
          </w:rPr>
          <w:t>Nothing About Us, Without Us</w:t>
        </w:r>
      </w:hyperlink>
      <w:r w:rsidRPr="00182E58">
        <w:rPr>
          <w:lang w:val="en-AU"/>
        </w:rPr>
        <w:t xml:space="preserve"> motto of members of the international disability community, prioritising inclusion and respect for people’s right to legal capacity.</w:t>
      </w:r>
      <w:bookmarkEnd w:id="6"/>
    </w:p>
    <w:p w14:paraId="50D96345" w14:textId="527AA304" w:rsidR="001818A8" w:rsidRPr="00182E58" w:rsidRDefault="005E7E71" w:rsidP="008400F3">
      <w:pPr>
        <w:pStyle w:val="Heading2"/>
      </w:pPr>
      <w:bookmarkStart w:id="7" w:name="_Toc83717713"/>
      <w:bookmarkStart w:id="8" w:name="_Toc83718529"/>
      <w:bookmarkStart w:id="9" w:name="_Toc138853911"/>
      <w:bookmarkStart w:id="10" w:name="_Toc140247443"/>
      <w:r w:rsidRPr="00182E58">
        <w:lastRenderedPageBreak/>
        <w:t>Introduction</w:t>
      </w:r>
      <w:bookmarkEnd w:id="7"/>
      <w:bookmarkEnd w:id="8"/>
      <w:bookmarkEnd w:id="9"/>
      <w:bookmarkEnd w:id="10"/>
    </w:p>
    <w:p w14:paraId="6BCFB6F6" w14:textId="77777777" w:rsidR="00E55A51" w:rsidRDefault="00306BAC" w:rsidP="00306BAC">
      <w:r w:rsidRPr="006F65D8">
        <w:t xml:space="preserve">PWDA welcomes the opportunity to comment on the </w:t>
      </w:r>
      <w:hyperlink r:id="rId31" w:history="1">
        <w:r w:rsidRPr="006F65D8">
          <w:rPr>
            <w:rStyle w:val="Hyperlink"/>
          </w:rPr>
          <w:t>Parliamentary Joint Committee on Human Rights’ Inquiry into Australia’s Human Rights Framework</w:t>
        </w:r>
      </w:hyperlink>
      <w:r w:rsidRPr="006F65D8">
        <w:t xml:space="preserve">. </w:t>
      </w:r>
    </w:p>
    <w:p w14:paraId="38A35200" w14:textId="2D5332C7" w:rsidR="00306BAC" w:rsidRPr="006F65D8" w:rsidRDefault="00306BAC" w:rsidP="00306BAC">
      <w:r w:rsidRPr="006F65D8">
        <w:t xml:space="preserve">Our key recommendation to the Inquiry is that Australia enacts a federal human rights act that upholds the rights of all Australians, including people with disability. </w:t>
      </w:r>
    </w:p>
    <w:p w14:paraId="6C8DAA48" w14:textId="77777777" w:rsidR="00306BAC" w:rsidRPr="006F65D8" w:rsidRDefault="00306BAC" w:rsidP="00306BAC">
      <w:r w:rsidRPr="006F65D8">
        <w:t xml:space="preserve">As a national peak disability rights and advocacy organisation, our submission will focus on implementing the </w:t>
      </w:r>
      <w:r w:rsidRPr="002E73C3">
        <w:rPr>
          <w:rStyle w:val="Emphasis"/>
        </w:rPr>
        <w:t>Convention on the Rights of Persons with Disabilities</w:t>
      </w:r>
      <w:r w:rsidRPr="006F65D8">
        <w:t xml:space="preserve"> (CRPD) through a national human rights act. </w:t>
      </w:r>
    </w:p>
    <w:p w14:paraId="11CA75A9" w14:textId="0E8243C7" w:rsidR="00306BAC" w:rsidRPr="006F65D8" w:rsidRDefault="00306BAC" w:rsidP="00306BAC">
      <w:r w:rsidRPr="006F65D8">
        <w:t xml:space="preserve">The CRPD sets a progressive agenda for disability rights. The creation of the CRPD marked a significant moment in history, as it </w:t>
      </w:r>
      <w:r>
        <w:t>globally recognised</w:t>
      </w:r>
      <w:r w:rsidRPr="006F65D8">
        <w:t xml:space="preserve"> people with disability as rights holders, rather than objects of charity and social welfare.</w:t>
      </w:r>
      <w:r w:rsidRPr="006F65D8">
        <w:rPr>
          <w:rStyle w:val="FootnoteReference"/>
        </w:rPr>
        <w:footnoteReference w:id="1"/>
      </w:r>
      <w:r w:rsidRPr="006F65D8">
        <w:t xml:space="preserve"> It was created by us and for us, with non-government organisations and disability-rights activists heavily involved in the negotiation process</w:t>
      </w:r>
      <w:r w:rsidR="000A7E66">
        <w:t>,</w:t>
      </w:r>
      <w:r w:rsidRPr="006F65D8">
        <w:rPr>
          <w:rStyle w:val="FootnoteReference"/>
        </w:rPr>
        <w:footnoteReference w:id="2"/>
      </w:r>
      <w:r w:rsidR="00321613">
        <w:t xml:space="preserve"> including PWDA who</w:t>
      </w:r>
      <w:r w:rsidRPr="006F65D8">
        <w:t xml:space="preserve"> </w:t>
      </w:r>
      <w:r w:rsidR="00321613">
        <w:t xml:space="preserve">played a significant role in the </w:t>
      </w:r>
      <w:r w:rsidR="00536ED0">
        <w:t xml:space="preserve">CRPD’s development. </w:t>
      </w:r>
      <w:r w:rsidRPr="006F65D8">
        <w:t xml:space="preserve">   </w:t>
      </w:r>
    </w:p>
    <w:p w14:paraId="1F107E48" w14:textId="77777777" w:rsidR="00306BAC" w:rsidRPr="006F65D8" w:rsidRDefault="00306BAC" w:rsidP="00306BAC">
      <w:r>
        <w:t>Despite this international progress,</w:t>
      </w:r>
      <w:r w:rsidRPr="006F65D8">
        <w:t xml:space="preserve"> Australia has not adequately implemented the CRPD in Australian law.</w:t>
      </w:r>
      <w:r w:rsidRPr="006F65D8">
        <w:rPr>
          <w:rStyle w:val="FootnoteReference"/>
        </w:rPr>
        <w:footnoteReference w:id="3"/>
      </w:r>
      <w:r w:rsidRPr="006F65D8">
        <w:t xml:space="preserve"> As with many groups, people with disability in Australia enjoy only a ‘patchwork’ of human rights protections.</w:t>
      </w:r>
      <w:r w:rsidRPr="006F65D8">
        <w:rPr>
          <w:rStyle w:val="FootnoteReference"/>
        </w:rPr>
        <w:footnoteReference w:id="4"/>
      </w:r>
      <w:r w:rsidRPr="006F65D8">
        <w:t xml:space="preserve"> As a result, people with disability commonly experience human rights </w:t>
      </w:r>
      <w:r>
        <w:t>violations</w:t>
      </w:r>
      <w:r w:rsidRPr="006F65D8">
        <w:t>. For example:</w:t>
      </w:r>
    </w:p>
    <w:p w14:paraId="56C9583C" w14:textId="48DA22AF" w:rsidR="00306BAC" w:rsidRPr="006F65D8" w:rsidRDefault="00306BAC" w:rsidP="00306BAC">
      <w:pPr>
        <w:pStyle w:val="ListBullet"/>
      </w:pPr>
      <w:r w:rsidRPr="006F65D8">
        <w:t>47% of adults with disability have experienced violence after age 15</w:t>
      </w:r>
    </w:p>
    <w:p w14:paraId="06DE746A" w14:textId="6B2DD0F0" w:rsidR="00A46ED8" w:rsidRDefault="00A46ED8" w:rsidP="00306BAC">
      <w:pPr>
        <w:pStyle w:val="ListBullet"/>
      </w:pPr>
      <w:r>
        <w:lastRenderedPageBreak/>
        <w:t xml:space="preserve">16% of people aged 15-64 with disability experienced disability discrimination in </w:t>
      </w:r>
      <w:r w:rsidR="00101AAE">
        <w:t>2022</w:t>
      </w:r>
    </w:p>
    <w:p w14:paraId="20D34310" w14:textId="006A731E" w:rsidR="00A46ED8" w:rsidRDefault="00A46ED8" w:rsidP="00BB6077">
      <w:pPr>
        <w:pStyle w:val="ListBullet"/>
      </w:pPr>
      <w:r w:rsidRPr="006F65D8">
        <w:t xml:space="preserve">30% of people </w:t>
      </w:r>
      <w:r>
        <w:t xml:space="preserve">aged 15-64 </w:t>
      </w:r>
      <w:r w:rsidRPr="006F65D8">
        <w:t>with mobility or communication challenges ha</w:t>
      </w:r>
      <w:r>
        <w:t>ve</w:t>
      </w:r>
      <w:r w:rsidRPr="006F65D8">
        <w:t xml:space="preserve"> difficulty accessing buildings or facilities</w:t>
      </w:r>
      <w:r w:rsidR="00BB6077">
        <w:t xml:space="preserve">, </w:t>
      </w:r>
      <w:r w:rsidR="0010718E">
        <w:t>and</w:t>
      </w:r>
    </w:p>
    <w:p w14:paraId="054AEBF6" w14:textId="61C49D5E" w:rsidR="00306BAC" w:rsidRPr="006F65D8" w:rsidRDefault="00F07375" w:rsidP="00A46ED8">
      <w:pPr>
        <w:pStyle w:val="ListBullet"/>
      </w:pPr>
      <w:r>
        <w:t>p</w:t>
      </w:r>
      <w:r w:rsidR="00A46ED8">
        <w:t>eople aged 15-64 with disability are more than twice as likely to be in financial stress as those without disability</w:t>
      </w:r>
      <w:r w:rsidR="00306BAC" w:rsidRPr="006F65D8">
        <w:t>.</w:t>
      </w:r>
      <w:r w:rsidR="00306BAC" w:rsidRPr="006F65D8">
        <w:rPr>
          <w:rStyle w:val="FootnoteReference"/>
        </w:rPr>
        <w:footnoteReference w:id="5"/>
      </w:r>
      <w:r w:rsidR="00306BAC" w:rsidRPr="006F65D8">
        <w:t xml:space="preserve"> </w:t>
      </w:r>
    </w:p>
    <w:p w14:paraId="264B0101" w14:textId="74690E5C" w:rsidR="00306BAC" w:rsidRDefault="00306BAC" w:rsidP="00306BAC">
      <w:r w:rsidRPr="006F65D8">
        <w:t xml:space="preserve">As we bear witness to the countless reports of human rights violations at the </w:t>
      </w:r>
      <w:r w:rsidRPr="002E73C3">
        <w:rPr>
          <w:rStyle w:val="Emphasis"/>
        </w:rPr>
        <w:t>Royal Commission into Violence, Abuse, Neglect and Exploitation of People with Disability</w:t>
      </w:r>
      <w:r w:rsidR="00D3131B">
        <w:rPr>
          <w:rStyle w:val="Emphasis"/>
          <w:i w:val="0"/>
          <w:iCs w:val="0"/>
        </w:rPr>
        <w:t xml:space="preserve"> (the Disability Royal Commission)</w:t>
      </w:r>
      <w:r w:rsidRPr="006F65D8">
        <w:t xml:space="preserve">, we can no longer credibly say that Australia’s human rights protections are adequate for people with disability. </w:t>
      </w:r>
    </w:p>
    <w:p w14:paraId="1326FEB8" w14:textId="4AEB38CF" w:rsidR="00CB71F9" w:rsidRDefault="00CB71F9" w:rsidP="00CB71F9">
      <w:pPr>
        <w:pStyle w:val="Heading3"/>
      </w:pPr>
      <w:bookmarkStart w:id="11" w:name="_Toc138865361"/>
      <w:bookmarkStart w:id="12" w:name="_Toc140247444"/>
      <w:r w:rsidRPr="00CB71F9">
        <w:t>Key recommendation</w:t>
      </w:r>
      <w:bookmarkEnd w:id="11"/>
      <w:bookmarkEnd w:id="12"/>
      <w:r>
        <w:t xml:space="preserve"> </w:t>
      </w:r>
    </w:p>
    <w:p w14:paraId="14150A16" w14:textId="32114D76" w:rsidR="00CB71F9" w:rsidRDefault="00CB71F9" w:rsidP="00CB71F9">
      <w:r w:rsidRPr="00CB71F9">
        <w:rPr>
          <w:b/>
          <w:bCs/>
        </w:rPr>
        <w:t>Recommendation 1</w:t>
      </w:r>
      <w:r>
        <w:t xml:space="preserve"> – </w:t>
      </w:r>
      <w:r w:rsidRPr="006F65D8">
        <w:t xml:space="preserve">Australia enacts </w:t>
      </w:r>
      <w:r>
        <w:t>national</w:t>
      </w:r>
      <w:r w:rsidRPr="006F65D8">
        <w:t xml:space="preserve"> human rights </w:t>
      </w:r>
      <w:r>
        <w:t>legislation</w:t>
      </w:r>
      <w:r w:rsidRPr="006F65D8">
        <w:t xml:space="preserve"> that upholds the rights of all Australians, including people with disability</w:t>
      </w:r>
      <w:r>
        <w:t xml:space="preserve">, and </w:t>
      </w:r>
      <w:r w:rsidR="00FC6C35">
        <w:t xml:space="preserve">ensures </w:t>
      </w:r>
      <w:r>
        <w:t xml:space="preserve">the full protection of the human rights </w:t>
      </w:r>
      <w:r w:rsidR="00FC6C35">
        <w:t xml:space="preserve">of people with disability. </w:t>
      </w:r>
    </w:p>
    <w:p w14:paraId="26724587" w14:textId="64FE4263" w:rsidR="00306BAC" w:rsidRDefault="00306BAC" w:rsidP="00306BAC">
      <w:r w:rsidRPr="006F65D8">
        <w:t xml:space="preserve">We need a national human rights act to make sure our rights are protected in all areas of our lives, no matter where we live. </w:t>
      </w:r>
      <w:r w:rsidR="00522DA1">
        <w:t>This position and</w:t>
      </w:r>
      <w:r w:rsidR="00CF4E8A">
        <w:t xml:space="preserve"> </w:t>
      </w:r>
      <w:r w:rsidR="00FC6C35">
        <w:t>this</w:t>
      </w:r>
      <w:r w:rsidR="00522DA1">
        <w:t xml:space="preserve"> submission are endorsed by:</w:t>
      </w:r>
    </w:p>
    <w:p w14:paraId="2ED6EC16" w14:textId="7EBA34AC" w:rsidR="00BA6BEE" w:rsidRDefault="00187A9E" w:rsidP="00B44F75">
      <w:pPr>
        <w:pStyle w:val="BodyText"/>
        <w:numPr>
          <w:ilvl w:val="0"/>
          <w:numId w:val="47"/>
        </w:numPr>
        <w:spacing w:line="240" w:lineRule="auto"/>
        <w:ind w:left="714" w:hanging="357"/>
        <w:rPr>
          <w:bCs/>
          <w:lang w:val="en-AU"/>
        </w:rPr>
      </w:pPr>
      <w:r>
        <w:rPr>
          <w:bCs/>
          <w:lang w:val="en-AU"/>
        </w:rPr>
        <w:t>Amnesty International</w:t>
      </w:r>
      <w:r w:rsidR="00ED1B3A">
        <w:rPr>
          <w:bCs/>
          <w:lang w:val="en-AU"/>
        </w:rPr>
        <w:t xml:space="preserve"> Australia</w:t>
      </w:r>
    </w:p>
    <w:p w14:paraId="7F81B07B" w14:textId="2C05831A" w:rsidR="00187A9E" w:rsidRDefault="00187A9E" w:rsidP="00B44F75">
      <w:pPr>
        <w:pStyle w:val="BodyText"/>
        <w:numPr>
          <w:ilvl w:val="0"/>
          <w:numId w:val="47"/>
        </w:numPr>
        <w:spacing w:line="240" w:lineRule="auto"/>
        <w:ind w:left="714" w:hanging="357"/>
        <w:rPr>
          <w:bCs/>
          <w:lang w:val="en-AU"/>
        </w:rPr>
      </w:pPr>
      <w:r>
        <w:rPr>
          <w:bCs/>
          <w:lang w:val="en-AU"/>
        </w:rPr>
        <w:t>Australian Centre for Disability Law</w:t>
      </w:r>
    </w:p>
    <w:p w14:paraId="479E2DB7" w14:textId="6D59EAD4" w:rsidR="00187A9E" w:rsidRDefault="00187A9E" w:rsidP="00B44F75">
      <w:pPr>
        <w:pStyle w:val="BodyText"/>
        <w:numPr>
          <w:ilvl w:val="0"/>
          <w:numId w:val="47"/>
        </w:numPr>
        <w:spacing w:line="240" w:lineRule="auto"/>
        <w:ind w:left="714" w:hanging="357"/>
        <w:rPr>
          <w:bCs/>
          <w:lang w:val="en-AU"/>
        </w:rPr>
      </w:pPr>
      <w:r>
        <w:rPr>
          <w:bCs/>
          <w:lang w:val="en-AU"/>
        </w:rPr>
        <w:t xml:space="preserve">Children and Young People with Disability </w:t>
      </w:r>
      <w:r w:rsidR="00B50A51">
        <w:rPr>
          <w:bCs/>
          <w:lang w:val="en-AU"/>
        </w:rPr>
        <w:t>Australia</w:t>
      </w:r>
    </w:p>
    <w:p w14:paraId="7164D2EF" w14:textId="0D6A9E66" w:rsidR="00B50A51" w:rsidRDefault="00246EA0" w:rsidP="00B44F75">
      <w:pPr>
        <w:pStyle w:val="BodyText"/>
        <w:numPr>
          <w:ilvl w:val="0"/>
          <w:numId w:val="47"/>
        </w:numPr>
        <w:spacing w:line="240" w:lineRule="auto"/>
        <w:ind w:left="714" w:hanging="357"/>
        <w:rPr>
          <w:bCs/>
          <w:lang w:val="en-AU"/>
        </w:rPr>
      </w:pPr>
      <w:r>
        <w:rPr>
          <w:bCs/>
          <w:lang w:val="en-AU"/>
        </w:rPr>
        <w:t>Disability Advocacy Network Australia</w:t>
      </w:r>
    </w:p>
    <w:p w14:paraId="3DD62428" w14:textId="5DE22F62" w:rsidR="00246EA0" w:rsidRDefault="00246EA0" w:rsidP="00B44F75">
      <w:pPr>
        <w:pStyle w:val="BodyText"/>
        <w:numPr>
          <w:ilvl w:val="0"/>
          <w:numId w:val="47"/>
        </w:numPr>
        <w:spacing w:line="240" w:lineRule="auto"/>
        <w:ind w:left="714" w:hanging="357"/>
        <w:rPr>
          <w:bCs/>
          <w:lang w:val="en-AU"/>
        </w:rPr>
      </w:pPr>
      <w:r>
        <w:rPr>
          <w:bCs/>
          <w:lang w:val="en-AU"/>
        </w:rPr>
        <w:t>National Ethnic Disability Alliance</w:t>
      </w:r>
    </w:p>
    <w:p w14:paraId="4ED28BD1" w14:textId="3A70E156" w:rsidR="00246EA0" w:rsidRDefault="006B31EF" w:rsidP="00B44F75">
      <w:pPr>
        <w:pStyle w:val="BodyText"/>
        <w:numPr>
          <w:ilvl w:val="0"/>
          <w:numId w:val="47"/>
        </w:numPr>
        <w:spacing w:line="240" w:lineRule="auto"/>
        <w:ind w:left="714" w:hanging="357"/>
        <w:rPr>
          <w:bCs/>
          <w:lang w:val="en-AU"/>
        </w:rPr>
      </w:pPr>
      <w:r>
        <w:rPr>
          <w:bCs/>
          <w:lang w:val="en-AU"/>
        </w:rPr>
        <w:t>Inclusion Australia, and</w:t>
      </w:r>
    </w:p>
    <w:p w14:paraId="41006CBC" w14:textId="4777FB7D" w:rsidR="00B44F75" w:rsidRPr="00BB6077" w:rsidRDefault="006B31EF" w:rsidP="00897833">
      <w:pPr>
        <w:pStyle w:val="BodyText"/>
        <w:numPr>
          <w:ilvl w:val="0"/>
          <w:numId w:val="47"/>
        </w:numPr>
        <w:spacing w:line="240" w:lineRule="auto"/>
        <w:ind w:left="714" w:hanging="357"/>
        <w:rPr>
          <w:bCs/>
          <w:lang w:val="en-AU"/>
        </w:rPr>
      </w:pPr>
      <w:r>
        <w:rPr>
          <w:bCs/>
          <w:lang w:val="en-AU"/>
        </w:rPr>
        <w:t>Women with Disabilities Australia</w:t>
      </w:r>
    </w:p>
    <w:p w14:paraId="63F3E103" w14:textId="1C76D328" w:rsidR="00897C26" w:rsidRPr="009D1083" w:rsidRDefault="0034150B" w:rsidP="00897C26">
      <w:pPr>
        <w:pStyle w:val="Heading2"/>
        <w:rPr>
          <w:color w:val="005496" w:themeColor="accent1"/>
        </w:rPr>
      </w:pPr>
      <w:bookmarkStart w:id="13" w:name="_Toc83717714"/>
      <w:bookmarkStart w:id="14" w:name="_Toc83718530"/>
      <w:bookmarkStart w:id="15" w:name="_Toc138853912"/>
      <w:bookmarkStart w:id="16" w:name="_Toc140247445"/>
      <w:r w:rsidRPr="009D1083">
        <w:rPr>
          <w:color w:val="005496" w:themeColor="accent1"/>
        </w:rPr>
        <w:lastRenderedPageBreak/>
        <w:t>Summary</w:t>
      </w:r>
      <w:bookmarkEnd w:id="13"/>
      <w:bookmarkEnd w:id="14"/>
      <w:r w:rsidRPr="009D1083">
        <w:rPr>
          <w:color w:val="005496" w:themeColor="accent1"/>
        </w:rPr>
        <w:t xml:space="preserve"> of </w:t>
      </w:r>
      <w:r w:rsidR="00FA0B84">
        <w:rPr>
          <w:color w:val="005496" w:themeColor="accent1"/>
        </w:rPr>
        <w:t>r</w:t>
      </w:r>
      <w:r w:rsidR="00897C26" w:rsidRPr="009D1083">
        <w:rPr>
          <w:color w:val="005496" w:themeColor="accent1"/>
        </w:rPr>
        <w:t>ecommendations</w:t>
      </w:r>
      <w:bookmarkEnd w:id="15"/>
      <w:bookmarkEnd w:id="16"/>
    </w:p>
    <w:p w14:paraId="78FD78DF" w14:textId="77777777" w:rsidR="00CB71F9" w:rsidRDefault="00CB71F9" w:rsidP="00CB71F9">
      <w:pPr>
        <w:pStyle w:val="Heading3"/>
      </w:pPr>
      <w:bookmarkStart w:id="17" w:name="_Toc138865363"/>
      <w:bookmarkStart w:id="18" w:name="_Hlk138933955"/>
      <w:bookmarkStart w:id="19" w:name="_Toc140247446"/>
      <w:r w:rsidRPr="00CB71F9">
        <w:t>Key recommendation</w:t>
      </w:r>
      <w:bookmarkEnd w:id="17"/>
      <w:bookmarkEnd w:id="19"/>
      <w:r>
        <w:t xml:space="preserve"> </w:t>
      </w:r>
    </w:p>
    <w:p w14:paraId="7220108D" w14:textId="451C5762" w:rsidR="00FC6C35" w:rsidRDefault="00FC6C35" w:rsidP="00FC6C35">
      <w:r w:rsidRPr="00CB71F9">
        <w:rPr>
          <w:b/>
          <w:bCs/>
        </w:rPr>
        <w:t>Recommendation 1</w:t>
      </w:r>
      <w:r>
        <w:t xml:space="preserve"> – </w:t>
      </w:r>
      <w:r w:rsidRPr="006F65D8">
        <w:t xml:space="preserve">Australia enacts </w:t>
      </w:r>
      <w:r>
        <w:t>national</w:t>
      </w:r>
      <w:r w:rsidRPr="006F65D8">
        <w:t xml:space="preserve"> human rights </w:t>
      </w:r>
      <w:r>
        <w:t>legislation</w:t>
      </w:r>
      <w:r w:rsidRPr="006F65D8">
        <w:t xml:space="preserve"> that upholds the rights of all Australians, including people with disability</w:t>
      </w:r>
      <w:r>
        <w:t xml:space="preserve">, and ensures the full protection of the human rights of people with disability. </w:t>
      </w:r>
    </w:p>
    <w:p w14:paraId="68987338" w14:textId="689B11B6" w:rsidR="00CB71F9" w:rsidRPr="00CB71F9" w:rsidRDefault="00CB71F9" w:rsidP="00CB71F9">
      <w:pPr>
        <w:pStyle w:val="Heading3"/>
        <w:rPr>
          <w:rStyle w:val="Strong"/>
          <w:b/>
          <w:bCs w:val="0"/>
        </w:rPr>
      </w:pPr>
      <w:bookmarkStart w:id="20" w:name="_Toc138865364"/>
      <w:bookmarkStart w:id="21" w:name="_Toc140247447"/>
      <w:r>
        <w:t>Supporting</w:t>
      </w:r>
      <w:r w:rsidRPr="00CB71F9">
        <w:t xml:space="preserve"> recommendation</w:t>
      </w:r>
      <w:r>
        <w:t>s</w:t>
      </w:r>
      <w:bookmarkEnd w:id="20"/>
      <w:bookmarkEnd w:id="21"/>
      <w:r>
        <w:t xml:space="preserve"> </w:t>
      </w:r>
    </w:p>
    <w:p w14:paraId="6302B891" w14:textId="3E1B9198" w:rsidR="00CB71F9" w:rsidRPr="001C7B72" w:rsidRDefault="00CB71F9" w:rsidP="00CB71F9">
      <w:r w:rsidRPr="001C7B72">
        <w:rPr>
          <w:rStyle w:val="Strong"/>
        </w:rPr>
        <w:t>Recommendation</w:t>
      </w:r>
      <w:r>
        <w:rPr>
          <w:rStyle w:val="Strong"/>
        </w:rPr>
        <w:t xml:space="preserve"> 2 – </w:t>
      </w:r>
      <w:r w:rsidRPr="001C7B72">
        <w:t>That any</w:t>
      </w:r>
      <w:r w:rsidRPr="000E17D8">
        <w:t xml:space="preserve"> </w:t>
      </w:r>
      <w:r w:rsidRPr="0010718E">
        <w:t xml:space="preserve">national human rights legislation </w:t>
      </w:r>
      <w:r w:rsidRPr="001C7B72">
        <w:t xml:space="preserve">expressly incorporates immediate rights in the CRPD, by individually listing each CRPD right or by reference to incorporation of the CRPD into the </w:t>
      </w:r>
      <w:r>
        <w:t>legislation.</w:t>
      </w:r>
      <w:r w:rsidRPr="001C7B72">
        <w:t xml:space="preserve"> </w:t>
      </w:r>
    </w:p>
    <w:p w14:paraId="7A6F9160" w14:textId="0B0BE47B" w:rsidR="00CB71F9" w:rsidRPr="001C7B72" w:rsidRDefault="00CB71F9" w:rsidP="00CB71F9">
      <w:r w:rsidRPr="001C7B72">
        <w:rPr>
          <w:rStyle w:val="Strong"/>
        </w:rPr>
        <w:t>Recommendation</w:t>
      </w:r>
      <w:r>
        <w:rPr>
          <w:rStyle w:val="Strong"/>
        </w:rPr>
        <w:t xml:space="preserve"> 3 – </w:t>
      </w:r>
      <w:r w:rsidRPr="001C7B72">
        <w:t>Th</w:t>
      </w:r>
      <w:r>
        <w:t>at the</w:t>
      </w:r>
      <w:r w:rsidRPr="001C7B72">
        <w:t xml:space="preserve"> Government engages an international human rights law expert to examine and identify which rights and components of rights in the CRPD are subject to immediate realisation</w:t>
      </w:r>
      <w:r>
        <w:t xml:space="preserve">. The Government should also engage Disability Representative Organisations to assist in determining which rights should be prioritised for incorporation in the human rights legislation.   </w:t>
      </w:r>
      <w:r w:rsidRPr="001C7B72">
        <w:t xml:space="preserve">      </w:t>
      </w:r>
    </w:p>
    <w:p w14:paraId="25291600" w14:textId="263D5BDE" w:rsidR="00CB71F9" w:rsidRDefault="00CB71F9" w:rsidP="00CB71F9">
      <w:r w:rsidRPr="001C7B72">
        <w:rPr>
          <w:rStyle w:val="Strong"/>
        </w:rPr>
        <w:t>Recommendation</w:t>
      </w:r>
      <w:r>
        <w:rPr>
          <w:rStyle w:val="Strong"/>
        </w:rPr>
        <w:t xml:space="preserve"> 4 – </w:t>
      </w:r>
      <w:r w:rsidRPr="00CB71F9">
        <w:rPr>
          <w:rStyle w:val="Strong"/>
          <w:b w:val="0"/>
          <w:bCs w:val="0"/>
        </w:rPr>
        <w:t xml:space="preserve">That </w:t>
      </w:r>
      <w:r>
        <w:t>national</w:t>
      </w:r>
      <w:r w:rsidRPr="001C7B72">
        <w:t xml:space="preserve"> human rights legislation includes a provision that requires decision-makers to consider international human rights law jurisprudence as persuasive in interpreting the legislation. </w:t>
      </w:r>
    </w:p>
    <w:p w14:paraId="7C9814B9" w14:textId="23C0B7CC" w:rsidR="003146ED" w:rsidRDefault="003146ED" w:rsidP="00CB71F9">
      <w:r w:rsidRPr="001C7B72">
        <w:rPr>
          <w:rStyle w:val="Strong"/>
        </w:rPr>
        <w:t>Recommendation</w:t>
      </w:r>
      <w:r>
        <w:rPr>
          <w:rStyle w:val="Strong"/>
        </w:rPr>
        <w:t xml:space="preserve"> 5 – </w:t>
      </w:r>
      <w:r w:rsidRPr="001C7B72">
        <w:t>Th</w:t>
      </w:r>
      <w:r>
        <w:t>at the</w:t>
      </w:r>
      <w:r w:rsidRPr="001C7B72">
        <w:t xml:space="preserve"> Government </w:t>
      </w:r>
      <w:r>
        <w:t>designates an appropriate body to undertake dispute resolution and adjudication functions, for matters arising under the national</w:t>
      </w:r>
      <w:r w:rsidRPr="001C7B72">
        <w:t xml:space="preserve"> human rights legislation</w:t>
      </w:r>
      <w:r>
        <w:t xml:space="preserve">. This body must be appropriately resourced to carry out all dispute resolution and adjudication functions, and in a manner that is fully accessible to all people with disability. </w:t>
      </w:r>
    </w:p>
    <w:p w14:paraId="134D57A2" w14:textId="020957B2" w:rsidR="00033CE1" w:rsidRPr="003146ED" w:rsidRDefault="00CB71F9" w:rsidP="003146ED">
      <w:r w:rsidRPr="006E7DA4">
        <w:rPr>
          <w:rStyle w:val="Strong"/>
        </w:rPr>
        <w:t>Recommendation</w:t>
      </w:r>
      <w:r>
        <w:rPr>
          <w:rStyle w:val="Strong"/>
        </w:rPr>
        <w:t xml:space="preserve"> </w:t>
      </w:r>
      <w:r w:rsidR="003146ED">
        <w:rPr>
          <w:rStyle w:val="Strong"/>
        </w:rPr>
        <w:t>6</w:t>
      </w:r>
      <w:r>
        <w:rPr>
          <w:rStyle w:val="Strong"/>
        </w:rPr>
        <w:t xml:space="preserve"> – </w:t>
      </w:r>
      <w:r w:rsidRPr="00F33808">
        <w:rPr>
          <w:rStyle w:val="Strong"/>
          <w:b w:val="0"/>
          <w:bCs w:val="0"/>
        </w:rPr>
        <w:t>If</w:t>
      </w:r>
      <w:r w:rsidRPr="006E7DA4">
        <w:t xml:space="preserve"> </w:t>
      </w:r>
      <w:r w:rsidR="00F465DB">
        <w:t xml:space="preserve">a </w:t>
      </w:r>
      <w:r>
        <w:t>national</w:t>
      </w:r>
      <w:r w:rsidRPr="006E7DA4">
        <w:t xml:space="preserve"> human rights act is established and </w:t>
      </w:r>
      <w:r>
        <w:t xml:space="preserve">an </w:t>
      </w:r>
      <w:r w:rsidRPr="006E7DA4">
        <w:t xml:space="preserve">adjudication body </w:t>
      </w:r>
      <w:r w:rsidR="003146ED">
        <w:t>designated,</w:t>
      </w:r>
      <w:r w:rsidRPr="006E7DA4">
        <w:t xml:space="preserve"> the Government must ensure that civil society has a role in assisting the adjudication body to address systemic issues arising from cases</w:t>
      </w:r>
      <w:r>
        <w:t xml:space="preserve">, </w:t>
      </w:r>
      <w:r w:rsidRPr="006E7DA4">
        <w:t xml:space="preserve">and funding should be provided accordingly. </w:t>
      </w:r>
    </w:p>
    <w:p w14:paraId="5789B715" w14:textId="12007271" w:rsidR="00033CE1" w:rsidRPr="009D1083" w:rsidRDefault="00033CE1" w:rsidP="00033CE1">
      <w:pPr>
        <w:pStyle w:val="Heading2"/>
        <w:rPr>
          <w:color w:val="005496" w:themeColor="accent1"/>
        </w:rPr>
      </w:pPr>
      <w:bookmarkStart w:id="22" w:name="_Toc138853913"/>
      <w:bookmarkStart w:id="23" w:name="_Toc140247448"/>
      <w:bookmarkEnd w:id="18"/>
      <w:r>
        <w:rPr>
          <w:color w:val="005496" w:themeColor="accent1"/>
        </w:rPr>
        <w:lastRenderedPageBreak/>
        <w:t>Inadequacy of current protections</w:t>
      </w:r>
      <w:bookmarkEnd w:id="22"/>
      <w:bookmarkEnd w:id="23"/>
      <w:r>
        <w:rPr>
          <w:color w:val="005496" w:themeColor="accent1"/>
        </w:rPr>
        <w:t xml:space="preserve"> </w:t>
      </w:r>
    </w:p>
    <w:p w14:paraId="27A901C9" w14:textId="687DED2B" w:rsidR="004129D6" w:rsidRDefault="00BA3BF8" w:rsidP="00BA3BF8">
      <w:r w:rsidRPr="006F65D8">
        <w:t>Australi</w:t>
      </w:r>
      <w:r w:rsidR="004F2CC9">
        <w:t xml:space="preserve">a’s </w:t>
      </w:r>
      <w:r w:rsidRPr="006F65D8">
        <w:t>‘patchwork’ of human rights protections in place for people with disability</w:t>
      </w:r>
      <w:r w:rsidRPr="006F65D8">
        <w:rPr>
          <w:rStyle w:val="FootnoteReference"/>
        </w:rPr>
        <w:footnoteReference w:id="6"/>
      </w:r>
      <w:r w:rsidR="004F2CC9">
        <w:t xml:space="preserve"> h</w:t>
      </w:r>
      <w:r w:rsidR="004129D6">
        <w:t>as proved insufficient</w:t>
      </w:r>
      <w:r w:rsidR="004F2CC9">
        <w:t>, so</w:t>
      </w:r>
      <w:r w:rsidR="004129D6">
        <w:t xml:space="preserve"> people with disability do not enjoy full human rights protection in Australia.</w:t>
      </w:r>
    </w:p>
    <w:p w14:paraId="272D8059" w14:textId="36E590BB" w:rsidR="004129D6" w:rsidRPr="006F65D8" w:rsidRDefault="004129D6" w:rsidP="004129D6">
      <w:r w:rsidRPr="006F65D8">
        <w:t>The UN Committee on the Rights of Persons with Disabilities</w:t>
      </w:r>
      <w:r w:rsidR="00311060">
        <w:t xml:space="preserve"> (CRPD Committee)</w:t>
      </w:r>
      <w:r w:rsidRPr="006F65D8">
        <w:t xml:space="preserve"> </w:t>
      </w:r>
      <w:r>
        <w:t>last</w:t>
      </w:r>
      <w:r w:rsidRPr="006F65D8">
        <w:t xml:space="preserve"> raised many deficiencies in its 2019 </w:t>
      </w:r>
      <w:hyperlink r:id="rId32" w:history="1">
        <w:r w:rsidRPr="00EE334A">
          <w:rPr>
            <w:rStyle w:val="Emphasis"/>
          </w:rPr>
          <w:t>Concluding Observations on the Combined Second and Third Periodic Reports of Australia</w:t>
        </w:r>
      </w:hyperlink>
      <w:r w:rsidRPr="006F65D8">
        <w:t>, including</w:t>
      </w:r>
      <w:r>
        <w:t>, but not limited to</w:t>
      </w:r>
      <w:r w:rsidRPr="006F65D8">
        <w:t xml:space="preserve">: </w:t>
      </w:r>
    </w:p>
    <w:p w14:paraId="17A1A562" w14:textId="41F0488E" w:rsidR="004129D6" w:rsidRPr="006F65D8" w:rsidRDefault="000C1F36" w:rsidP="004129D6">
      <w:pPr>
        <w:pStyle w:val="ListBullet"/>
      </w:pPr>
      <w:r>
        <w:t>t</w:t>
      </w:r>
      <w:r w:rsidR="004129D6" w:rsidRPr="006F65D8">
        <w:t xml:space="preserve">he ongoing segregated and underpaid employment of people with disability in Australian Disability Enterprises </w:t>
      </w:r>
    </w:p>
    <w:p w14:paraId="2F526C48" w14:textId="6D99D112" w:rsidR="004129D6" w:rsidRPr="006F65D8" w:rsidRDefault="000C1F36" w:rsidP="004129D6">
      <w:pPr>
        <w:pStyle w:val="ListBullet"/>
      </w:pPr>
      <w:r>
        <w:t>t</w:t>
      </w:r>
      <w:r w:rsidR="004129D6" w:rsidRPr="006F65D8">
        <w:t xml:space="preserve">he lack of an effective legislative framework to protect people with disability from systemic, intersectional and multiple forms of discrimination </w:t>
      </w:r>
    </w:p>
    <w:p w14:paraId="0810CB2B" w14:textId="11586FD9" w:rsidR="004129D6" w:rsidRPr="006F65D8" w:rsidRDefault="000C1F36" w:rsidP="004129D6">
      <w:pPr>
        <w:pStyle w:val="ListBullet"/>
      </w:pPr>
      <w:r>
        <w:t>t</w:t>
      </w:r>
      <w:r w:rsidR="004129D6" w:rsidRPr="006F65D8">
        <w:t>he ‘significant proportion of the existing built environment that is inaccessible’</w:t>
      </w:r>
    </w:p>
    <w:p w14:paraId="074EEF44" w14:textId="19E778C5" w:rsidR="004129D6" w:rsidRPr="006F65D8" w:rsidRDefault="007076B2" w:rsidP="004129D6">
      <w:pPr>
        <w:pStyle w:val="ListBullet"/>
      </w:pPr>
      <w:r>
        <w:t>a</w:t>
      </w:r>
      <w:r w:rsidR="004129D6" w:rsidRPr="006F65D8">
        <w:t xml:space="preserve"> lack of progress in abolishing the guardianship system and substituted decision-making regime, particularly in decisions concerning forced psychiatric treatment </w:t>
      </w:r>
    </w:p>
    <w:p w14:paraId="7A3DB17B" w14:textId="74D96265" w:rsidR="004129D6" w:rsidRPr="006F65D8" w:rsidRDefault="007076B2" w:rsidP="004129D6">
      <w:pPr>
        <w:pStyle w:val="ListBullet"/>
      </w:pPr>
      <w:r>
        <w:t>t</w:t>
      </w:r>
      <w:r w:rsidR="004129D6" w:rsidRPr="006F65D8">
        <w:t>he arbitrary and indefinite detention and forced treatment of people with disabili</w:t>
      </w:r>
      <w:r w:rsidR="004129D6">
        <w:t>ty</w:t>
      </w:r>
      <w:r w:rsidR="004129D6" w:rsidRPr="006F65D8">
        <w:t xml:space="preserve"> </w:t>
      </w:r>
    </w:p>
    <w:p w14:paraId="2BCEBB37" w14:textId="5FC2F240" w:rsidR="004129D6" w:rsidRPr="006F65D8" w:rsidRDefault="007076B2" w:rsidP="004129D6">
      <w:pPr>
        <w:pStyle w:val="ListBullet"/>
      </w:pPr>
      <w:r>
        <w:t>t</w:t>
      </w:r>
      <w:r w:rsidR="004129D6" w:rsidRPr="006F65D8">
        <w:t>he use of restrictive practices against people with disabili</w:t>
      </w:r>
      <w:r w:rsidR="004129D6">
        <w:t>ty</w:t>
      </w:r>
      <w:r w:rsidR="004129D6" w:rsidRPr="006F65D8">
        <w:t xml:space="preserve">, including physical restraints, seclusion and psychotropic medications </w:t>
      </w:r>
    </w:p>
    <w:p w14:paraId="34F0E674" w14:textId="7D7AC3C2" w:rsidR="004129D6" w:rsidRPr="006F65D8" w:rsidRDefault="007076B2" w:rsidP="004129D6">
      <w:pPr>
        <w:pStyle w:val="ListBullet"/>
      </w:pPr>
      <w:r>
        <w:t>t</w:t>
      </w:r>
      <w:r w:rsidR="004129D6" w:rsidRPr="006F65D8">
        <w:t xml:space="preserve">he ongoing legalised practice of forced sterilisation, abortion and contraception among people with disability, particularly women and girls </w:t>
      </w:r>
    </w:p>
    <w:p w14:paraId="18C5AFD5" w14:textId="3EDCB977" w:rsidR="004129D6" w:rsidRPr="006F65D8" w:rsidRDefault="007076B2" w:rsidP="004129D6">
      <w:pPr>
        <w:pStyle w:val="ListBullet"/>
      </w:pPr>
      <w:r>
        <w:t>a</w:t>
      </w:r>
      <w:r w:rsidR="004129D6" w:rsidRPr="006F65D8">
        <w:t xml:space="preserve"> significant increase in students with disability experiencing a segregated education, seclusion, isolation and lack of age-appropriate settings </w:t>
      </w:r>
    </w:p>
    <w:p w14:paraId="72F740FD" w14:textId="3FA1C7F0" w:rsidR="004129D6" w:rsidRDefault="0049682B" w:rsidP="004129D6">
      <w:pPr>
        <w:pStyle w:val="ListBullet"/>
      </w:pPr>
      <w:r>
        <w:lastRenderedPageBreak/>
        <w:t>m</w:t>
      </w:r>
      <w:r w:rsidR="004129D6" w:rsidRPr="006F65D8">
        <w:t>igration legislation’s health requirement that allows for discrimination against people with disability</w:t>
      </w:r>
      <w:r w:rsidR="004129D6">
        <w:t>.</w:t>
      </w:r>
      <w:r w:rsidR="004129D6" w:rsidRPr="006F65D8">
        <w:rPr>
          <w:rStyle w:val="FootnoteReference"/>
        </w:rPr>
        <w:footnoteReference w:id="7"/>
      </w:r>
    </w:p>
    <w:p w14:paraId="38A8397A" w14:textId="3D4DAA3D" w:rsidR="00BA3BF8" w:rsidRPr="006F65D8" w:rsidRDefault="00E73EA2" w:rsidP="00BA3BF8">
      <w:r>
        <w:t>One reason for these deficiencies is the heavy reliance on</w:t>
      </w:r>
      <w:r w:rsidR="004129D6" w:rsidRPr="006F65D8">
        <w:t xml:space="preserve"> </w:t>
      </w:r>
      <w:r w:rsidR="004129D6">
        <w:t>p</w:t>
      </w:r>
      <w:r w:rsidR="004129D6" w:rsidRPr="006F65D8">
        <w:t xml:space="preserve">arliaments, judges and public officials to uphold and respect our human rights. </w:t>
      </w:r>
      <w:r w:rsidR="004129D6">
        <w:t xml:space="preserve">This </w:t>
      </w:r>
      <w:r>
        <w:t xml:space="preserve">reliance </w:t>
      </w:r>
      <w:r w:rsidR="004129D6">
        <w:t xml:space="preserve">is problematic because </w:t>
      </w:r>
      <w:r w:rsidR="00BA3BF8" w:rsidRPr="006F65D8">
        <w:t>ableism, which views disability as a deficit that needs to be fixed, is heavily entrenched in Australia’s legal, policy and practical frameworks, as well as in societal attitudes.</w:t>
      </w:r>
      <w:r w:rsidR="00BA3BF8" w:rsidRPr="006F65D8">
        <w:rPr>
          <w:rStyle w:val="FootnoteReference"/>
        </w:rPr>
        <w:footnoteReference w:id="8"/>
      </w:r>
      <w:r w:rsidR="00BA3BF8" w:rsidRPr="006F65D8">
        <w:t xml:space="preserve"> </w:t>
      </w:r>
    </w:p>
    <w:p w14:paraId="28B1C8C6" w14:textId="100F7C13" w:rsidR="00BA3BF8" w:rsidRPr="006F65D8" w:rsidRDefault="004129D6" w:rsidP="00BA3BF8">
      <w:r>
        <w:t>This entrenched ableism causes</w:t>
      </w:r>
      <w:r w:rsidR="00BA3BF8" w:rsidRPr="006F65D8">
        <w:t xml:space="preserve"> well-meaning law and policy reforms</w:t>
      </w:r>
      <w:r>
        <w:t xml:space="preserve"> to</w:t>
      </w:r>
      <w:r w:rsidR="00BA3BF8" w:rsidRPr="006F65D8">
        <w:t xml:space="preserve"> often miss the mark, further entrenching the segregation of people with disability from society and denying</w:t>
      </w:r>
      <w:r w:rsidR="00BA3BF8">
        <w:t xml:space="preserve"> our</w:t>
      </w:r>
      <w:r w:rsidR="00BA3BF8" w:rsidRPr="006F65D8">
        <w:t xml:space="preserve"> autonomy.</w:t>
      </w:r>
      <w:r w:rsidR="00BA3BF8" w:rsidRPr="006F65D8">
        <w:rPr>
          <w:rStyle w:val="FootnoteReference"/>
        </w:rPr>
        <w:footnoteReference w:id="9"/>
      </w:r>
      <w:r w:rsidR="00BA3BF8" w:rsidRPr="006F65D8">
        <w:t xml:space="preserve"> For example, state and territory </w:t>
      </w:r>
      <w:r w:rsidR="0010718E">
        <w:t>g</w:t>
      </w:r>
      <w:r w:rsidR="00BA3BF8" w:rsidRPr="006F65D8">
        <w:t>overnments continue to fund and develop segregated education facilities</w:t>
      </w:r>
      <w:r w:rsidR="00BA3BF8">
        <w:t xml:space="preserve">, which violates the CRPD Article 24 right to inclusive </w:t>
      </w:r>
      <w:r w:rsidR="00553EF9">
        <w:t>education</w:t>
      </w:r>
      <w:r w:rsidR="00553EF9" w:rsidRPr="006F65D8">
        <w:t>.</w:t>
      </w:r>
      <w:r w:rsidR="00553EF9">
        <w:t xml:space="preserve"> Further</w:t>
      </w:r>
      <w:r w:rsidR="00BA3BF8">
        <w:t xml:space="preserve">, </w:t>
      </w:r>
      <w:r w:rsidR="0010718E">
        <w:t>g</w:t>
      </w:r>
      <w:r w:rsidR="00BA3BF8" w:rsidRPr="006F65D8">
        <w:t xml:space="preserve">overnments often celebrate </w:t>
      </w:r>
      <w:r w:rsidR="00BA3BF8">
        <w:t>special school funding as a measure</w:t>
      </w:r>
      <w:r w:rsidR="00BA3BF8" w:rsidRPr="006F65D8">
        <w:t xml:space="preserve"> that enhances equality for students with disability. For example, in 2022, the Victorian Government announced that:</w:t>
      </w:r>
    </w:p>
    <w:p w14:paraId="47702A66" w14:textId="77777777" w:rsidR="00BA3BF8" w:rsidRPr="006F65D8" w:rsidRDefault="00BA3BF8" w:rsidP="00BA3BF8">
      <w:pPr>
        <w:pStyle w:val="Quote"/>
      </w:pPr>
      <w:r w:rsidRPr="006F65D8">
        <w:t>Students with disability and special needs are entitled to exactly the same opportunities as every other student in Victoria. A $326 million investment will deliver upgrades for 36 special schools – meaning these kids and their school communities will have the first-class facilities they deserve.</w:t>
      </w:r>
      <w:r w:rsidRPr="006F65D8">
        <w:rPr>
          <w:rStyle w:val="FootnoteReference"/>
        </w:rPr>
        <w:footnoteReference w:id="10"/>
      </w:r>
    </w:p>
    <w:p w14:paraId="5DE34FC3" w14:textId="4A0608B1" w:rsidR="00BA6BEE" w:rsidRDefault="00522DA1" w:rsidP="00CB71F9">
      <w:pPr>
        <w:pStyle w:val="ListBullet"/>
        <w:numPr>
          <w:ilvl w:val="0"/>
          <w:numId w:val="0"/>
        </w:numPr>
      </w:pPr>
      <w:r w:rsidRPr="006F65D8">
        <w:t xml:space="preserve">Guaranteeing our human rights in a national human rights act will ensure that change is driven by the CRPD, rather than </w:t>
      </w:r>
      <w:r w:rsidR="000E17D8">
        <w:t xml:space="preserve">outdated </w:t>
      </w:r>
      <w:r w:rsidRPr="006F65D8">
        <w:t xml:space="preserve">conceptualisations of disability that segregate and dehumanise us. </w:t>
      </w:r>
    </w:p>
    <w:p w14:paraId="1128EF2F" w14:textId="3D586CAC" w:rsidR="006277F9" w:rsidRPr="009D1083" w:rsidRDefault="00524617" w:rsidP="006277F9">
      <w:pPr>
        <w:pStyle w:val="Heading2"/>
        <w:rPr>
          <w:color w:val="005496" w:themeColor="accent1"/>
        </w:rPr>
      </w:pPr>
      <w:bookmarkStart w:id="26" w:name="_Toc138853914"/>
      <w:bookmarkStart w:id="27" w:name="_Toc140247449"/>
      <w:r>
        <w:rPr>
          <w:color w:val="005496" w:themeColor="accent1"/>
        </w:rPr>
        <w:lastRenderedPageBreak/>
        <w:t>The positive impact of human rights legisla</w:t>
      </w:r>
      <w:r w:rsidR="009E2F23">
        <w:rPr>
          <w:color w:val="005496" w:themeColor="accent1"/>
        </w:rPr>
        <w:t>tion in realising</w:t>
      </w:r>
      <w:r w:rsidR="003B5261">
        <w:rPr>
          <w:color w:val="005496" w:themeColor="accent1"/>
        </w:rPr>
        <w:t xml:space="preserve"> human</w:t>
      </w:r>
      <w:r w:rsidR="009E2F23">
        <w:rPr>
          <w:color w:val="005496" w:themeColor="accent1"/>
        </w:rPr>
        <w:t xml:space="preserve"> rights</w:t>
      </w:r>
      <w:bookmarkEnd w:id="26"/>
      <w:bookmarkEnd w:id="27"/>
    </w:p>
    <w:p w14:paraId="2D5BA574" w14:textId="77777777" w:rsidR="0010718E" w:rsidRDefault="00311060" w:rsidP="006449F9">
      <w:r>
        <w:t xml:space="preserve">A host of measures are needed to address the human rights deficiencies identified by the CPRD Committee. </w:t>
      </w:r>
      <w:r w:rsidR="0010718E">
        <w:t>We</w:t>
      </w:r>
      <w:r>
        <w:t xml:space="preserve"> believe a key mechanism is the establishment of a</w:t>
      </w:r>
      <w:r w:rsidR="00CE1A24">
        <w:t xml:space="preserve"> national human rights act. </w:t>
      </w:r>
      <w:r w:rsidR="0010718E">
        <w:t>H</w:t>
      </w:r>
      <w:r w:rsidR="00BF6E68">
        <w:t>uman</w:t>
      </w:r>
      <w:r>
        <w:t xml:space="preserve"> rights legislation in</w:t>
      </w:r>
      <w:r w:rsidR="006449F9" w:rsidRPr="006F65D8">
        <w:t xml:space="preserve"> Australian Capital Territory (ACT), Queensland</w:t>
      </w:r>
      <w:r w:rsidR="00CE1A24">
        <w:t>, V</w:t>
      </w:r>
      <w:r w:rsidR="006449F9" w:rsidRPr="006F65D8">
        <w:t xml:space="preserve">ictoria and </w:t>
      </w:r>
      <w:r w:rsidR="006449F9">
        <w:t>in the United Kingdom</w:t>
      </w:r>
      <w:r w:rsidR="006449F9" w:rsidRPr="006F65D8">
        <w:t xml:space="preserve"> </w:t>
      </w:r>
      <w:r w:rsidR="00552568">
        <w:t xml:space="preserve">(UK) </w:t>
      </w:r>
      <w:r w:rsidR="006449F9" w:rsidRPr="006F65D8">
        <w:t>has already improved the lives of people with disability.</w:t>
      </w:r>
      <w:r w:rsidR="00BF6E68">
        <w:t xml:space="preserve"> </w:t>
      </w:r>
    </w:p>
    <w:p w14:paraId="69167CFF" w14:textId="117AC170" w:rsidR="006449F9" w:rsidRDefault="006449F9" w:rsidP="006449F9">
      <w:r w:rsidRPr="006F65D8">
        <w:t>The impact is seen at different levels, including in the development of new laws, at tribunals and courts and through complaint mechanisms. Human rights legislation has also proved to be an important tool for disability advocates</w:t>
      </w:r>
      <w:r>
        <w:t xml:space="preserve"> in negotiating favourable outcomes for people with disability. </w:t>
      </w:r>
      <w:r w:rsidRPr="006F65D8">
        <w:t xml:space="preserve"> </w:t>
      </w:r>
    </w:p>
    <w:p w14:paraId="1EC644A4" w14:textId="46D56DA5" w:rsidR="006449F9" w:rsidRPr="006F65D8" w:rsidRDefault="00552568" w:rsidP="00552568">
      <w:r>
        <w:t>This section highlights examples of the positive impact that human rights legislation has had on law reform, cases and dispute resolution outcomes in Australia and the UK.</w:t>
      </w:r>
    </w:p>
    <w:p w14:paraId="374400AD" w14:textId="4FACB756" w:rsidR="006449F9" w:rsidRPr="00BA6BEE" w:rsidRDefault="006449F9" w:rsidP="00BA6BEE">
      <w:pPr>
        <w:pStyle w:val="Heading3"/>
        <w:rPr>
          <w:rStyle w:val="Strong"/>
          <w:b/>
          <w:bCs w:val="0"/>
        </w:rPr>
      </w:pPr>
      <w:bookmarkStart w:id="28" w:name="_Toc138853915"/>
      <w:bookmarkStart w:id="29" w:name="_Toc140247450"/>
      <w:r w:rsidRPr="00BA6BEE">
        <w:rPr>
          <w:rStyle w:val="Strong"/>
          <w:b/>
          <w:bCs w:val="0"/>
        </w:rPr>
        <w:t>Law making and reform</w:t>
      </w:r>
      <w:bookmarkEnd w:id="28"/>
      <w:bookmarkEnd w:id="29"/>
      <w:r w:rsidRPr="00BA6BEE">
        <w:rPr>
          <w:rStyle w:val="Strong"/>
          <w:b/>
          <w:bCs w:val="0"/>
        </w:rPr>
        <w:t xml:space="preserve"> </w:t>
      </w:r>
    </w:p>
    <w:p w14:paraId="46DAB00F" w14:textId="2640B491" w:rsidR="006449F9" w:rsidRPr="00CD283C" w:rsidRDefault="006449F9" w:rsidP="00D249F5">
      <w:pPr>
        <w:pStyle w:val="Heading4"/>
        <w:ind w:left="720"/>
        <w:rPr>
          <w:rStyle w:val="Strong"/>
          <w:b/>
          <w:bCs w:val="0"/>
        </w:rPr>
      </w:pPr>
      <w:r w:rsidRPr="00CD283C">
        <w:rPr>
          <w:rStyle w:val="Strong"/>
          <w:b/>
          <w:bCs w:val="0"/>
        </w:rPr>
        <w:t>Victoria</w:t>
      </w:r>
      <w:r w:rsidR="004F447A">
        <w:rPr>
          <w:rStyle w:val="Strong"/>
          <w:b/>
          <w:bCs w:val="0"/>
        </w:rPr>
        <w:t>:</w:t>
      </w:r>
      <w:r w:rsidRPr="00CD283C">
        <w:rPr>
          <w:rStyle w:val="Strong"/>
          <w:b/>
          <w:bCs w:val="0"/>
        </w:rPr>
        <w:t xml:space="preserve"> guardianship and administration reforms </w:t>
      </w:r>
    </w:p>
    <w:p w14:paraId="4EA106AA" w14:textId="5E6E60E3" w:rsidR="006449F9" w:rsidRDefault="006449F9" w:rsidP="006449F9">
      <w:pPr>
        <w:pStyle w:val="BodyText"/>
      </w:pPr>
      <w:r w:rsidRPr="006F65D8">
        <w:t xml:space="preserve">The </w:t>
      </w:r>
      <w:r w:rsidR="003B7F24">
        <w:rPr>
          <w:i/>
          <w:iCs/>
        </w:rPr>
        <w:t>Charter of Human Rights and Responsibilities Act 2006</w:t>
      </w:r>
      <w:r w:rsidR="003B7F24">
        <w:t xml:space="preserve"> (Vic) (the Victorian Charter)</w:t>
      </w:r>
      <w:r w:rsidRPr="006F65D8">
        <w:t xml:space="preserve"> has been effective in driving law reform that increases compliance with human rights. For example, the Victorian Attorney-General asked the Victorian Law Reform Commission to review the Guardianship and Administration Act 1986 (Vic) and included in its terms of reference to consider </w:t>
      </w:r>
      <w:r w:rsidRPr="00C32D10">
        <w:t xml:space="preserve">whether the laws are consistent with the </w:t>
      </w:r>
      <w:r w:rsidR="003B7F24">
        <w:rPr>
          <w:rStyle w:val="Emphasis"/>
          <w:i w:val="0"/>
          <w:iCs w:val="0"/>
        </w:rPr>
        <w:t>Victorian Charter</w:t>
      </w:r>
      <w:r w:rsidRPr="006F65D8">
        <w:t>.</w:t>
      </w:r>
      <w:r w:rsidRPr="006F65D8">
        <w:rPr>
          <w:rStyle w:val="FootnoteReference"/>
        </w:rPr>
        <w:footnoteReference w:id="11"/>
      </w:r>
      <w:r w:rsidRPr="006F65D8">
        <w:t xml:space="preserve"> The Victorian Law Reform Commission noted that the</w:t>
      </w:r>
      <w:r w:rsidR="003B7F24">
        <w:t xml:space="preserve"> Victorian</w:t>
      </w:r>
      <w:r w:rsidRPr="006F65D8">
        <w:t xml:space="preserve"> Charter ‘served as a helpful guide … when designing new guardianship laws’, and that along with the CRPD, the </w:t>
      </w:r>
      <w:r w:rsidR="003B7F24">
        <w:lastRenderedPageBreak/>
        <w:t xml:space="preserve">Victorian </w:t>
      </w:r>
      <w:r w:rsidRPr="006F65D8">
        <w:t>Charter ‘has informed the development of principles to underpin new guardianship laws.’</w:t>
      </w:r>
      <w:r w:rsidRPr="006F65D8">
        <w:rPr>
          <w:rStyle w:val="FootnoteReference"/>
        </w:rPr>
        <w:footnoteReference w:id="12"/>
      </w:r>
      <w:r w:rsidRPr="006F65D8">
        <w:t xml:space="preserve"> </w:t>
      </w:r>
    </w:p>
    <w:p w14:paraId="12899216" w14:textId="77777777" w:rsidR="006449F9" w:rsidRPr="006F65D8" w:rsidRDefault="006449F9" w:rsidP="006449F9">
      <w:pPr>
        <w:pStyle w:val="BodyText"/>
      </w:pPr>
      <w:r w:rsidRPr="006F65D8">
        <w:t xml:space="preserve">The Victorian Law Reform Commission’s Inquiry led to the development and passing of the new </w:t>
      </w:r>
      <w:r w:rsidRPr="00C32D10">
        <w:rPr>
          <w:rStyle w:val="Emphasis"/>
        </w:rPr>
        <w:t>Guardianship and Administration Act 2019</w:t>
      </w:r>
      <w:r w:rsidRPr="006F65D8">
        <w:t xml:space="preserve"> (Vic), which represented a ‘landmark change’ in guardianship law, with a focus on ensuring that people with disability are able to make and participate in decisions affecting their lives.</w:t>
      </w:r>
      <w:r w:rsidRPr="006F65D8">
        <w:rPr>
          <w:rStyle w:val="FootnoteReference"/>
        </w:rPr>
        <w:footnoteReference w:id="13"/>
      </w:r>
      <w:r w:rsidRPr="006F65D8">
        <w:t xml:space="preserve"> This law has translated to more choice and control for people with disability (see </w:t>
      </w:r>
      <w:r w:rsidRPr="0010718E">
        <w:rPr>
          <w:i/>
          <w:iCs/>
        </w:rPr>
        <w:t>Tribunal and Court cases</w:t>
      </w:r>
      <w:r w:rsidRPr="006F65D8">
        <w:t xml:space="preserve"> section below). </w:t>
      </w:r>
    </w:p>
    <w:p w14:paraId="42B5FFCD" w14:textId="280EC306" w:rsidR="006449F9" w:rsidRPr="00CD283C" w:rsidRDefault="006449F9" w:rsidP="00FD6316">
      <w:pPr>
        <w:pStyle w:val="Heading4"/>
        <w:ind w:left="720"/>
        <w:rPr>
          <w:rStyle w:val="Strong"/>
          <w:b/>
          <w:bCs w:val="0"/>
        </w:rPr>
      </w:pPr>
      <w:r w:rsidRPr="00CD283C">
        <w:rPr>
          <w:rStyle w:val="Strong"/>
          <w:b/>
          <w:bCs w:val="0"/>
        </w:rPr>
        <w:t>Queensland</w:t>
      </w:r>
      <w:r w:rsidR="009C1096">
        <w:rPr>
          <w:rStyle w:val="Strong"/>
          <w:b/>
          <w:bCs w:val="0"/>
        </w:rPr>
        <w:t>:</w:t>
      </w:r>
      <w:r w:rsidRPr="00CD283C">
        <w:rPr>
          <w:rStyle w:val="Strong"/>
          <w:b/>
          <w:bCs w:val="0"/>
        </w:rPr>
        <w:t xml:space="preserve"> voluntary assisted dying legislation </w:t>
      </w:r>
    </w:p>
    <w:p w14:paraId="5B2342F3" w14:textId="77777777" w:rsidR="006449F9" w:rsidRPr="006F65D8" w:rsidRDefault="006449F9" w:rsidP="006449F9">
      <w:r w:rsidRPr="006F65D8">
        <w:t xml:space="preserve">Queensland’s recent </w:t>
      </w:r>
      <w:r w:rsidRPr="00C32D10">
        <w:rPr>
          <w:rStyle w:val="Emphasis"/>
        </w:rPr>
        <w:t>Voluntary Assisted Dying Act 2021</w:t>
      </w:r>
      <w:r w:rsidRPr="006F65D8">
        <w:t xml:space="preserve"> (QLD) (‘Voluntary Assisted Dying Act’) contains specific provisions about the rights of people with disability. Section 13 of the </w:t>
      </w:r>
      <w:r w:rsidRPr="00C32D10">
        <w:rPr>
          <w:rStyle w:val="Emphasis"/>
        </w:rPr>
        <w:t>Voluntary Assisted Dying Act</w:t>
      </w:r>
      <w:r w:rsidRPr="006F65D8">
        <w:t xml:space="preserve"> states that people with disability are subject to the same eligibility criteria for access to voluntary assisted dying as people without disability.</w:t>
      </w:r>
      <w:r w:rsidRPr="006F65D8">
        <w:rPr>
          <w:rStyle w:val="FootnoteReference"/>
        </w:rPr>
        <w:footnoteReference w:id="14"/>
      </w:r>
      <w:r w:rsidRPr="006F65D8">
        <w:t xml:space="preserve"> Section 13 also clarifies that having a disability does not make a person eligible for voluntary assisted dying in and of itself.</w:t>
      </w:r>
      <w:r w:rsidRPr="006F65D8">
        <w:rPr>
          <w:rStyle w:val="FootnoteReference"/>
        </w:rPr>
        <w:footnoteReference w:id="15"/>
      </w:r>
      <w:r w:rsidRPr="006F65D8">
        <w:t xml:space="preserve"> </w:t>
      </w:r>
    </w:p>
    <w:p w14:paraId="72CC3832" w14:textId="77777777" w:rsidR="006449F9" w:rsidRPr="006F65D8" w:rsidRDefault="006449F9" w:rsidP="006449F9">
      <w:r w:rsidRPr="006F65D8">
        <w:t>According to the Queensland Law Reform Commission, these provisions:</w:t>
      </w:r>
    </w:p>
    <w:p w14:paraId="1F94C0CA" w14:textId="77777777" w:rsidR="006449F9" w:rsidRPr="006F65D8" w:rsidRDefault="006449F9" w:rsidP="006449F9">
      <w:pPr>
        <w:pStyle w:val="Quote"/>
      </w:pPr>
      <w:r w:rsidRPr="006F65D8">
        <w:t xml:space="preserve"> ‘…[make] it clear that people who have a disability … have the same rights and protections as other members of the community, and should not be discriminated against or denied access to voluntary assisted dying if they meet all the eligibility criteria.’</w:t>
      </w:r>
      <w:r w:rsidRPr="006F65D8">
        <w:rPr>
          <w:rStyle w:val="FootnoteReference"/>
        </w:rPr>
        <w:footnoteReference w:id="16"/>
      </w:r>
      <w:r w:rsidRPr="006F65D8">
        <w:t xml:space="preserve"> </w:t>
      </w:r>
    </w:p>
    <w:p w14:paraId="28B4CB25" w14:textId="17219329" w:rsidR="006449F9" w:rsidRPr="006F65D8" w:rsidRDefault="006449F9" w:rsidP="006449F9">
      <w:r w:rsidRPr="006F65D8">
        <w:t xml:space="preserve">Section 13 of the </w:t>
      </w:r>
      <w:r w:rsidRPr="00C32D10">
        <w:rPr>
          <w:rStyle w:val="Emphasis"/>
        </w:rPr>
        <w:t>Voluntary Assisted Dying Act</w:t>
      </w:r>
      <w:r w:rsidRPr="006F65D8">
        <w:t xml:space="preserve"> is based on recommendation 7-2 of the Queensland Law Reform Commission’s 2021 Report, </w:t>
      </w:r>
      <w:r w:rsidRPr="00C32D10">
        <w:rPr>
          <w:rStyle w:val="Emphasis"/>
        </w:rPr>
        <w:t>A Legal Framework for Voluntary Assisted Dying</w:t>
      </w:r>
      <w:r w:rsidRPr="006F65D8">
        <w:t>, which recommend</w:t>
      </w:r>
      <w:r w:rsidR="00291E14">
        <w:t>ed</w:t>
      </w:r>
      <w:r w:rsidRPr="006F65D8">
        <w:t xml:space="preserve"> that the legislation state that people with disability </w:t>
      </w:r>
      <w:r w:rsidRPr="006F65D8">
        <w:lastRenderedPageBreak/>
        <w:t>can access Voluntary Assisted Dying if they meet all the criteria</w:t>
      </w:r>
      <w:r>
        <w:t>,</w:t>
      </w:r>
      <w:r w:rsidRPr="006F65D8">
        <w:t xml:space="preserve"> and that having a disability does</w:t>
      </w:r>
      <w:r>
        <w:t xml:space="preserve"> not</w:t>
      </w:r>
      <w:r w:rsidRPr="006F65D8">
        <w:t xml:space="preserve"> in and of itself make a person eligible for voluntary assisted dying.</w:t>
      </w:r>
      <w:r w:rsidRPr="006F65D8">
        <w:rPr>
          <w:rStyle w:val="FootnoteReference"/>
        </w:rPr>
        <w:footnoteReference w:id="17"/>
      </w:r>
      <w:r w:rsidRPr="006F65D8">
        <w:t xml:space="preserve"> </w:t>
      </w:r>
    </w:p>
    <w:p w14:paraId="3AE2020A" w14:textId="0D007724" w:rsidR="006449F9" w:rsidRPr="006F65D8" w:rsidRDefault="006449F9" w:rsidP="006449F9">
      <w:r w:rsidRPr="006F65D8">
        <w:t xml:space="preserve">In making its recommendations, the Queensland Law Reform Commission expressly referred to the </w:t>
      </w:r>
      <w:r w:rsidRPr="00C32D10">
        <w:rPr>
          <w:rStyle w:val="Emphasis"/>
        </w:rPr>
        <w:t>Queensland Human Rights Act</w:t>
      </w:r>
      <w:r w:rsidR="000F25F1">
        <w:rPr>
          <w:rStyle w:val="Emphasis"/>
        </w:rPr>
        <w:t xml:space="preserve"> </w:t>
      </w:r>
      <w:r w:rsidR="009C0E9B">
        <w:rPr>
          <w:rStyle w:val="Emphasis"/>
        </w:rPr>
        <w:t>2019 (</w:t>
      </w:r>
      <w:r w:rsidR="00F775C7">
        <w:rPr>
          <w:rStyle w:val="Emphasis"/>
        </w:rPr>
        <w:t>‘</w:t>
      </w:r>
      <w:r w:rsidR="009C0E9B" w:rsidRPr="0010718E">
        <w:rPr>
          <w:rStyle w:val="Emphasis"/>
          <w:i w:val="0"/>
          <w:iCs w:val="0"/>
        </w:rPr>
        <w:t>QLD Human Rights Act</w:t>
      </w:r>
      <w:r w:rsidR="00F775C7">
        <w:rPr>
          <w:rStyle w:val="Emphasis"/>
          <w:i w:val="0"/>
          <w:iCs w:val="0"/>
        </w:rPr>
        <w:t>’</w:t>
      </w:r>
      <w:r w:rsidR="009C0E9B">
        <w:rPr>
          <w:rStyle w:val="Emphasis"/>
        </w:rPr>
        <w:t>)</w:t>
      </w:r>
      <w:r w:rsidRPr="00C32D10">
        <w:rPr>
          <w:rStyle w:val="Emphasis"/>
        </w:rPr>
        <w:t>,</w:t>
      </w:r>
      <w:r w:rsidRPr="006F65D8">
        <w:t xml:space="preserve"> noting the right to ‘recognition and equality before the law’ and the ‘right to access health services without discrimination’.</w:t>
      </w:r>
      <w:r w:rsidRPr="006F65D8">
        <w:rPr>
          <w:rStyle w:val="FootnoteReference"/>
        </w:rPr>
        <w:footnoteReference w:id="18"/>
      </w:r>
      <w:r w:rsidRPr="006F65D8">
        <w:t xml:space="preserve"> As such, the presence of the </w:t>
      </w:r>
      <w:r w:rsidR="00F775C7" w:rsidRPr="0010718E">
        <w:rPr>
          <w:rStyle w:val="Emphasis"/>
        </w:rPr>
        <w:t>QLD Human Rights Ac</w:t>
      </w:r>
      <w:r w:rsidR="00895D62" w:rsidRPr="0010718E">
        <w:rPr>
          <w:rStyle w:val="Emphasis"/>
        </w:rPr>
        <w:t>t</w:t>
      </w:r>
      <w:r w:rsidRPr="0010718E">
        <w:rPr>
          <w:i/>
        </w:rPr>
        <w:t xml:space="preserve"> </w:t>
      </w:r>
      <w:r w:rsidRPr="006F65D8">
        <w:t xml:space="preserve">that the Queensland Law Reform Commission had regard to the rights of people with disability and this translated through into the legislation. </w:t>
      </w:r>
    </w:p>
    <w:p w14:paraId="0B750AEF" w14:textId="1C1A9C5B" w:rsidR="006449F9" w:rsidRPr="00D249F5" w:rsidRDefault="006449F9" w:rsidP="00D249F5">
      <w:pPr>
        <w:pStyle w:val="Heading3"/>
        <w:rPr>
          <w:b w:val="0"/>
          <w:bCs/>
        </w:rPr>
      </w:pPr>
      <w:bookmarkStart w:id="30" w:name="_Toc138853916"/>
      <w:bookmarkStart w:id="31" w:name="_Toc140247451"/>
      <w:r w:rsidRPr="00D249F5">
        <w:rPr>
          <w:rStyle w:val="Strong"/>
          <w:b/>
          <w:bCs w:val="0"/>
        </w:rPr>
        <w:t>Tribunals and court cases</w:t>
      </w:r>
      <w:bookmarkEnd w:id="30"/>
      <w:bookmarkEnd w:id="31"/>
      <w:r w:rsidRPr="00D249F5">
        <w:rPr>
          <w:rStyle w:val="Strong"/>
          <w:b/>
          <w:bCs w:val="0"/>
        </w:rPr>
        <w:t xml:space="preserve"> </w:t>
      </w:r>
    </w:p>
    <w:p w14:paraId="24312960" w14:textId="77777777" w:rsidR="006449F9" w:rsidRPr="00D249F5" w:rsidRDefault="006449F9" w:rsidP="00FD6316">
      <w:pPr>
        <w:pStyle w:val="Heading4"/>
        <w:ind w:left="720"/>
        <w:rPr>
          <w:b w:val="0"/>
          <w:bCs/>
        </w:rPr>
      </w:pPr>
      <w:r w:rsidRPr="00D249F5">
        <w:rPr>
          <w:rStyle w:val="Strong"/>
          <w:b/>
          <w:bCs w:val="0"/>
        </w:rPr>
        <w:t>Victoria: OUR (Guardianship) [2021] VCAT 176</w:t>
      </w:r>
    </w:p>
    <w:p w14:paraId="0D0D0458" w14:textId="77777777" w:rsidR="006449F9" w:rsidRPr="006F65D8" w:rsidRDefault="006449F9" w:rsidP="006449F9">
      <w:r w:rsidRPr="006F65D8">
        <w:t xml:space="preserve">In this case, </w:t>
      </w:r>
      <w:r>
        <w:t xml:space="preserve">the </w:t>
      </w:r>
      <w:r w:rsidRPr="006F65D8">
        <w:t>V</w:t>
      </w:r>
      <w:r>
        <w:t xml:space="preserve">ictorian </w:t>
      </w:r>
      <w:r w:rsidRPr="006F65D8">
        <w:t>C</w:t>
      </w:r>
      <w:r>
        <w:t xml:space="preserve">ivil and </w:t>
      </w:r>
      <w:r w:rsidRPr="006F65D8">
        <w:t>A</w:t>
      </w:r>
      <w:r>
        <w:t xml:space="preserve">dministrative </w:t>
      </w:r>
      <w:r w:rsidRPr="006F65D8">
        <w:t>T</w:t>
      </w:r>
      <w:r>
        <w:t>ribunal (VCAT)</w:t>
      </w:r>
      <w:r w:rsidRPr="006F65D8">
        <w:t xml:space="preserve"> conducted a reassessment hearing of an administration order under the new </w:t>
      </w:r>
      <w:r>
        <w:t>guardianship legislation</w:t>
      </w:r>
      <w:r w:rsidRPr="006F65D8">
        <w:t>. Under the new legislation, VCAT was obliged to let OUR’s will and preferences direct the decision ‘as far as practicable.’ OUR was given the opportunity to indicate her will and preferences, stating that she wanted the administration order to be revoked so she could manage her money herself. The new legislation also requires that VCAT presumes OUR had decision-making capacity unless there was evidence to the contrary, which there was not. As a result, OUR’s administration order was revoked and she was able to manage her own money.</w:t>
      </w:r>
      <w:r w:rsidRPr="006F65D8">
        <w:rPr>
          <w:rStyle w:val="FootnoteReference"/>
        </w:rPr>
        <w:footnoteReference w:id="19"/>
      </w:r>
      <w:r w:rsidRPr="006F65D8">
        <w:t xml:space="preserve"> </w:t>
      </w:r>
    </w:p>
    <w:p w14:paraId="476C6DD9" w14:textId="77777777" w:rsidR="006449F9" w:rsidRPr="00D249F5" w:rsidRDefault="006449F9" w:rsidP="00FD6316">
      <w:pPr>
        <w:pStyle w:val="Heading4"/>
        <w:ind w:left="720"/>
        <w:rPr>
          <w:b w:val="0"/>
          <w:bCs/>
        </w:rPr>
      </w:pPr>
      <w:r w:rsidRPr="00D249F5">
        <w:rPr>
          <w:rStyle w:val="Strong"/>
          <w:b/>
          <w:bCs w:val="0"/>
        </w:rPr>
        <w:t xml:space="preserve">Victoria: Ingram v QBE Insurance (Human Rights) [2015] VCAT 1936 </w:t>
      </w:r>
    </w:p>
    <w:p w14:paraId="25BEFB6B" w14:textId="1E18BC44" w:rsidR="006449F9" w:rsidRPr="001C7B72" w:rsidRDefault="006449F9" w:rsidP="006449F9">
      <w:pPr>
        <w:rPr>
          <w:rStyle w:val="Strong"/>
        </w:rPr>
      </w:pPr>
      <w:r w:rsidRPr="006F65D8">
        <w:t xml:space="preserve">This case involved a student, Ms Ingram, who purchased travel insurance in 2011 for a study trip scheduled for 2012. In early 2012, </w:t>
      </w:r>
      <w:r>
        <w:t>Ms Ingram</w:t>
      </w:r>
      <w:r w:rsidRPr="006F65D8">
        <w:t xml:space="preserve"> developed depression and was unable to attend the study trip. The insurance company refused to pay a claim for the cost </w:t>
      </w:r>
      <w:r w:rsidRPr="006F65D8">
        <w:lastRenderedPageBreak/>
        <w:t xml:space="preserve">of the trip relying on an exclusion in its policy for claims arising from mental illness. Ms Ingram argued that the mental illness exclusion policy discriminated on the basis of disability and breached the Victorian equal opportunity legislation. The Tribunal used the </w:t>
      </w:r>
      <w:r>
        <w:t>Victorian Charter</w:t>
      </w:r>
      <w:r w:rsidRPr="006F65D8">
        <w:t xml:space="preserve"> to interpret the meaning of ‘disability’ in the equal opportunity legislation, which meant that that the definition of disability included ‘a disability that may exist in the future.’ As a result, the fact that Ms Ingram did not have depression at the time of purchasing the policy did not preclude her from claiming discrimination. This case is an example of the </w:t>
      </w:r>
      <w:r w:rsidR="003B7F24">
        <w:t>Victorian</w:t>
      </w:r>
      <w:r w:rsidR="002400E8">
        <w:t xml:space="preserve"> </w:t>
      </w:r>
      <w:r w:rsidRPr="006F65D8">
        <w:t>Charter encouraging a human</w:t>
      </w:r>
      <w:r>
        <w:t xml:space="preserve"> </w:t>
      </w:r>
      <w:r w:rsidRPr="006F65D8">
        <w:t>rights interpretation of legislation.</w:t>
      </w:r>
    </w:p>
    <w:p w14:paraId="2AC00CB1" w14:textId="4FC510E7" w:rsidR="006449F9" w:rsidRPr="00FD6316" w:rsidRDefault="0062240E" w:rsidP="00FD6316">
      <w:pPr>
        <w:pStyle w:val="Heading4"/>
        <w:ind w:left="720"/>
        <w:rPr>
          <w:rStyle w:val="Strong"/>
          <w:b/>
          <w:bCs w:val="0"/>
        </w:rPr>
      </w:pPr>
      <w:r>
        <w:rPr>
          <w:rStyle w:val="Strong"/>
          <w:b/>
          <w:bCs w:val="0"/>
        </w:rPr>
        <w:t>UK</w:t>
      </w:r>
      <w:r w:rsidR="006449F9" w:rsidRPr="00FD6316">
        <w:rPr>
          <w:rStyle w:val="Strong"/>
          <w:b/>
          <w:bCs w:val="0"/>
        </w:rPr>
        <w:t>: RR (Appellant) v Secretary of State for Work and Pensions (Respondent)</w:t>
      </w:r>
    </w:p>
    <w:p w14:paraId="2BCE6EB7" w14:textId="43574981" w:rsidR="002400E8" w:rsidRDefault="006449F9" w:rsidP="006449F9">
      <w:r w:rsidRPr="006F65D8">
        <w:t xml:space="preserve">This case concerned a </w:t>
      </w:r>
      <w:r w:rsidR="00DE0388">
        <w:t>G</w:t>
      </w:r>
      <w:r w:rsidRPr="006F65D8">
        <w:t xml:space="preserve">overnment regulation that deducted a percentage of the housing benefit where the number of rooms in the house exceeded the size of the family or people who lived there. </w:t>
      </w:r>
    </w:p>
    <w:p w14:paraId="24B3AD75" w14:textId="6E4F5D41" w:rsidR="006449F9" w:rsidRPr="006F65D8" w:rsidRDefault="006449F9" w:rsidP="006449F9">
      <w:r w:rsidRPr="006F65D8">
        <w:t xml:space="preserve">The regulation did not contain exceptions for adults with disability who cannot not share a bedroom due to disability and those who require an extra bedroom for overnight care from a non-resident carer. The Court held that the regulation contravened the </w:t>
      </w:r>
      <w:r w:rsidRPr="0010718E">
        <w:rPr>
          <w:i/>
          <w:iCs/>
        </w:rPr>
        <w:t>UK Human Rights Act</w:t>
      </w:r>
      <w:r w:rsidR="003C5562" w:rsidRPr="0010718E">
        <w:rPr>
          <w:i/>
          <w:iCs/>
        </w:rPr>
        <w:t xml:space="preserve"> 1998</w:t>
      </w:r>
      <w:r w:rsidRPr="006F65D8">
        <w:t>, by breaching Articles 8 (right to respect for private and family life) and 14 (right to non-discrimination) of the European Convention on Human Rights.</w:t>
      </w:r>
    </w:p>
    <w:p w14:paraId="1C121C1A" w14:textId="77777777" w:rsidR="006449F9" w:rsidRPr="006F65D8" w:rsidRDefault="006449F9" w:rsidP="006449F9">
      <w:r w:rsidRPr="006F65D8">
        <w:t>The decision prompted the Government to amend its legislation to allow an extra bedroom when a person with disability requires overnight care from a non-resident carer, and to allow adults couples with disability an extra bedroom if they cannot share a bedroom due to disability.</w:t>
      </w:r>
      <w:r w:rsidRPr="006F65D8">
        <w:rPr>
          <w:rStyle w:val="FootnoteReference"/>
        </w:rPr>
        <w:footnoteReference w:id="20"/>
      </w:r>
      <w:r w:rsidRPr="006F65D8">
        <w:t xml:space="preserve"> </w:t>
      </w:r>
    </w:p>
    <w:p w14:paraId="7DCCC691" w14:textId="72FFF134" w:rsidR="006449F9" w:rsidRPr="00FD6316" w:rsidRDefault="0062240E" w:rsidP="00FD6316">
      <w:pPr>
        <w:pStyle w:val="Heading4"/>
        <w:ind w:left="720"/>
        <w:rPr>
          <w:b w:val="0"/>
          <w:bCs/>
        </w:rPr>
      </w:pPr>
      <w:r>
        <w:rPr>
          <w:rStyle w:val="Strong"/>
          <w:b/>
          <w:bCs w:val="0"/>
        </w:rPr>
        <w:lastRenderedPageBreak/>
        <w:t>UK</w:t>
      </w:r>
      <w:r w:rsidR="006449F9" w:rsidRPr="00FD6316">
        <w:rPr>
          <w:rStyle w:val="Strong"/>
          <w:b/>
          <w:bCs w:val="0"/>
        </w:rPr>
        <w:t>: The Queen on the Application of Bernard v. London Borough of Enfield [2002] EWHC 2282 (Admin)</w:t>
      </w:r>
    </w:p>
    <w:p w14:paraId="33EAA090" w14:textId="28C7B844" w:rsidR="006449F9" w:rsidRPr="006F65D8" w:rsidRDefault="006449F9" w:rsidP="006449F9">
      <w:r w:rsidRPr="006F65D8">
        <w:t>A woman with severe disabilit</w:t>
      </w:r>
      <w:r w:rsidR="00C40BBA">
        <w:t>y</w:t>
      </w:r>
      <w:r w:rsidRPr="006F65D8">
        <w:t xml:space="preserve"> and her husband brought a claim alleging that the Housing Department did not provide them with wheelchair accessible accommodation. </w:t>
      </w:r>
      <w:r>
        <w:t>The</w:t>
      </w:r>
      <w:r w:rsidRPr="006F65D8">
        <w:t xml:space="preserve"> woman could not use her wheelchair and had to rely on her husband for all tasks of daily living. The woman was incontinent due to difficulties of getting to a toilet in time </w:t>
      </w:r>
      <w:r w:rsidR="007D3A07">
        <w:t>because of</w:t>
      </w:r>
      <w:r w:rsidRPr="006F65D8">
        <w:t xml:space="preserve"> the property layout and lack of wheelchair use. She was also unable to care for and supervise her six children as she c</w:t>
      </w:r>
      <w:r>
        <w:t>ould not</w:t>
      </w:r>
      <w:r w:rsidRPr="006F65D8">
        <w:t xml:space="preserve"> move around the home. The local authority accepted that it was under a duty to provide adapted </w:t>
      </w:r>
      <w:r w:rsidR="007D3A07" w:rsidRPr="006F65D8">
        <w:t>accommodation but</w:t>
      </w:r>
      <w:r w:rsidRPr="006F65D8">
        <w:t xml:space="preserve"> failed to comply with this duty for 20 months. The Court found that the Housing Department had violated Article 8 of the European Convention</w:t>
      </w:r>
      <w:r>
        <w:t xml:space="preserve"> on Human Rights</w:t>
      </w:r>
      <w:r w:rsidRPr="006F65D8">
        <w:t xml:space="preserve"> by failing to respect the private and family life of the claimants and awarded damages to the claimants. The Court noted that Article 8 may require </w:t>
      </w:r>
      <w:r w:rsidR="0010718E">
        <w:t>g</w:t>
      </w:r>
      <w:r w:rsidRPr="006F65D8">
        <w:t xml:space="preserve">overnments to take positive steps to ensure respect for private or family life, as opposed to merely abstaining from interference.  </w:t>
      </w:r>
    </w:p>
    <w:p w14:paraId="4B1E7FC4" w14:textId="23960E9F" w:rsidR="006449F9" w:rsidRPr="00FD6316" w:rsidRDefault="006449F9" w:rsidP="00FD6316">
      <w:pPr>
        <w:pStyle w:val="Heading3"/>
        <w:rPr>
          <w:rStyle w:val="Strong"/>
          <w:b/>
          <w:bCs w:val="0"/>
        </w:rPr>
      </w:pPr>
      <w:bookmarkStart w:id="32" w:name="_Toc138853917"/>
      <w:bookmarkStart w:id="33" w:name="_Toc140247452"/>
      <w:r w:rsidRPr="00FD6316">
        <w:rPr>
          <w:rStyle w:val="Strong"/>
          <w:b/>
          <w:bCs w:val="0"/>
        </w:rPr>
        <w:t>Complaints and dispute resolution</w:t>
      </w:r>
      <w:bookmarkEnd w:id="32"/>
      <w:bookmarkEnd w:id="33"/>
      <w:r w:rsidRPr="00FD6316">
        <w:rPr>
          <w:rStyle w:val="Strong"/>
          <w:b/>
          <w:bCs w:val="0"/>
        </w:rPr>
        <w:t xml:space="preserve"> </w:t>
      </w:r>
    </w:p>
    <w:p w14:paraId="6C1858AB" w14:textId="2FB96B49" w:rsidR="006449F9" w:rsidRPr="006F65D8" w:rsidRDefault="006449F9" w:rsidP="006449F9">
      <w:r w:rsidRPr="006F65D8">
        <w:t xml:space="preserve">People with disability and their advocates have </w:t>
      </w:r>
      <w:r w:rsidR="00423CB0">
        <w:t xml:space="preserve">also </w:t>
      </w:r>
      <w:r w:rsidRPr="006F65D8">
        <w:t>been able to use human rights</w:t>
      </w:r>
      <w:r w:rsidR="00423CB0">
        <w:t xml:space="preserve"> legislation</w:t>
      </w:r>
      <w:r w:rsidRPr="006F65D8">
        <w:t xml:space="preserve"> to resolve disputes directly with institutions and where necessary, through complaint mechanisms without the need to litigate.  </w:t>
      </w:r>
    </w:p>
    <w:p w14:paraId="7D0E897C" w14:textId="6A46C1A7" w:rsidR="006449F9" w:rsidRPr="00FD6316" w:rsidRDefault="0010718E" w:rsidP="00FD6316">
      <w:pPr>
        <w:pStyle w:val="Heading4"/>
        <w:ind w:left="720"/>
        <w:rPr>
          <w:b w:val="0"/>
          <w:bCs/>
        </w:rPr>
      </w:pPr>
      <w:r>
        <w:rPr>
          <w:rStyle w:val="Strong"/>
          <w:b/>
          <w:bCs w:val="0"/>
        </w:rPr>
        <w:t>ACT</w:t>
      </w:r>
      <w:r w:rsidR="006449F9" w:rsidRPr="00FD6316">
        <w:rPr>
          <w:rStyle w:val="Strong"/>
          <w:b/>
          <w:bCs w:val="0"/>
        </w:rPr>
        <w:t xml:space="preserve">: Abuse and freedom of movement  </w:t>
      </w:r>
    </w:p>
    <w:p w14:paraId="31BD5382" w14:textId="77777777" w:rsidR="006449F9" w:rsidRPr="006F65D8" w:rsidRDefault="006449F9" w:rsidP="006449F9">
      <w:r w:rsidRPr="006F65D8">
        <w:t xml:space="preserve">This case involved a man who had allegedly been frightened and provoked deliberately by his carers. The Commissioner found no reliable evidence that this had happened, but made recommendations about staff training, critical incident reporting and communication and information sharing between agencies involved in the man’s care. The Commissioner also raised concern about the fact the man was unable to leave his accommodation and that the doors of his residence were locked. The Commissioner recommended that a </w:t>
      </w:r>
      <w:r w:rsidRPr="006F65D8">
        <w:lastRenderedPageBreak/>
        <w:t>human rights analysis of the man’s care and treatment be conducted, including the restriction of his movement. The recommendations were accepted.</w:t>
      </w:r>
      <w:r w:rsidRPr="006F65D8">
        <w:rPr>
          <w:rStyle w:val="FootnoteReference"/>
        </w:rPr>
        <w:footnoteReference w:id="21"/>
      </w:r>
      <w:r w:rsidRPr="006F65D8">
        <w:t xml:space="preserve"> </w:t>
      </w:r>
    </w:p>
    <w:p w14:paraId="6594367D" w14:textId="77777777" w:rsidR="006449F9" w:rsidRPr="00FD6316" w:rsidRDefault="006449F9" w:rsidP="00FD6316">
      <w:pPr>
        <w:pStyle w:val="Heading4"/>
        <w:ind w:left="720"/>
        <w:rPr>
          <w:rStyle w:val="Strong"/>
          <w:b/>
          <w:bCs w:val="0"/>
        </w:rPr>
      </w:pPr>
      <w:r w:rsidRPr="00FD6316">
        <w:rPr>
          <w:rStyle w:val="Strong"/>
          <w:b/>
          <w:bCs w:val="0"/>
        </w:rPr>
        <w:t xml:space="preserve">Queensland: Mental health and eviction </w:t>
      </w:r>
    </w:p>
    <w:p w14:paraId="01FB55F2" w14:textId="1E47C68E" w:rsidR="006449F9" w:rsidRPr="006F65D8" w:rsidRDefault="006449F9" w:rsidP="006449F9">
      <w:r w:rsidRPr="006F65D8">
        <w:t xml:space="preserve">Tenants Queensland used the </w:t>
      </w:r>
      <w:r w:rsidR="00301B38" w:rsidRPr="007D74DC">
        <w:rPr>
          <w:rStyle w:val="Emphasis"/>
        </w:rPr>
        <w:t>Q</w:t>
      </w:r>
      <w:r w:rsidR="00301B38">
        <w:rPr>
          <w:rStyle w:val="Emphasis"/>
        </w:rPr>
        <w:t>LD</w:t>
      </w:r>
      <w:r w:rsidR="00301B38" w:rsidRPr="007D74DC">
        <w:rPr>
          <w:rStyle w:val="Emphasis"/>
        </w:rPr>
        <w:t xml:space="preserve"> </w:t>
      </w:r>
      <w:r w:rsidRPr="007D74DC">
        <w:rPr>
          <w:rStyle w:val="Emphasis"/>
        </w:rPr>
        <w:t>Human Rights Act</w:t>
      </w:r>
      <w:r w:rsidRPr="006F65D8">
        <w:t xml:space="preserve"> to help a man with mental health issues avoid eviction. The housing provider sought to evict the man due to his frequent complaints about common areas. Tenants Queensland assisted the tenant in drafting a human rights complaint stating that the housing provider should have taken the man’s disability into account and given him an alternative way of communicating rather than seeking to terminate the tenancy. Negotiations resulted in the provider withdrawing their application to terminate the tenancy.</w:t>
      </w:r>
      <w:r w:rsidRPr="006F65D8">
        <w:rPr>
          <w:rStyle w:val="FootnoteReference"/>
        </w:rPr>
        <w:footnoteReference w:id="22"/>
      </w:r>
    </w:p>
    <w:p w14:paraId="221CE26F" w14:textId="7A648F15" w:rsidR="006449F9" w:rsidRPr="00FD6316" w:rsidRDefault="0062240E" w:rsidP="00FD6316">
      <w:pPr>
        <w:pStyle w:val="Heading4"/>
        <w:ind w:left="720"/>
        <w:rPr>
          <w:rStyle w:val="Strong"/>
          <w:b/>
          <w:bCs w:val="0"/>
        </w:rPr>
      </w:pPr>
      <w:r>
        <w:rPr>
          <w:rStyle w:val="Strong"/>
          <w:b/>
          <w:bCs w:val="0"/>
        </w:rPr>
        <w:t>UK</w:t>
      </w:r>
      <w:r w:rsidR="006449F9" w:rsidRPr="00FD6316">
        <w:rPr>
          <w:rStyle w:val="Strong"/>
          <w:b/>
          <w:bCs w:val="0"/>
        </w:rPr>
        <w:t xml:space="preserve">: Woman denied a double bed </w:t>
      </w:r>
    </w:p>
    <w:p w14:paraId="79810A59" w14:textId="0648D006" w:rsidR="00B17D6E" w:rsidRDefault="006449F9" w:rsidP="006449F9">
      <w:r w:rsidRPr="006F65D8">
        <w:t>A woman with disability was advised by an occupational therapist that she needed a special profile bed. She was unable to leave the bed and the new arrangement would ensure that care</w:t>
      </w:r>
      <w:r w:rsidR="00CE3AE3">
        <w:t>rs</w:t>
      </w:r>
      <w:r w:rsidRPr="006F65D8">
        <w:t xml:space="preserve"> could give her a bed bath. She wanted to continue to sleep next to her husband, so she requested a double bed. The authority declined her request, even though she offered to pay the difference between a single and double bed. No progress was made for 18 months until the Disability Law Centre advised her to invoke her right to respect for private and family life. Within three hours of making this argument to the authority, </w:t>
      </w:r>
      <w:r>
        <w:t xml:space="preserve">the authority </w:t>
      </w:r>
      <w:r w:rsidRPr="006F65D8">
        <w:t>approved funding of the whole double profile bed. The woman has since stated that, ‘[i]t has made a phenomenal difference to my life. If something similar happened in future, I would have no hesitation in using the [Human Rights Act] again’.</w:t>
      </w:r>
      <w:r w:rsidRPr="006F65D8">
        <w:rPr>
          <w:rStyle w:val="FootnoteReference"/>
        </w:rPr>
        <w:footnoteReference w:id="23"/>
      </w:r>
    </w:p>
    <w:p w14:paraId="1227458E" w14:textId="77777777" w:rsidR="00B17D6E" w:rsidRPr="006F65D8" w:rsidRDefault="00B17D6E" w:rsidP="006449F9"/>
    <w:p w14:paraId="4EFD670F" w14:textId="2B0164D6" w:rsidR="006449F9" w:rsidRPr="009D1083" w:rsidRDefault="006449F9" w:rsidP="006449F9">
      <w:pPr>
        <w:pStyle w:val="Heading2"/>
        <w:rPr>
          <w:color w:val="005496" w:themeColor="accent1"/>
        </w:rPr>
      </w:pPr>
      <w:bookmarkStart w:id="34" w:name="_Toc138853918"/>
      <w:bookmarkStart w:id="35" w:name="_Toc140247453"/>
      <w:r>
        <w:rPr>
          <w:color w:val="005496" w:themeColor="accent1"/>
        </w:rPr>
        <w:lastRenderedPageBreak/>
        <w:t>Scope of the human rights legislation</w:t>
      </w:r>
      <w:bookmarkEnd w:id="34"/>
      <w:bookmarkEnd w:id="35"/>
    </w:p>
    <w:p w14:paraId="0398B89A" w14:textId="75501025" w:rsidR="00F9106D" w:rsidRPr="0010718E" w:rsidRDefault="00443001" w:rsidP="001744ED">
      <w:r w:rsidRPr="0010718E">
        <w:t xml:space="preserve">As the previous section demonstrates, human rights legislation </w:t>
      </w:r>
      <w:r w:rsidR="00F9106D" w:rsidRPr="0010718E">
        <w:t>has resulted in tangible</w:t>
      </w:r>
      <w:r w:rsidR="000E17D8">
        <w:t xml:space="preserve"> and fuller </w:t>
      </w:r>
      <w:r w:rsidR="00F9106D" w:rsidRPr="0010718E">
        <w:t xml:space="preserve">human rights protections for people with disability. Establishing national human rights legislation would replicate and extend the success of this legislation </w:t>
      </w:r>
      <w:r w:rsidR="00F9106D">
        <w:t>to</w:t>
      </w:r>
      <w:r w:rsidR="00F9106D" w:rsidRPr="0010718E">
        <w:t xml:space="preserve"> all jurisdictions. </w:t>
      </w:r>
    </w:p>
    <w:p w14:paraId="5DE784C2" w14:textId="7C421F4C" w:rsidR="00EC20E9" w:rsidRDefault="0010718E" w:rsidP="001744ED">
      <w:r>
        <w:t>W</w:t>
      </w:r>
      <w:r w:rsidR="00F9106D" w:rsidRPr="0010718E">
        <w:t xml:space="preserve">hat should </w:t>
      </w:r>
      <w:r>
        <w:t xml:space="preserve">a </w:t>
      </w:r>
      <w:r w:rsidR="00F9106D" w:rsidRPr="0010718E">
        <w:t xml:space="preserve">national human rights </w:t>
      </w:r>
      <w:r>
        <w:t>legislation</w:t>
      </w:r>
      <w:r w:rsidR="00F9106D" w:rsidRPr="0010718E">
        <w:t xml:space="preserve"> cover? </w:t>
      </w:r>
      <w:r w:rsidR="001744ED" w:rsidRPr="00F9106D">
        <w:t>Human rights legislation</w:t>
      </w:r>
      <w:r w:rsidR="001744ED" w:rsidRPr="001C7B72">
        <w:t xml:space="preserve"> in the ACT, Queensland and Victoria is based on the </w:t>
      </w:r>
      <w:r w:rsidR="001744ED" w:rsidRPr="0010718E">
        <w:rPr>
          <w:i/>
          <w:iCs/>
        </w:rPr>
        <w:t xml:space="preserve">International Covenant on Civil and Political Rights </w:t>
      </w:r>
      <w:r w:rsidR="001744ED" w:rsidRPr="001C7B72">
        <w:t xml:space="preserve">(ICCPR) and certain rights in the </w:t>
      </w:r>
      <w:r w:rsidR="001744ED" w:rsidRPr="0010718E">
        <w:rPr>
          <w:i/>
          <w:iCs/>
        </w:rPr>
        <w:t>International Covenant on Economic, Social and Cultural Rights</w:t>
      </w:r>
      <w:r w:rsidR="001744ED" w:rsidRPr="001C7B72">
        <w:t xml:space="preserve"> (ICESCR). </w:t>
      </w:r>
      <w:r w:rsidR="009D7106">
        <w:t xml:space="preserve">However, </w:t>
      </w:r>
      <w:r w:rsidR="00F9106D">
        <w:t xml:space="preserve">establishing national human rights </w:t>
      </w:r>
      <w:r w:rsidR="004F2CC9">
        <w:t xml:space="preserve">legislation </w:t>
      </w:r>
      <w:r w:rsidR="00F9106D">
        <w:t xml:space="preserve">provides the opportunity </w:t>
      </w:r>
      <w:r w:rsidR="001744ED" w:rsidRPr="001C7B72">
        <w:t xml:space="preserve">to </w:t>
      </w:r>
      <w:r w:rsidR="0059390E">
        <w:t>take a more comprehensive approach</w:t>
      </w:r>
      <w:r w:rsidR="001744ED" w:rsidRPr="001C7B72">
        <w:t xml:space="preserve"> and incorporate all provisions of the CRPD that are subject to immediate realisation. </w:t>
      </w:r>
    </w:p>
    <w:p w14:paraId="7AD86CBF" w14:textId="770A1BB0" w:rsidR="00F9106D" w:rsidRDefault="00EC20E9" w:rsidP="001744ED">
      <w:r>
        <w:t xml:space="preserve">Rights that are ‘immediately realisable’ are rights that </w:t>
      </w:r>
      <w:r w:rsidR="000E17D8">
        <w:t xml:space="preserve">governments </w:t>
      </w:r>
      <w:r w:rsidR="006168C9">
        <w:t>must create laws and measures to give effect to</w:t>
      </w:r>
      <w:r>
        <w:t xml:space="preserve"> immediately, while those which are subject to progressive realisation can be realised subject to the availability of resources.</w:t>
      </w:r>
      <w:r>
        <w:rPr>
          <w:rStyle w:val="FootnoteReference"/>
        </w:rPr>
        <w:footnoteReference w:id="24"/>
      </w:r>
      <w:r>
        <w:t xml:space="preserve"> </w:t>
      </w:r>
      <w:r w:rsidR="006C1838">
        <w:t xml:space="preserve">The CRPD </w:t>
      </w:r>
      <w:r w:rsidR="006168C9">
        <w:t xml:space="preserve">contains </w:t>
      </w:r>
      <w:r w:rsidR="00BD26D8">
        <w:t>both</w:t>
      </w:r>
      <w:r w:rsidR="006168C9">
        <w:t xml:space="preserve"> </w:t>
      </w:r>
      <w:r w:rsidR="00BD26D8">
        <w:t xml:space="preserve">immediate and progressive rights. </w:t>
      </w:r>
      <w:r w:rsidR="006168C9">
        <w:t xml:space="preserve"> </w:t>
      </w:r>
    </w:p>
    <w:p w14:paraId="4273A0EE" w14:textId="26D698AA" w:rsidR="003263C4" w:rsidRDefault="003263C4" w:rsidP="004F2CC9">
      <w:pPr>
        <w:pStyle w:val="Heading3"/>
      </w:pPr>
      <w:bookmarkStart w:id="36" w:name="_Toc138853919"/>
      <w:bookmarkStart w:id="37" w:name="_Toc140247454"/>
      <w:r>
        <w:t>Why should the CRPD be expressly incorporated</w:t>
      </w:r>
      <w:r w:rsidR="000E17D8">
        <w:t xml:space="preserve"> in national human rights legislation</w:t>
      </w:r>
      <w:r>
        <w:t>?</w:t>
      </w:r>
      <w:bookmarkEnd w:id="36"/>
      <w:bookmarkEnd w:id="37"/>
      <w:r>
        <w:t xml:space="preserve"> </w:t>
      </w:r>
    </w:p>
    <w:p w14:paraId="45D56F50" w14:textId="54E5E77D" w:rsidR="001744ED" w:rsidRPr="001C7B72" w:rsidRDefault="001744ED" w:rsidP="001744ED">
      <w:r w:rsidRPr="001C7B72">
        <w:t>The CRPD is a specialist treaty that articulates how existing international human rights laws apply to people with disability.</w:t>
      </w:r>
      <w:r w:rsidRPr="001C7B72">
        <w:rPr>
          <w:rStyle w:val="FootnoteReference"/>
        </w:rPr>
        <w:footnoteReference w:id="25"/>
      </w:r>
      <w:r w:rsidRPr="001C7B72">
        <w:t xml:space="preserve"> For example, the </w:t>
      </w:r>
      <w:r w:rsidRPr="004F2CC9">
        <w:rPr>
          <w:i/>
          <w:iCs/>
        </w:rPr>
        <w:t>Universal Declaration of Human Rights</w:t>
      </w:r>
      <w:r w:rsidRPr="001C7B72">
        <w:t xml:space="preserve"> and the </w:t>
      </w:r>
      <w:r w:rsidR="00322835">
        <w:rPr>
          <w:rStyle w:val="Emphasis"/>
          <w:i w:val="0"/>
          <w:iCs w:val="0"/>
        </w:rPr>
        <w:t>ICCPR</w:t>
      </w:r>
      <w:r w:rsidRPr="001C7B72">
        <w:t xml:space="preserve"> provide the right to equality before the law. Article 12 of the CRPD </w:t>
      </w:r>
      <w:r w:rsidRPr="001C7B72">
        <w:lastRenderedPageBreak/>
        <w:t>reaffirms this right and</w:t>
      </w:r>
      <w:r w:rsidR="000E17D8">
        <w:t xml:space="preserve"> further</w:t>
      </w:r>
      <w:r w:rsidRPr="001C7B72">
        <w:t xml:space="preserve"> provides that people with disability have full legal capacity and must be provided with support, where required, to exercise that capacity.</w:t>
      </w:r>
    </w:p>
    <w:p w14:paraId="06DBE630" w14:textId="77777777" w:rsidR="000E17D8" w:rsidRDefault="001744ED" w:rsidP="001744ED">
      <w:r w:rsidRPr="001C7B72">
        <w:t xml:space="preserve">The doctrine of </w:t>
      </w:r>
      <w:r w:rsidRPr="000E17D8">
        <w:rPr>
          <w:i/>
          <w:iCs/>
        </w:rPr>
        <w:t>lex specialis</w:t>
      </w:r>
      <w:r w:rsidRPr="001C7B72">
        <w:t xml:space="preserve"> means that laws covering specific subject matters override laws governing general matters.</w:t>
      </w:r>
      <w:r w:rsidRPr="001C7B72">
        <w:rPr>
          <w:rStyle w:val="FootnoteReference"/>
        </w:rPr>
        <w:footnoteReference w:id="26"/>
      </w:r>
      <w:r w:rsidRPr="001C7B72">
        <w:t xml:space="preserve"> As such, the CRPD’s normative standards override other treaties and jurisprudence relating to people with disability.</w:t>
      </w:r>
      <w:r w:rsidRPr="001C7B72">
        <w:rPr>
          <w:rStyle w:val="FootnoteReference"/>
        </w:rPr>
        <w:footnoteReference w:id="27"/>
      </w:r>
      <w:r w:rsidRPr="001C7B72">
        <w:t xml:space="preserve"> This means that the CRPD, as opposed to the ICCPR and ICESCR is the most authoritative depiction of</w:t>
      </w:r>
      <w:r w:rsidR="000E17D8">
        <w:t xml:space="preserve"> the human rights of people with disability.</w:t>
      </w:r>
    </w:p>
    <w:p w14:paraId="281C23E9" w14:textId="4AF44887" w:rsidR="001744ED" w:rsidRPr="001C7B72" w:rsidRDefault="001744ED" w:rsidP="001744ED">
      <w:r w:rsidRPr="001C7B72">
        <w:t xml:space="preserve">To ensure </w:t>
      </w:r>
      <w:r w:rsidR="000E17D8">
        <w:t xml:space="preserve">the </w:t>
      </w:r>
      <w:r w:rsidRPr="001C7B72">
        <w:t>full rights</w:t>
      </w:r>
      <w:r w:rsidR="000E17D8">
        <w:t xml:space="preserve"> of people with disability</w:t>
      </w:r>
      <w:r w:rsidRPr="001C7B72">
        <w:t xml:space="preserve"> are captured </w:t>
      </w:r>
      <w:r w:rsidR="000E17D8">
        <w:t xml:space="preserve">in </w:t>
      </w:r>
      <w:r w:rsidR="000E17D8" w:rsidRPr="0010718E">
        <w:t>national human rights legislation</w:t>
      </w:r>
      <w:r w:rsidRPr="001C7B72">
        <w:t xml:space="preserve">, </w:t>
      </w:r>
      <w:r w:rsidR="00B3017F">
        <w:t>the Government must expressly incorporate our CRPD rights</w:t>
      </w:r>
      <w:r w:rsidRPr="001C7B72">
        <w:t xml:space="preserve"> rather than relying on the ICCPR and ICESC</w:t>
      </w:r>
      <w:r w:rsidR="000E17D8">
        <w:t xml:space="preserve">R as </w:t>
      </w:r>
      <w:r w:rsidR="00C74F2E">
        <w:t>some</w:t>
      </w:r>
      <w:r w:rsidR="000E17D8">
        <w:t xml:space="preserve"> governments have done in other jurisdictions.</w:t>
      </w:r>
    </w:p>
    <w:p w14:paraId="5A9A5EEF" w14:textId="563012BB" w:rsidR="001744ED" w:rsidRPr="001C7B72" w:rsidRDefault="001744ED" w:rsidP="001744ED">
      <w:r w:rsidRPr="001C7B72">
        <w:t xml:space="preserve">Expressly incorporating the CRPD in </w:t>
      </w:r>
      <w:r w:rsidR="004F2CC9" w:rsidRPr="0010718E">
        <w:t xml:space="preserve">national human rights </w:t>
      </w:r>
      <w:r w:rsidR="004F2CC9">
        <w:t>legislation</w:t>
      </w:r>
      <w:r w:rsidR="004F2CC9" w:rsidRPr="0010718E">
        <w:t xml:space="preserve"> </w:t>
      </w:r>
      <w:r w:rsidRPr="001C7B72">
        <w:t xml:space="preserve">will also help parliaments, courts, public servants and the public understand our specific rights, and ensure that old conceptualisations of disability are not applied. </w:t>
      </w:r>
      <w:r w:rsidR="003263C4">
        <w:t xml:space="preserve">It will provide people with disability a clear enunciation of our </w:t>
      </w:r>
      <w:r w:rsidR="000E17D8">
        <w:t>rights and</w:t>
      </w:r>
      <w:r w:rsidR="003263C4">
        <w:t xml:space="preserve"> confirm that they form part of Australian law. </w:t>
      </w:r>
    </w:p>
    <w:p w14:paraId="6F38E6FD" w14:textId="432A4942" w:rsidR="001744ED" w:rsidRPr="001C7B72" w:rsidRDefault="001744ED" w:rsidP="001744ED">
      <w:bookmarkStart w:id="38" w:name="_Hlk138864542"/>
      <w:r w:rsidRPr="001C7B72">
        <w:rPr>
          <w:rStyle w:val="Strong"/>
        </w:rPr>
        <w:t>Recommendation</w:t>
      </w:r>
      <w:r w:rsidR="00323149">
        <w:rPr>
          <w:rStyle w:val="Strong"/>
        </w:rPr>
        <w:t xml:space="preserve"> </w:t>
      </w:r>
      <w:r w:rsidR="00CB71F9">
        <w:rPr>
          <w:rStyle w:val="Strong"/>
        </w:rPr>
        <w:t xml:space="preserve">2 – </w:t>
      </w:r>
      <w:r w:rsidRPr="001C7B72">
        <w:t>That any</w:t>
      </w:r>
      <w:r w:rsidR="000E17D8" w:rsidRPr="000E17D8">
        <w:t xml:space="preserve"> </w:t>
      </w:r>
      <w:r w:rsidR="000E17D8" w:rsidRPr="0010718E">
        <w:t xml:space="preserve">national human rights legislation </w:t>
      </w:r>
      <w:r w:rsidRPr="001C7B72">
        <w:t xml:space="preserve">expressly incorporates immediate rights in the CRPD, by individually listing each CRPD right or by reference to incorporation of the CRPD into the </w:t>
      </w:r>
      <w:r w:rsidR="000E17D8">
        <w:t>legislation.</w:t>
      </w:r>
      <w:r w:rsidRPr="001C7B72">
        <w:t xml:space="preserve"> </w:t>
      </w:r>
    </w:p>
    <w:bookmarkEnd w:id="38"/>
    <w:p w14:paraId="77C81EBD" w14:textId="708A7F6E" w:rsidR="006C1838" w:rsidRPr="001C7B72" w:rsidRDefault="006C1838" w:rsidP="001744ED">
      <w:r>
        <w:t xml:space="preserve">While it is important that all immediately realisable rights are incorporated into </w:t>
      </w:r>
      <w:r w:rsidR="000E17D8" w:rsidRPr="0010718E">
        <w:t>national human rights legislation</w:t>
      </w:r>
      <w:r>
        <w:t xml:space="preserve">, we understand that a phased approach will be necessary. </w:t>
      </w:r>
      <w:r w:rsidR="000E17D8">
        <w:t>Disability R</w:t>
      </w:r>
      <w:r>
        <w:t xml:space="preserve">epresentative </w:t>
      </w:r>
      <w:r w:rsidR="000E17D8">
        <w:t>O</w:t>
      </w:r>
      <w:r>
        <w:t xml:space="preserve">rganisations can play an important role in identifying which rights need to be incorporated most urgently. As such, we recommend that: </w:t>
      </w:r>
    </w:p>
    <w:p w14:paraId="7A4B27C4" w14:textId="3CE005BF" w:rsidR="001744ED" w:rsidRPr="001C7B72" w:rsidRDefault="001744ED" w:rsidP="001744ED">
      <w:bookmarkStart w:id="39" w:name="_Hlk138864537"/>
      <w:r w:rsidRPr="001C7B72">
        <w:rPr>
          <w:rStyle w:val="Strong"/>
        </w:rPr>
        <w:t>Recommendation</w:t>
      </w:r>
      <w:r>
        <w:rPr>
          <w:rStyle w:val="Strong"/>
        </w:rPr>
        <w:t xml:space="preserve"> </w:t>
      </w:r>
      <w:r w:rsidR="00CB71F9">
        <w:rPr>
          <w:rStyle w:val="Strong"/>
        </w:rPr>
        <w:t xml:space="preserve">3 – </w:t>
      </w:r>
      <w:r w:rsidRPr="001C7B72">
        <w:t>Th</w:t>
      </w:r>
      <w:r w:rsidR="00CB71F9">
        <w:t>at the</w:t>
      </w:r>
      <w:r w:rsidRPr="001C7B72">
        <w:t xml:space="preserve"> Government engages an international human rights law expert to examine and identify which rights and components of rights in the CRPD are subject to immediate realisation</w:t>
      </w:r>
      <w:r w:rsidR="0059390E">
        <w:t xml:space="preserve">. </w:t>
      </w:r>
      <w:r w:rsidR="006C1838">
        <w:t xml:space="preserve">The Government should also engage </w:t>
      </w:r>
      <w:r w:rsidR="000E17D8">
        <w:t>D</w:t>
      </w:r>
      <w:r w:rsidR="006C1838">
        <w:t xml:space="preserve">isability </w:t>
      </w:r>
      <w:r w:rsidR="000E17D8">
        <w:lastRenderedPageBreak/>
        <w:t>R</w:t>
      </w:r>
      <w:r w:rsidR="006C1838">
        <w:t xml:space="preserve">epresentative </w:t>
      </w:r>
      <w:r w:rsidR="000E17D8">
        <w:t>O</w:t>
      </w:r>
      <w:r w:rsidR="006C1838">
        <w:t xml:space="preserve">rganisations to assist in determining which rights should be prioritised for incorporation in the human rights legislation.  </w:t>
      </w:r>
      <w:r w:rsidR="0068558A">
        <w:t xml:space="preserve"> </w:t>
      </w:r>
      <w:r w:rsidRPr="001C7B72">
        <w:t xml:space="preserve">      </w:t>
      </w:r>
    </w:p>
    <w:bookmarkEnd w:id="39"/>
    <w:p w14:paraId="30417B6C" w14:textId="1D1EC3CD" w:rsidR="001744ED" w:rsidRPr="001C7B72" w:rsidRDefault="001744ED" w:rsidP="001744ED">
      <w:r w:rsidRPr="001C7B72">
        <w:t xml:space="preserve">We also want to make sure that the Government draws upon international human rights law jurisprudence, such as the CRPD Committee’s General Comments, when interpreting </w:t>
      </w:r>
      <w:r w:rsidR="000E17D8" w:rsidRPr="0010718E">
        <w:t>national human rights legislation</w:t>
      </w:r>
      <w:r w:rsidRPr="001C7B72">
        <w:t>. The Government should be viewing this material as ‘persuasive’ but it currently neglecting to do so. As such, we recommend that:</w:t>
      </w:r>
    </w:p>
    <w:p w14:paraId="05C3AA3E" w14:textId="3E66B031" w:rsidR="007F3065" w:rsidRDefault="001744ED" w:rsidP="00101AAE">
      <w:bookmarkStart w:id="40" w:name="_Hlk138864531"/>
      <w:r w:rsidRPr="001C7B72">
        <w:rPr>
          <w:rStyle w:val="Strong"/>
        </w:rPr>
        <w:t>Recommendation</w:t>
      </w:r>
      <w:r>
        <w:rPr>
          <w:rStyle w:val="Strong"/>
        </w:rPr>
        <w:t xml:space="preserve"> </w:t>
      </w:r>
      <w:r w:rsidR="00CB71F9">
        <w:rPr>
          <w:rStyle w:val="Strong"/>
        </w:rPr>
        <w:t xml:space="preserve">4 – </w:t>
      </w:r>
      <w:r w:rsidR="00CB71F9" w:rsidRPr="00CB71F9">
        <w:rPr>
          <w:rStyle w:val="Strong"/>
          <w:b w:val="0"/>
          <w:bCs w:val="0"/>
        </w:rPr>
        <w:t xml:space="preserve">That </w:t>
      </w:r>
      <w:r w:rsidR="00CB71F9">
        <w:t>national</w:t>
      </w:r>
      <w:r w:rsidRPr="001C7B72">
        <w:t xml:space="preserve"> human rights legislation includes a provision that requires decision-makers to consider international human rights law jurisprudence as persuasive in interpreting the legislation. </w:t>
      </w:r>
      <w:bookmarkStart w:id="41" w:name="_Toc138853920"/>
      <w:bookmarkEnd w:id="40"/>
    </w:p>
    <w:p w14:paraId="61062D30" w14:textId="7D621181" w:rsidR="00DE0BFB" w:rsidRPr="00B66D25" w:rsidRDefault="002C6F76" w:rsidP="00B66D25">
      <w:pPr>
        <w:pStyle w:val="Heading2"/>
      </w:pPr>
      <w:bookmarkStart w:id="42" w:name="_Toc140247455"/>
      <w:r>
        <w:t>Australian Human Rights Commission recommendations</w:t>
      </w:r>
      <w:bookmarkEnd w:id="41"/>
      <w:bookmarkEnd w:id="42"/>
      <w:r>
        <w:t xml:space="preserve"> </w:t>
      </w:r>
    </w:p>
    <w:p w14:paraId="314BF1C8" w14:textId="246504BA" w:rsidR="0060262E" w:rsidRPr="006E7DA4" w:rsidRDefault="0060262E" w:rsidP="0060262E">
      <w:r w:rsidRPr="006E7DA4">
        <w:t xml:space="preserve">In addition to </w:t>
      </w:r>
      <w:r w:rsidR="007A29BB">
        <w:t>PWDA’s</w:t>
      </w:r>
      <w:r w:rsidRPr="006E7DA4">
        <w:t xml:space="preserve"> above recommendations, we endorse </w:t>
      </w:r>
      <w:r w:rsidR="00496FD6">
        <w:t>the</w:t>
      </w:r>
      <w:r w:rsidRPr="006E7DA4">
        <w:t xml:space="preserve"> Australian Human Rights Commission’s</w:t>
      </w:r>
      <w:r w:rsidR="00496FD6">
        <w:t xml:space="preserve"> </w:t>
      </w:r>
      <w:r w:rsidR="007E3E4D">
        <w:t xml:space="preserve">recommendations </w:t>
      </w:r>
      <w:r w:rsidRPr="006E7DA4">
        <w:t>to this Inquiry</w:t>
      </w:r>
      <w:r w:rsidR="00BA7D76">
        <w:t>, which ask</w:t>
      </w:r>
      <w:r w:rsidR="00496FD6">
        <w:t xml:space="preserve"> that the Government</w:t>
      </w:r>
      <w:r w:rsidRPr="006E7DA4">
        <w:t xml:space="preserve">: </w:t>
      </w:r>
    </w:p>
    <w:p w14:paraId="4987487E" w14:textId="78A35E4F" w:rsidR="0060262E" w:rsidRPr="006E7DA4" w:rsidRDefault="0034701D" w:rsidP="004F2CC9">
      <w:pPr>
        <w:pStyle w:val="ListBullet"/>
      </w:pPr>
      <w:r>
        <w:t>d</w:t>
      </w:r>
      <w:r w:rsidR="00861DFA">
        <w:t>evelops</w:t>
      </w:r>
      <w:r w:rsidR="0060262E" w:rsidRPr="006E7DA4">
        <w:t xml:space="preserve"> a new National Human Rights Framework</w:t>
      </w:r>
    </w:p>
    <w:p w14:paraId="65F4E482" w14:textId="297A5C42" w:rsidR="0060262E" w:rsidRPr="006E7DA4" w:rsidRDefault="0034701D" w:rsidP="004F2CC9">
      <w:pPr>
        <w:pStyle w:val="ListBullet"/>
      </w:pPr>
      <w:r>
        <w:t>d</w:t>
      </w:r>
      <w:r w:rsidR="00861DFA">
        <w:t xml:space="preserve">evelops </w:t>
      </w:r>
      <w:r w:rsidR="0060262E" w:rsidRPr="006E7DA4">
        <w:t xml:space="preserve">a Draft Exposure Bill </w:t>
      </w:r>
      <w:r w:rsidR="00BA7D76">
        <w:t>for a national human rights act</w:t>
      </w:r>
      <w:r w:rsidR="0060262E" w:rsidRPr="006E7DA4">
        <w:t xml:space="preserve"> </w:t>
      </w:r>
      <w:r w:rsidR="00BA7D76">
        <w:t xml:space="preserve">(adding that this should incorporate immediately realisable CRPD rights, as discussed above) </w:t>
      </w:r>
    </w:p>
    <w:p w14:paraId="43C3182D" w14:textId="7C6AE7C3" w:rsidR="0060262E" w:rsidRPr="006E7DA4" w:rsidRDefault="00225449" w:rsidP="004F2CC9">
      <w:pPr>
        <w:pStyle w:val="ListBullet"/>
      </w:pPr>
      <w:r>
        <w:t>m</w:t>
      </w:r>
      <w:r w:rsidR="00861DFA">
        <w:t>odernis</w:t>
      </w:r>
      <w:r w:rsidR="0060262E" w:rsidRPr="006E7DA4">
        <w:t>e</w:t>
      </w:r>
      <w:r w:rsidR="00861DFA">
        <w:t>s</w:t>
      </w:r>
      <w:r w:rsidR="0060262E" w:rsidRPr="006E7DA4">
        <w:t xml:space="preserve"> federal discrimination laws to ensure their effectiveness </w:t>
      </w:r>
    </w:p>
    <w:p w14:paraId="2E83452C" w14:textId="06C8D534" w:rsidR="0060262E" w:rsidRPr="006E7DA4" w:rsidRDefault="00225449" w:rsidP="004F2CC9">
      <w:pPr>
        <w:pStyle w:val="ListBullet"/>
      </w:pPr>
      <w:r>
        <w:t>s</w:t>
      </w:r>
      <w:r w:rsidR="00861DFA">
        <w:t>trengthens</w:t>
      </w:r>
      <w:r w:rsidR="0060262E" w:rsidRPr="006E7DA4">
        <w:t xml:space="preserve"> the parliamentary scrutiny of human rights </w:t>
      </w:r>
    </w:p>
    <w:p w14:paraId="7D01861E" w14:textId="297946D8" w:rsidR="0060262E" w:rsidRPr="006E7DA4" w:rsidRDefault="00225449" w:rsidP="004F2CC9">
      <w:pPr>
        <w:pStyle w:val="ListBullet"/>
      </w:pPr>
      <w:r>
        <w:t>e</w:t>
      </w:r>
      <w:r w:rsidR="00861DFA">
        <w:t xml:space="preserve">nhances </w:t>
      </w:r>
      <w:r w:rsidR="0060262E" w:rsidRPr="006E7DA4">
        <w:t xml:space="preserve">parliamentary oversight and awareness of Australia’s international human rights obligations </w:t>
      </w:r>
    </w:p>
    <w:p w14:paraId="2A6B26A3" w14:textId="55B3A651" w:rsidR="0060262E" w:rsidRPr="006E7DA4" w:rsidRDefault="00225449" w:rsidP="004F2CC9">
      <w:pPr>
        <w:pStyle w:val="ListBullet"/>
      </w:pPr>
      <w:r>
        <w:t>i</w:t>
      </w:r>
      <w:r w:rsidR="00861DFA">
        <w:t>ntroduces a</w:t>
      </w:r>
      <w:r w:rsidR="0060262E" w:rsidRPr="006E7DA4">
        <w:t xml:space="preserve"> national human rights education program </w:t>
      </w:r>
    </w:p>
    <w:p w14:paraId="6BB5F462" w14:textId="58C902EF" w:rsidR="0060262E" w:rsidRPr="006E7DA4" w:rsidRDefault="00225449" w:rsidP="004F2CC9">
      <w:pPr>
        <w:pStyle w:val="ListBullet"/>
      </w:pPr>
      <w:r>
        <w:t>c</w:t>
      </w:r>
      <w:r w:rsidR="00861DFA">
        <w:t>ommits</w:t>
      </w:r>
      <w:r w:rsidR="0060262E" w:rsidRPr="006E7DA4">
        <w:t xml:space="preserve"> to a national human rights indicator index </w:t>
      </w:r>
    </w:p>
    <w:p w14:paraId="3E6D4425" w14:textId="2D85BD82" w:rsidR="0060262E" w:rsidRPr="006E7DA4" w:rsidRDefault="00225449" w:rsidP="004F2CC9">
      <w:pPr>
        <w:pStyle w:val="ListBullet"/>
      </w:pPr>
      <w:r>
        <w:lastRenderedPageBreak/>
        <w:t>c</w:t>
      </w:r>
      <w:r w:rsidR="00861DFA">
        <w:t>ommits</w:t>
      </w:r>
      <w:r w:rsidR="0060262E" w:rsidRPr="006E7DA4">
        <w:t xml:space="preserve"> to an annual statement to Parliament on human rights</w:t>
      </w:r>
    </w:p>
    <w:p w14:paraId="00DC12B1" w14:textId="51451753" w:rsidR="0060262E" w:rsidRPr="006E7DA4" w:rsidRDefault="00225449" w:rsidP="004F2CC9">
      <w:pPr>
        <w:pStyle w:val="ListBullet"/>
      </w:pPr>
      <w:r>
        <w:t>e</w:t>
      </w:r>
      <w:r w:rsidR="00861DFA">
        <w:t>nsures</w:t>
      </w:r>
      <w:r w:rsidR="0060262E" w:rsidRPr="006E7DA4">
        <w:t xml:space="preserve"> the Australian Human Rights Commission is appropriately and sustainably resourced </w:t>
      </w:r>
    </w:p>
    <w:p w14:paraId="15C5BC36" w14:textId="1A28267F" w:rsidR="0060262E" w:rsidRPr="006E7DA4" w:rsidRDefault="00225449" w:rsidP="004F2CC9">
      <w:pPr>
        <w:pStyle w:val="ListBullet"/>
      </w:pPr>
      <w:r>
        <w:t>s</w:t>
      </w:r>
      <w:r w:rsidR="00861DFA">
        <w:t>upports</w:t>
      </w:r>
      <w:r w:rsidR="0060262E" w:rsidRPr="006E7DA4">
        <w:t xml:space="preserve"> measures that build community capacity to realise human rights</w:t>
      </w:r>
      <w:r>
        <w:t>.</w:t>
      </w:r>
      <w:r w:rsidR="0060262E" w:rsidRPr="006E7DA4">
        <w:t xml:space="preserve"> </w:t>
      </w:r>
    </w:p>
    <w:p w14:paraId="4C40D4DD" w14:textId="78719699" w:rsidR="0060262E" w:rsidRPr="00BA6BEE" w:rsidRDefault="0060262E" w:rsidP="00BA6BEE">
      <w:pPr>
        <w:pStyle w:val="Heading3"/>
        <w:rPr>
          <w:rStyle w:val="Strong"/>
          <w:b/>
          <w:bCs w:val="0"/>
        </w:rPr>
      </w:pPr>
      <w:bookmarkStart w:id="43" w:name="_Toc138853921"/>
      <w:bookmarkStart w:id="44" w:name="_Toc140247456"/>
      <w:r w:rsidRPr="00BA6BEE">
        <w:rPr>
          <w:rStyle w:val="Strong"/>
          <w:b/>
          <w:bCs w:val="0"/>
        </w:rPr>
        <w:t>Further recommendation</w:t>
      </w:r>
      <w:bookmarkEnd w:id="43"/>
      <w:r w:rsidR="003146ED">
        <w:rPr>
          <w:rStyle w:val="Strong"/>
          <w:b/>
          <w:bCs w:val="0"/>
        </w:rPr>
        <w:t>s</w:t>
      </w:r>
      <w:bookmarkEnd w:id="44"/>
    </w:p>
    <w:p w14:paraId="33686FF6" w14:textId="14DE3E5E" w:rsidR="00101AAE" w:rsidRDefault="0060262E" w:rsidP="0060262E">
      <w:r w:rsidRPr="006E7DA4">
        <w:t xml:space="preserve">If Australia adopts a human rights act, we </w:t>
      </w:r>
      <w:r w:rsidR="00101AAE">
        <w:t xml:space="preserve">recommend </w:t>
      </w:r>
      <w:r w:rsidRPr="006E7DA4">
        <w:t>that</w:t>
      </w:r>
      <w:r w:rsidR="00101AAE">
        <w:t xml:space="preserve"> the</w:t>
      </w:r>
      <w:r w:rsidRPr="006E7DA4">
        <w:t xml:space="preserve"> Government designate a body, such as the Australian Human Rights Commission or the new Administrative Appeals Tribunal</w:t>
      </w:r>
      <w:r w:rsidR="00101AAE">
        <w:t xml:space="preserve">, </w:t>
      </w:r>
      <w:r w:rsidRPr="006E7DA4">
        <w:t xml:space="preserve">to provide dispute resolution and adjudication for matters arising under the human rights act. </w:t>
      </w:r>
    </w:p>
    <w:p w14:paraId="25006A0D" w14:textId="7B88E323" w:rsidR="00101AAE" w:rsidRPr="006E7DA4" w:rsidRDefault="00101AAE" w:rsidP="0060262E">
      <w:r w:rsidRPr="001C7B72">
        <w:rPr>
          <w:rStyle w:val="Strong"/>
        </w:rPr>
        <w:t>Recommendation</w:t>
      </w:r>
      <w:r w:rsidR="003146ED">
        <w:rPr>
          <w:rStyle w:val="Strong"/>
        </w:rPr>
        <w:t xml:space="preserve"> 5</w:t>
      </w:r>
      <w:r>
        <w:rPr>
          <w:rStyle w:val="Strong"/>
        </w:rPr>
        <w:t xml:space="preserve">– </w:t>
      </w:r>
      <w:r w:rsidRPr="001C7B72">
        <w:t>Th</w:t>
      </w:r>
      <w:r>
        <w:t>at the</w:t>
      </w:r>
      <w:r w:rsidRPr="001C7B72">
        <w:t xml:space="preserve"> Government </w:t>
      </w:r>
      <w:r>
        <w:t>designates</w:t>
      </w:r>
      <w:r w:rsidR="00DD7E92">
        <w:t xml:space="preserve"> an appropriate body to undertake dispute resolution and adjudication functions, for matters arising under the national</w:t>
      </w:r>
      <w:r w:rsidR="00DD7E92" w:rsidRPr="001C7B72">
        <w:t xml:space="preserve"> human rights legislation</w:t>
      </w:r>
      <w:r w:rsidR="00DD7E92">
        <w:t>. This body must be appropriately resourced to carry out all dispute resolution and adjudication functions</w:t>
      </w:r>
      <w:r w:rsidR="003146ED">
        <w:t>, and</w:t>
      </w:r>
      <w:r w:rsidR="00DD7E92">
        <w:t xml:space="preserve"> in a manner that is fully accessible to all people with disability. </w:t>
      </w:r>
    </w:p>
    <w:p w14:paraId="007E25F6" w14:textId="43A1745E" w:rsidR="00537479" w:rsidRDefault="0060262E" w:rsidP="0060262E">
      <w:r w:rsidRPr="006E7DA4">
        <w:t xml:space="preserve">Expanding on the Australian Human Rights Commission’s </w:t>
      </w:r>
      <w:r>
        <w:t>r</w:t>
      </w:r>
      <w:r w:rsidRPr="006E7DA4">
        <w:t xml:space="preserve">ecommendation 10(c), it will be important that civil society bodies, including </w:t>
      </w:r>
      <w:r w:rsidR="00CB71F9">
        <w:t>D</w:t>
      </w:r>
      <w:r w:rsidRPr="006E7DA4">
        <w:t xml:space="preserve">isabled </w:t>
      </w:r>
      <w:r w:rsidR="00CB71F9">
        <w:t>P</w:t>
      </w:r>
      <w:r w:rsidRPr="006E7DA4">
        <w:t xml:space="preserve">eople’s </w:t>
      </w:r>
      <w:r w:rsidR="00CB71F9">
        <w:t>O</w:t>
      </w:r>
      <w:r w:rsidRPr="006E7DA4">
        <w:t>rganisations</w:t>
      </w:r>
      <w:r w:rsidR="00537479">
        <w:t xml:space="preserve"> such as PWDA</w:t>
      </w:r>
      <w:r w:rsidRPr="006E7DA4">
        <w:t xml:space="preserve">, </w:t>
      </w:r>
      <w:r w:rsidR="00A802D6">
        <w:t>and Disability Representative Organisations</w:t>
      </w:r>
      <w:r w:rsidR="00636105">
        <w:t xml:space="preserve"> </w:t>
      </w:r>
      <w:r w:rsidRPr="006E7DA4">
        <w:t xml:space="preserve">are given a formal role in the dispute resolution and adjudication body to address systemic issues arising from human rights cases. </w:t>
      </w:r>
    </w:p>
    <w:p w14:paraId="35E51EF4" w14:textId="2DEEFCCD" w:rsidR="0060262E" w:rsidRPr="006E7DA4" w:rsidRDefault="0060262E" w:rsidP="0060262E">
      <w:r w:rsidRPr="006E7DA4">
        <w:t xml:space="preserve">This will </w:t>
      </w:r>
      <w:r>
        <w:t>further the implementation of</w:t>
      </w:r>
      <w:r w:rsidRPr="006E7DA4">
        <w:t xml:space="preserve"> Article 4(3) of the CRPD, which requires </w:t>
      </w:r>
      <w:r w:rsidR="004F2CC9">
        <w:t>g</w:t>
      </w:r>
      <w:r w:rsidRPr="006E7DA4">
        <w:t xml:space="preserve">overnments to closely consult with people with disability and their representative organisations when developing and implementing legislation and policies concerning people with disability. </w:t>
      </w:r>
    </w:p>
    <w:p w14:paraId="32818A2F" w14:textId="0FD335AE" w:rsidR="008A2DF4" w:rsidRDefault="00CB71F9" w:rsidP="0060262E">
      <w:bookmarkStart w:id="45" w:name="_Hlk138864522"/>
      <w:r w:rsidRPr="006E7DA4">
        <w:rPr>
          <w:rStyle w:val="Strong"/>
        </w:rPr>
        <w:t>Recommendation</w:t>
      </w:r>
      <w:r>
        <w:rPr>
          <w:rStyle w:val="Strong"/>
        </w:rPr>
        <w:t xml:space="preserve"> </w:t>
      </w:r>
      <w:r w:rsidR="003146ED">
        <w:rPr>
          <w:rStyle w:val="Strong"/>
        </w:rPr>
        <w:t>6</w:t>
      </w:r>
      <w:r>
        <w:rPr>
          <w:rStyle w:val="Strong"/>
        </w:rPr>
        <w:t xml:space="preserve"> </w:t>
      </w:r>
      <w:r w:rsidR="00FC6C35">
        <w:rPr>
          <w:rStyle w:val="Strong"/>
        </w:rPr>
        <w:t>–</w:t>
      </w:r>
      <w:r w:rsidR="00FC6C35" w:rsidRPr="00FC6C35">
        <w:rPr>
          <w:rStyle w:val="Strong"/>
          <w:b w:val="0"/>
          <w:bCs w:val="0"/>
        </w:rPr>
        <w:t xml:space="preserve"> If</w:t>
      </w:r>
      <w:r w:rsidR="0060262E" w:rsidRPr="00FC6C35">
        <w:rPr>
          <w:b/>
          <w:bCs/>
        </w:rPr>
        <w:t xml:space="preserve"> </w:t>
      </w:r>
      <w:r>
        <w:t>national</w:t>
      </w:r>
      <w:r w:rsidR="0060262E" w:rsidRPr="006E7DA4">
        <w:t xml:space="preserve"> human rights act is established and </w:t>
      </w:r>
      <w:r>
        <w:t xml:space="preserve">an </w:t>
      </w:r>
      <w:r w:rsidR="0060262E" w:rsidRPr="006E7DA4">
        <w:t xml:space="preserve">adjudication body </w:t>
      </w:r>
      <w:r w:rsidR="003146ED">
        <w:t>designated</w:t>
      </w:r>
      <w:r w:rsidR="0060262E" w:rsidRPr="006E7DA4">
        <w:t>, the Government must ensure that civil society has a role in assisting the adjudication body to address systemic issues arising from cases</w:t>
      </w:r>
      <w:r>
        <w:t xml:space="preserve">, </w:t>
      </w:r>
      <w:r w:rsidR="0060262E" w:rsidRPr="006E7DA4">
        <w:t xml:space="preserve">and funding should be provided accordingly. </w:t>
      </w:r>
      <w:bookmarkEnd w:id="45"/>
    </w:p>
    <w:p w14:paraId="321F6E22" w14:textId="2EB3AE21" w:rsidR="008A2DF4" w:rsidRDefault="008A2DF4" w:rsidP="008A2DF4">
      <w:pPr>
        <w:pStyle w:val="Heading2"/>
      </w:pPr>
      <w:bookmarkStart w:id="46" w:name="_Toc138853922"/>
      <w:bookmarkStart w:id="47" w:name="_Toc140247457"/>
      <w:r>
        <w:lastRenderedPageBreak/>
        <w:t>Conclusion</w:t>
      </w:r>
      <w:bookmarkEnd w:id="46"/>
      <w:bookmarkEnd w:id="47"/>
    </w:p>
    <w:p w14:paraId="5C3D5A88" w14:textId="6908BAD0" w:rsidR="00E44BBD" w:rsidRDefault="00D3131B" w:rsidP="008A2DF4">
      <w:r>
        <w:t xml:space="preserve">In conclusion, </w:t>
      </w:r>
      <w:r w:rsidR="00330517">
        <w:t>Australia’s current</w:t>
      </w:r>
      <w:r>
        <w:t xml:space="preserve"> patchwork of human rights protections is </w:t>
      </w:r>
      <w:r w:rsidR="00330517">
        <w:t>failing people with disability.</w:t>
      </w:r>
      <w:r>
        <w:t xml:space="preserve"> This is confirmed by </w:t>
      </w:r>
      <w:r w:rsidR="00CB71F9">
        <w:t>the poorer outcomes people with disability experience across a variety of life domains</w:t>
      </w:r>
      <w:r>
        <w:t>,</w:t>
      </w:r>
      <w:r w:rsidR="00CB71F9">
        <w:t xml:space="preserve"> by the distressing</w:t>
      </w:r>
      <w:r>
        <w:t xml:space="preserve"> evidence</w:t>
      </w:r>
      <w:r w:rsidR="00CB71F9">
        <w:t xml:space="preserve"> heard</w:t>
      </w:r>
      <w:r>
        <w:t xml:space="preserve"> at the Disability Royal Commission and the CRPD Committee’s</w:t>
      </w:r>
      <w:r w:rsidR="00CB71F9">
        <w:t xml:space="preserve"> last</w:t>
      </w:r>
      <w:r>
        <w:t xml:space="preserve"> </w:t>
      </w:r>
      <w:r w:rsidR="00CB71F9" w:rsidRPr="003146ED">
        <w:rPr>
          <w:i/>
          <w:iCs/>
        </w:rPr>
        <w:t>C</w:t>
      </w:r>
      <w:r w:rsidRPr="003146ED">
        <w:rPr>
          <w:i/>
          <w:iCs/>
        </w:rPr>
        <w:t xml:space="preserve">oncluding </w:t>
      </w:r>
      <w:r w:rsidR="00CB71F9" w:rsidRPr="003146ED">
        <w:rPr>
          <w:i/>
          <w:iCs/>
        </w:rPr>
        <w:t>O</w:t>
      </w:r>
      <w:r w:rsidRPr="003146ED">
        <w:rPr>
          <w:i/>
          <w:iCs/>
        </w:rPr>
        <w:t>bservations</w:t>
      </w:r>
      <w:r w:rsidR="00CB71F9">
        <w:t xml:space="preserve"> in 2019</w:t>
      </w:r>
      <w:r>
        <w:t xml:space="preserve">. </w:t>
      </w:r>
    </w:p>
    <w:p w14:paraId="3B5467B6" w14:textId="6B524116" w:rsidR="00330517" w:rsidRDefault="00E44BBD" w:rsidP="008A2DF4">
      <w:r>
        <w:t xml:space="preserve">Many measures are needed to ensure our rights are upheld and protected. </w:t>
      </w:r>
      <w:r w:rsidR="00CB71F9">
        <w:t>However, national</w:t>
      </w:r>
      <w:r>
        <w:t xml:space="preserve"> human rights </w:t>
      </w:r>
      <w:r w:rsidR="00CB71F9">
        <w:t>legislation</w:t>
      </w:r>
      <w:r>
        <w:t xml:space="preserve"> would provide a basis for law reform, rights enforcement and self-advocacy. </w:t>
      </w:r>
    </w:p>
    <w:p w14:paraId="61D1349D" w14:textId="30823DE8" w:rsidR="00E44BBD" w:rsidRDefault="00CB71F9" w:rsidP="008A2DF4">
      <w:r>
        <w:t>N</w:t>
      </w:r>
      <w:r w:rsidR="00E44BBD">
        <w:t xml:space="preserve">ational human rights </w:t>
      </w:r>
      <w:r>
        <w:t>legislation</w:t>
      </w:r>
      <w:r w:rsidR="00E44BBD">
        <w:t xml:space="preserve"> must expressly incorporate the CRPD,</w:t>
      </w:r>
      <w:r w:rsidR="00330517">
        <w:t xml:space="preserve"> rather than rely on the ICCPR and ICESCR alone</w:t>
      </w:r>
      <w:r w:rsidR="00E44BBD">
        <w:t xml:space="preserve">. This will ensure that ableist interpretations of our rights do not seep in, however well-intentioned. It will also provide us with a clear enunciation of our rights and give us the confidence that our specific rights are protected in </w:t>
      </w:r>
      <w:r w:rsidR="00E87DED">
        <w:t xml:space="preserve">Australian </w:t>
      </w:r>
      <w:r w:rsidR="00E44BBD">
        <w:t xml:space="preserve">law. </w:t>
      </w:r>
    </w:p>
    <w:p w14:paraId="29FD5D76" w14:textId="557B701F" w:rsidR="00E44BBD" w:rsidRPr="000B005E" w:rsidRDefault="00E44BBD" w:rsidP="008A2DF4">
      <w:r>
        <w:t>We have seen the success that human rights legislation has had in the ACT, Queensland, Victoria and the UK</w:t>
      </w:r>
      <w:r w:rsidR="00BC5723">
        <w:t xml:space="preserve"> for people with disability</w:t>
      </w:r>
      <w:r>
        <w:t xml:space="preserve">. We must now seize upon the opportunity to ensure our human rights are protected wherever we reside. </w:t>
      </w:r>
      <w:r w:rsidR="00330517">
        <w:t>We cannot afford to rely on Australia’s patchwork of human rights any longer</w:t>
      </w:r>
      <w:r w:rsidR="00CB71F9">
        <w:t>.</w:t>
      </w:r>
    </w:p>
    <w:p w14:paraId="08A5F073" w14:textId="77777777" w:rsidR="00DE0BFB" w:rsidRPr="00DE0BFB" w:rsidRDefault="00DE0BFB" w:rsidP="00DE0BFB">
      <w:pPr>
        <w:sectPr w:rsidR="00DE0BFB" w:rsidRPr="00DE0BFB" w:rsidSect="00512B24">
          <w:footerReference w:type="default" r:id="rId33"/>
          <w:pgSz w:w="11906" w:h="16838" w:code="9"/>
          <w:pgMar w:top="1701" w:right="1134" w:bottom="1928" w:left="1134" w:header="284" w:footer="510" w:gutter="0"/>
          <w:cols w:space="708"/>
          <w:docGrid w:linePitch="360"/>
        </w:sectPr>
      </w:pPr>
    </w:p>
    <w:p w14:paraId="3F767D64" w14:textId="77777777" w:rsidR="00210068" w:rsidRDefault="00210068" w:rsidP="00210068">
      <w:pPr>
        <w:tabs>
          <w:tab w:val="left" w:pos="2327"/>
        </w:tabs>
        <w:rPr>
          <w:rFonts w:cstheme="minorHAnsi"/>
          <w:color w:val="000000"/>
          <w:sz w:val="20"/>
          <w:szCs w:val="20"/>
        </w:rPr>
      </w:pPr>
    </w:p>
    <w:p w14:paraId="447629A7" w14:textId="77777777" w:rsidR="00210068" w:rsidRDefault="00210068" w:rsidP="00210068">
      <w:pPr>
        <w:tabs>
          <w:tab w:val="left" w:pos="2327"/>
        </w:tabs>
        <w:rPr>
          <w:rFonts w:cstheme="minorHAnsi"/>
          <w:color w:val="000000"/>
          <w:sz w:val="20"/>
          <w:szCs w:val="20"/>
        </w:rPr>
      </w:pPr>
    </w:p>
    <w:p w14:paraId="2920F814" w14:textId="77777777" w:rsidR="00210068" w:rsidRDefault="00210068" w:rsidP="00210068">
      <w:pPr>
        <w:tabs>
          <w:tab w:val="left" w:pos="2327"/>
        </w:tabs>
        <w:rPr>
          <w:rFonts w:cstheme="minorHAnsi"/>
          <w:color w:val="000000"/>
          <w:sz w:val="20"/>
          <w:szCs w:val="20"/>
        </w:rPr>
      </w:pPr>
    </w:p>
    <w:p w14:paraId="431EC932" w14:textId="6BD36D9C" w:rsidR="00210068" w:rsidRDefault="00210068" w:rsidP="00210068">
      <w:pPr>
        <w:tabs>
          <w:tab w:val="left" w:pos="2327"/>
        </w:tabs>
        <w:rPr>
          <w:rFonts w:cstheme="minorHAnsi"/>
          <w:color w:val="000000"/>
          <w:sz w:val="20"/>
          <w:szCs w:val="20"/>
        </w:rPr>
      </w:pPr>
      <w:r>
        <w:rPr>
          <w:noProof/>
          <w:lang w:eastAsia="en-AU"/>
        </w:rPr>
        <w:drawing>
          <wp:anchor distT="0" distB="0" distL="114300" distR="114300" simplePos="0" relativeHeight="251666432" behindDoc="1" locked="1" layoutInCell="1" allowOverlap="1" wp14:anchorId="3BF47465" wp14:editId="2C22269A">
            <wp:simplePos x="0" y="0"/>
            <wp:positionH relativeFrom="page">
              <wp:align>left</wp:align>
            </wp:positionH>
            <wp:positionV relativeFrom="page">
              <wp:align>bottom</wp:align>
            </wp:positionV>
            <wp:extent cx="7559675" cy="10690860"/>
            <wp:effectExtent l="0" t="0" r="3175" b="0"/>
            <wp:wrapNone/>
            <wp:docPr id="586747381" name="Picture 5867473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color w:val="000000"/>
          <w:sz w:val="20"/>
          <w:szCs w:val="20"/>
        </w:rPr>
        <w:t>People with Disability Australia (PWDA) is a national disability rights and advocacy organisation made up of, and led by, people with disability.</w:t>
      </w:r>
    </w:p>
    <w:p w14:paraId="0F194A46" w14:textId="77777777" w:rsidR="00210068" w:rsidRPr="000E2282" w:rsidRDefault="00210068" w:rsidP="00210068">
      <w:pPr>
        <w:tabs>
          <w:tab w:val="left" w:pos="2327"/>
        </w:tabs>
        <w:rPr>
          <w:rFonts w:cstheme="minorHAnsi"/>
        </w:rPr>
      </w:pPr>
      <w:r w:rsidRPr="00497F78">
        <w:rPr>
          <w:rFonts w:cstheme="minorHAnsi"/>
          <w:color w:val="000000"/>
          <w:sz w:val="20"/>
          <w:szCs w:val="20"/>
        </w:rPr>
        <w:t xml:space="preserve">For individual advocacy support contact </w:t>
      </w:r>
      <w:r>
        <w:rPr>
          <w:rFonts w:cstheme="minorHAnsi"/>
          <w:color w:val="000000"/>
          <w:sz w:val="20"/>
          <w:szCs w:val="20"/>
        </w:rPr>
        <w:t>PWDA</w:t>
      </w:r>
      <w:r w:rsidRPr="00497F78">
        <w:rPr>
          <w:rFonts w:cstheme="minorHAnsi"/>
          <w:b/>
          <w:bCs/>
          <w:color w:val="000000"/>
          <w:sz w:val="20"/>
          <w:szCs w:val="20"/>
        </w:rPr>
        <w:t xml:space="preserve"> </w:t>
      </w:r>
      <w:r w:rsidRPr="00497F78">
        <w:rPr>
          <w:rFonts w:cstheme="minorHAnsi"/>
          <w:color w:val="000000"/>
          <w:sz w:val="20"/>
          <w:szCs w:val="20"/>
        </w:rPr>
        <w:t>between 9 am and 5 pm (AEST/AEDT)</w:t>
      </w:r>
      <w:r>
        <w:rPr>
          <w:rFonts w:cstheme="minorHAnsi"/>
          <w:color w:val="000000"/>
          <w:sz w:val="20"/>
          <w:szCs w:val="20"/>
        </w:rPr>
        <w:t xml:space="preserve"> Monday to Friday via phone (toll free) on </w:t>
      </w:r>
      <w:r>
        <w:rPr>
          <w:rFonts w:cstheme="minorHAnsi"/>
          <w:b/>
          <w:bCs/>
          <w:color w:val="000000"/>
          <w:sz w:val="20"/>
          <w:szCs w:val="20"/>
        </w:rPr>
        <w:t xml:space="preserve">1800 843 929 </w:t>
      </w:r>
      <w:r>
        <w:rPr>
          <w:rFonts w:cstheme="minorHAnsi"/>
          <w:color w:val="000000"/>
          <w:sz w:val="20"/>
          <w:szCs w:val="20"/>
        </w:rPr>
        <w:t xml:space="preserve">or via email at </w:t>
      </w:r>
      <w:hyperlink r:id="rId35" w:history="1">
        <w:r w:rsidRPr="000C7C6B">
          <w:rPr>
            <w:rStyle w:val="Hyperlink"/>
            <w:rFonts w:cstheme="minorHAnsi"/>
            <w:sz w:val="20"/>
            <w:szCs w:val="20"/>
          </w:rPr>
          <w:t>pwd@pwd.org.au</w:t>
        </w:r>
      </w:hyperlink>
      <w:r>
        <w:rPr>
          <w:rFonts w:cstheme="minorHAnsi"/>
          <w:color w:val="000000"/>
          <w:sz w:val="20"/>
          <w:szCs w:val="20"/>
        </w:rPr>
        <w:t xml:space="preserve"> </w:t>
      </w:r>
    </w:p>
    <w:p w14:paraId="5843215E" w14:textId="77777777" w:rsidR="00210068" w:rsidRDefault="00210068" w:rsidP="00210068">
      <w:pPr>
        <w:pStyle w:val="PWDAContacts"/>
        <w:rPr>
          <w:rFonts w:cstheme="minorHAnsi"/>
          <w:b/>
          <w:bCs/>
          <w:color w:val="000000"/>
          <w:szCs w:val="20"/>
        </w:rPr>
      </w:pPr>
      <w:r>
        <w:rPr>
          <w:rFonts w:cstheme="minorHAnsi"/>
          <w:b/>
          <w:bCs/>
          <w:color w:val="000000"/>
          <w:szCs w:val="20"/>
        </w:rPr>
        <w:t>Submission</w:t>
      </w:r>
      <w:r w:rsidRPr="00497F78">
        <w:rPr>
          <w:rFonts w:cstheme="minorHAnsi"/>
          <w:b/>
          <w:bCs/>
          <w:color w:val="000000"/>
          <w:szCs w:val="20"/>
        </w:rPr>
        <w:t xml:space="preserve"> contact</w:t>
      </w:r>
    </w:p>
    <w:p w14:paraId="2263E6FF" w14:textId="77777777" w:rsidR="00210068" w:rsidRDefault="00210068" w:rsidP="00210068">
      <w:pPr>
        <w:pStyle w:val="PWDAContacts"/>
        <w:rPr>
          <w:rFonts w:cstheme="minorHAnsi"/>
          <w:color w:val="000000"/>
          <w:szCs w:val="20"/>
        </w:rPr>
      </w:pPr>
      <w:r w:rsidRPr="00497F78">
        <w:rPr>
          <w:rFonts w:cstheme="minorHAnsi"/>
          <w:color w:val="000000"/>
          <w:szCs w:val="20"/>
        </w:rPr>
        <w:t>Giancarlo de Vera</w:t>
      </w:r>
    </w:p>
    <w:p w14:paraId="6DA181ED" w14:textId="77777777" w:rsidR="00210068" w:rsidRDefault="00210068" w:rsidP="00210068">
      <w:pPr>
        <w:pStyle w:val="PWDAContacts"/>
        <w:rPr>
          <w:rFonts w:cstheme="minorHAnsi"/>
          <w:color w:val="000000"/>
          <w:szCs w:val="20"/>
        </w:rPr>
      </w:pPr>
      <w:r w:rsidRPr="00497F78">
        <w:rPr>
          <w:rFonts w:cstheme="minorHAnsi"/>
          <w:color w:val="000000"/>
          <w:szCs w:val="20"/>
        </w:rPr>
        <w:t>Senior Manager of Policy</w:t>
      </w:r>
    </w:p>
    <w:p w14:paraId="68025143" w14:textId="77777777" w:rsidR="00210068" w:rsidRPr="000E2282" w:rsidRDefault="00210068" w:rsidP="00210068">
      <w:pPr>
        <w:pStyle w:val="PWDAContacts"/>
        <w:rPr>
          <w:rFonts w:cstheme="minorHAnsi"/>
          <w:b/>
          <w:bCs/>
          <w:color w:val="000000"/>
          <w:szCs w:val="20"/>
        </w:rPr>
      </w:pPr>
      <w:r>
        <w:rPr>
          <w:rFonts w:cstheme="minorHAnsi"/>
          <w:color w:val="000000"/>
          <w:szCs w:val="20"/>
        </w:rPr>
        <w:t xml:space="preserve">E: </w:t>
      </w:r>
      <w:hyperlink r:id="rId36" w:history="1">
        <w:r w:rsidRPr="000C7C6B">
          <w:rPr>
            <w:rStyle w:val="Hyperlink"/>
            <w:rFonts w:cstheme="minorHAnsi"/>
            <w:bCs/>
            <w:szCs w:val="20"/>
          </w:rPr>
          <w:t>giancarlod@pwd.org.au</w:t>
        </w:r>
      </w:hyperlink>
      <w:r w:rsidRPr="00497F78">
        <w:rPr>
          <w:rFonts w:cstheme="minorHAnsi"/>
          <w:b/>
          <w:bCs/>
          <w:color w:val="000000"/>
          <w:szCs w:val="20"/>
        </w:rPr>
        <w:t xml:space="preserve"> </w:t>
      </w:r>
    </w:p>
    <w:p w14:paraId="28F9DE9C" w14:textId="6B645E0A" w:rsidR="00E429D6" w:rsidRPr="00182E58" w:rsidRDefault="00536D44" w:rsidP="00E429D6">
      <w:pPr>
        <w:pStyle w:val="Heading2"/>
      </w:pPr>
      <w:bookmarkStart w:id="48" w:name="_Toc138760539"/>
      <w:bookmarkStart w:id="49" w:name="_Toc138853923"/>
      <w:bookmarkStart w:id="50" w:name="_Toc140247458"/>
      <w:r>
        <w:rPr>
          <w:noProof/>
          <w:lang w:eastAsia="en-AU"/>
        </w:rPr>
        <w:drawing>
          <wp:anchor distT="0" distB="0" distL="114300" distR="114300" simplePos="0" relativeHeight="251665408" behindDoc="1" locked="1" layoutInCell="1" allowOverlap="1" wp14:anchorId="02E113E7" wp14:editId="029A2397">
            <wp:simplePos x="0" y="0"/>
            <wp:positionH relativeFrom="page">
              <wp:align>right</wp:align>
            </wp:positionH>
            <wp:positionV relativeFrom="page">
              <wp:align>top</wp:align>
            </wp:positionV>
            <wp:extent cx="7559675" cy="10690860"/>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bookmarkEnd w:id="48"/>
      <w:bookmarkEnd w:id="49"/>
      <w:bookmarkEnd w:id="50"/>
    </w:p>
    <w:sectPr w:rsidR="00E429D6" w:rsidRPr="00182E58" w:rsidSect="00512B24">
      <w:pgSz w:w="11906" w:h="16838" w:code="9"/>
      <w:pgMar w:top="1440" w:right="1134" w:bottom="1440"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EAF69" w14:textId="77777777" w:rsidR="00952667" w:rsidRPr="00E429D6" w:rsidRDefault="00952667" w:rsidP="00E429D6">
      <w:pPr>
        <w:pStyle w:val="EndnoteText"/>
        <w:spacing w:before="0"/>
        <w:rPr>
          <w:sz w:val="2"/>
        </w:rPr>
      </w:pPr>
    </w:p>
  </w:endnote>
  <w:endnote w:type="continuationSeparator" w:id="0">
    <w:p w14:paraId="61506AD0" w14:textId="77777777" w:rsidR="00952667" w:rsidRDefault="00952667"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panose1 w:val="02000403040000020004"/>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E340" w14:textId="77777777" w:rsidR="00263011" w:rsidRDefault="0026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D7C1" w14:textId="7BC9F737" w:rsidR="009D31EF" w:rsidRDefault="009D31EF" w:rsidP="009D6511">
    <w:pPr>
      <w:pStyle w:val="Footer"/>
      <w:tabs>
        <w:tab w:val="clear" w:pos="4680"/>
        <w:tab w:val="clear" w:pos="9360"/>
        <w:tab w:val="right" w:pos="2835"/>
        <w:tab w:val="right" w:pos="8505"/>
        <w:tab w:val="right" w:pos="9639"/>
      </w:tabs>
      <w:jc w:val="right"/>
    </w:pPr>
    <w:r>
      <w:rPr>
        <w:noProof/>
        <w:lang w:val="en-GB" w:eastAsia="en-GB"/>
      </w:rPr>
      <w:drawing>
        <wp:anchor distT="0" distB="0" distL="114300" distR="114300" simplePos="0" relativeHeight="251661312" behindDoc="0" locked="0" layoutInCell="1" allowOverlap="1" wp14:anchorId="4DA5CB89" wp14:editId="6C7E18D0">
          <wp:simplePos x="0" y="0"/>
          <wp:positionH relativeFrom="column">
            <wp:posOffset>253249</wp:posOffset>
          </wp:positionH>
          <wp:positionV relativeFrom="paragraph">
            <wp:posOffset>-196907</wp:posOffset>
          </wp:positionV>
          <wp:extent cx="540328" cy="572697"/>
          <wp:effectExtent l="0" t="0" r="0" b="0"/>
          <wp:wrapNone/>
          <wp:docPr id="1168725439" name="Picture 11687254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328" cy="572697"/>
                  </a:xfrm>
                  <a:prstGeom prst="rect">
                    <a:avLst/>
                  </a:prstGeom>
                </pic:spPr>
              </pic:pic>
            </a:graphicData>
          </a:graphic>
        </wp:anchor>
      </w:drawing>
    </w:r>
    <w:r w:rsidR="009E0E39">
      <w:rPr>
        <w:noProof/>
      </w:rPr>
      <w:t xml:space="preserve">            </w:t>
    </w:r>
    <w:r w:rsidR="009D6511">
      <w:rPr>
        <w:noProof/>
      </w:rPr>
      <w:t xml:space="preserve">                                                                          </w:t>
    </w:r>
    <w:r w:rsidR="009E0E39">
      <w:rPr>
        <w:noProof/>
      </w:rPr>
      <w:t xml:space="preserve"> </w:t>
    </w:r>
    <w:r w:rsidR="009D6511">
      <w:rPr>
        <w:noProof/>
      </w:rPr>
      <w:t>A Human Rights Act for All</w:t>
    </w:r>
    <w:r>
      <w:rPr>
        <w:noProof/>
      </w:rPr>
      <w:tab/>
    </w:r>
    <w:r>
      <w:rPr>
        <w:noProof/>
      </w:rPr>
      <w:fldChar w:fldCharType="begin"/>
    </w:r>
    <w:r>
      <w:rPr>
        <w:noProof/>
      </w:rPr>
      <w:instrText xml:space="preserve"> PAGE   \* MERGEFORMAT </w:instrText>
    </w:r>
    <w:r>
      <w:rPr>
        <w:noProof/>
      </w:rPr>
      <w:fldChar w:fldCharType="separate"/>
    </w:r>
    <w:r w:rsidR="002702DB">
      <w:rPr>
        <w:noProof/>
      </w:rPr>
      <w:t>v</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F8F0" w14:textId="77777777" w:rsidR="00263011" w:rsidRDefault="002630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08AD" w14:textId="60C32C34" w:rsidR="009D31EF" w:rsidRDefault="009D31EF" w:rsidP="00F1283C">
    <w:pPr>
      <w:pStyle w:val="Footer"/>
      <w:tabs>
        <w:tab w:val="clear" w:pos="4680"/>
        <w:tab w:val="clear" w:pos="9360"/>
        <w:tab w:val="right" w:pos="8505"/>
        <w:tab w:val="right" w:pos="9639"/>
      </w:tabs>
    </w:pPr>
    <w:r>
      <w:rPr>
        <w:noProof/>
        <w:lang w:val="en-GB" w:eastAsia="en-GB"/>
      </w:rPr>
      <w:drawing>
        <wp:inline distT="0" distB="0" distL="0" distR="0" wp14:anchorId="57B6E94D" wp14:editId="1F210777">
          <wp:extent cx="468000" cy="496036"/>
          <wp:effectExtent l="0" t="0" r="8255" b="0"/>
          <wp:docPr id="1526691410" name="Picture 15266914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inline>
      </w:drawing>
    </w:r>
    <w:r>
      <w:tab/>
    </w:r>
    <w:r w:rsidR="009D6511">
      <w:rPr>
        <w:noProof/>
      </w:rPr>
      <w:t>A Human Rights Act for All</w:t>
    </w:r>
    <w:r>
      <w:tab/>
    </w:r>
    <w:r>
      <w:fldChar w:fldCharType="begin"/>
    </w:r>
    <w:r>
      <w:instrText xml:space="preserve"> PAGE   \* MERGEFORMAT </w:instrText>
    </w:r>
    <w:r>
      <w:fldChar w:fldCharType="separate"/>
    </w:r>
    <w:r w:rsidR="002702DB">
      <w:rPr>
        <w:noProof/>
      </w:rPr>
      <w:t>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343BD" w14:textId="77777777" w:rsidR="00952667" w:rsidRDefault="00952667" w:rsidP="00F1283C">
      <w:pPr>
        <w:spacing w:after="0" w:line="240" w:lineRule="auto"/>
      </w:pPr>
      <w:r>
        <w:separator/>
      </w:r>
    </w:p>
  </w:footnote>
  <w:footnote w:type="continuationSeparator" w:id="0">
    <w:p w14:paraId="58CDB839" w14:textId="77777777" w:rsidR="00952667" w:rsidRDefault="00952667" w:rsidP="00F1283C">
      <w:pPr>
        <w:spacing w:after="0" w:line="240" w:lineRule="auto"/>
      </w:pPr>
      <w:r>
        <w:continuationSeparator/>
      </w:r>
    </w:p>
  </w:footnote>
  <w:footnote w:id="1">
    <w:p w14:paraId="08E20E6F" w14:textId="77777777" w:rsidR="00306BAC" w:rsidRPr="00FD6316" w:rsidRDefault="00306BAC" w:rsidP="00FD6316">
      <w:pPr>
        <w:pStyle w:val="FootnoteText"/>
        <w:spacing w:before="0"/>
        <w:rPr>
          <w:sz w:val="18"/>
          <w:szCs w:val="18"/>
        </w:rPr>
      </w:pPr>
      <w:r w:rsidRPr="00FD6316">
        <w:rPr>
          <w:rStyle w:val="FootnoteReference"/>
          <w:sz w:val="18"/>
          <w:szCs w:val="18"/>
        </w:rPr>
        <w:footnoteRef/>
      </w:r>
      <w:r w:rsidRPr="00FD6316">
        <w:rPr>
          <w:sz w:val="18"/>
          <w:szCs w:val="18"/>
        </w:rPr>
        <w:t xml:space="preserve"> United Nations, High Commissioner for Human Rights (2007) </w:t>
      </w:r>
      <w:hyperlink r:id="rId1" w:history="1">
        <w:r w:rsidRPr="00FD6316">
          <w:rPr>
            <w:rStyle w:val="Hyperlink"/>
            <w:i/>
            <w:iCs/>
            <w:sz w:val="18"/>
            <w:szCs w:val="18"/>
          </w:rPr>
          <w:t>Press conference by High Commissioner for Human Rights on signing of convention</w:t>
        </w:r>
      </w:hyperlink>
      <w:r w:rsidRPr="00FD6316">
        <w:rPr>
          <w:sz w:val="18"/>
          <w:szCs w:val="18"/>
        </w:rPr>
        <w:t xml:space="preserve">, United Nations, accessed 23 June 2023. </w:t>
      </w:r>
    </w:p>
  </w:footnote>
  <w:footnote w:id="2">
    <w:p w14:paraId="63506940" w14:textId="77777777" w:rsidR="00306BAC" w:rsidRPr="00FD6316" w:rsidRDefault="00306BAC" w:rsidP="00FD6316">
      <w:pPr>
        <w:pStyle w:val="FootnoteText"/>
        <w:spacing w:before="0"/>
        <w:rPr>
          <w:sz w:val="18"/>
          <w:szCs w:val="18"/>
        </w:rPr>
      </w:pPr>
      <w:r w:rsidRPr="00FD6316">
        <w:rPr>
          <w:rStyle w:val="FootnoteReference"/>
          <w:sz w:val="18"/>
          <w:szCs w:val="18"/>
        </w:rPr>
        <w:footnoteRef/>
      </w:r>
      <w:r w:rsidRPr="00FD6316">
        <w:rPr>
          <w:sz w:val="18"/>
          <w:szCs w:val="18"/>
        </w:rPr>
        <w:t xml:space="preserve"> United Nations, High Commissioner for Human Rights (2007) </w:t>
      </w:r>
      <w:hyperlink r:id="rId2" w:history="1">
        <w:r w:rsidRPr="00FD6316">
          <w:rPr>
            <w:rStyle w:val="Hyperlink"/>
            <w:i/>
            <w:iCs/>
            <w:sz w:val="18"/>
            <w:szCs w:val="18"/>
          </w:rPr>
          <w:t>Press conference by High Commissioner for Human Rights on signing of convention</w:t>
        </w:r>
      </w:hyperlink>
      <w:r w:rsidRPr="00FD6316">
        <w:rPr>
          <w:sz w:val="18"/>
          <w:szCs w:val="18"/>
        </w:rPr>
        <w:t>, United Nations, accessed 23 June 2023.</w:t>
      </w:r>
    </w:p>
  </w:footnote>
  <w:footnote w:id="3">
    <w:p w14:paraId="1EE2AD8B" w14:textId="77777777" w:rsidR="00306BAC" w:rsidRPr="00FD6316" w:rsidRDefault="00306BAC" w:rsidP="00FD6316">
      <w:pPr>
        <w:pStyle w:val="FootnoteText"/>
        <w:spacing w:before="0"/>
        <w:rPr>
          <w:sz w:val="18"/>
          <w:szCs w:val="18"/>
        </w:rPr>
      </w:pPr>
      <w:r w:rsidRPr="00FD6316">
        <w:rPr>
          <w:rStyle w:val="FootnoteReference"/>
          <w:sz w:val="18"/>
          <w:szCs w:val="18"/>
        </w:rPr>
        <w:footnoteRef/>
      </w:r>
      <w:r w:rsidRPr="00FD6316">
        <w:rPr>
          <w:sz w:val="18"/>
          <w:szCs w:val="18"/>
        </w:rPr>
        <w:t xml:space="preserve"> Committee on the Rights of Persons with Disabilities (2019) </w:t>
      </w:r>
      <w:hyperlink r:id="rId3" w:history="1">
        <w:r w:rsidRPr="00FD6316">
          <w:rPr>
            <w:rStyle w:val="Hyperlink"/>
            <w:i/>
            <w:iCs/>
            <w:sz w:val="18"/>
            <w:szCs w:val="18"/>
          </w:rPr>
          <w:t>Concluding observations on the combined second and third periodic reports of Australia</w:t>
        </w:r>
      </w:hyperlink>
      <w:r w:rsidRPr="00FD6316">
        <w:rPr>
          <w:sz w:val="18"/>
          <w:szCs w:val="18"/>
        </w:rPr>
        <w:t xml:space="preserve">, United Nations. </w:t>
      </w:r>
    </w:p>
  </w:footnote>
  <w:footnote w:id="4">
    <w:p w14:paraId="7928798C" w14:textId="77777777" w:rsidR="00306BAC" w:rsidRPr="00FD6316" w:rsidRDefault="00306BAC" w:rsidP="00FD6316">
      <w:pPr>
        <w:pStyle w:val="FootnoteText"/>
        <w:spacing w:before="0"/>
        <w:rPr>
          <w:sz w:val="18"/>
          <w:szCs w:val="18"/>
        </w:rPr>
      </w:pPr>
      <w:r w:rsidRPr="00FD6316">
        <w:rPr>
          <w:rStyle w:val="FootnoteReference"/>
          <w:sz w:val="18"/>
          <w:szCs w:val="18"/>
        </w:rPr>
        <w:footnoteRef/>
      </w:r>
      <w:r w:rsidRPr="00FD6316">
        <w:rPr>
          <w:sz w:val="18"/>
          <w:szCs w:val="18"/>
        </w:rPr>
        <w:t xml:space="preserve"> Australian Human Rights Commission (AHRC) (2022) </w:t>
      </w:r>
      <w:hyperlink r:id="rId4" w:history="1">
        <w:r w:rsidRPr="00FD6316">
          <w:rPr>
            <w:rStyle w:val="Hyperlink"/>
            <w:i/>
            <w:iCs/>
            <w:sz w:val="18"/>
            <w:szCs w:val="18"/>
          </w:rPr>
          <w:t>Free &amp; equal position paper: a human rights act for Australia</w:t>
        </w:r>
      </w:hyperlink>
      <w:r w:rsidRPr="00FD6316">
        <w:rPr>
          <w:sz w:val="18"/>
          <w:szCs w:val="18"/>
        </w:rPr>
        <w:t xml:space="preserve">, AHRC 10. </w:t>
      </w:r>
    </w:p>
  </w:footnote>
  <w:footnote w:id="5">
    <w:p w14:paraId="20CBD7B6" w14:textId="77777777" w:rsidR="00306BAC" w:rsidRPr="00FD6316" w:rsidRDefault="00306BAC" w:rsidP="00FD6316">
      <w:pPr>
        <w:pStyle w:val="FootnoteText"/>
        <w:spacing w:before="0"/>
        <w:rPr>
          <w:sz w:val="18"/>
          <w:szCs w:val="18"/>
        </w:rPr>
      </w:pPr>
      <w:r w:rsidRPr="00FD6316">
        <w:rPr>
          <w:rStyle w:val="FootnoteReference"/>
          <w:sz w:val="18"/>
          <w:szCs w:val="18"/>
        </w:rPr>
        <w:footnoteRef/>
      </w:r>
      <w:r w:rsidRPr="00FD6316">
        <w:rPr>
          <w:sz w:val="18"/>
          <w:szCs w:val="18"/>
        </w:rPr>
        <w:t xml:space="preserve"> The Australian Institute of Health and Welfare (AIHW) (2022) </w:t>
      </w:r>
      <w:hyperlink r:id="rId5" w:history="1">
        <w:r w:rsidRPr="00FD6316">
          <w:rPr>
            <w:rStyle w:val="Hyperlink"/>
            <w:sz w:val="18"/>
            <w:szCs w:val="18"/>
          </w:rPr>
          <w:t>People with disability in Australia 2022</w:t>
        </w:r>
      </w:hyperlink>
      <w:r w:rsidRPr="00FD6316">
        <w:rPr>
          <w:sz w:val="18"/>
          <w:szCs w:val="18"/>
        </w:rPr>
        <w:t>, AIHW, Australian Government.</w:t>
      </w:r>
    </w:p>
  </w:footnote>
  <w:footnote w:id="6">
    <w:p w14:paraId="7BA73992" w14:textId="77777777" w:rsidR="00BA3BF8" w:rsidRPr="00FD6316" w:rsidRDefault="00BA3BF8" w:rsidP="00FD6316">
      <w:pPr>
        <w:pStyle w:val="FootnoteText"/>
        <w:spacing w:before="0"/>
        <w:rPr>
          <w:sz w:val="18"/>
          <w:szCs w:val="18"/>
        </w:rPr>
      </w:pPr>
      <w:r w:rsidRPr="00FD6316">
        <w:rPr>
          <w:rStyle w:val="FootnoteReference"/>
          <w:sz w:val="18"/>
          <w:szCs w:val="18"/>
        </w:rPr>
        <w:footnoteRef/>
      </w:r>
      <w:r w:rsidRPr="00FD6316">
        <w:rPr>
          <w:sz w:val="18"/>
          <w:szCs w:val="18"/>
        </w:rPr>
        <w:t xml:space="preserve"> Australian Human Rights Commission (AHRC) (2022) </w:t>
      </w:r>
      <w:hyperlink r:id="rId6" w:history="1">
        <w:r w:rsidRPr="00FD6316">
          <w:rPr>
            <w:rStyle w:val="Hyperlink"/>
            <w:i/>
            <w:iCs/>
            <w:sz w:val="18"/>
            <w:szCs w:val="18"/>
          </w:rPr>
          <w:t>Free &amp; equal position paper: a human rights act for Australia</w:t>
        </w:r>
      </w:hyperlink>
      <w:r w:rsidRPr="00FD6316">
        <w:rPr>
          <w:sz w:val="18"/>
          <w:szCs w:val="18"/>
        </w:rPr>
        <w:t>, AHRC 10.</w:t>
      </w:r>
    </w:p>
  </w:footnote>
  <w:footnote w:id="7">
    <w:p w14:paraId="1285161C" w14:textId="5FCFA9BC" w:rsidR="004129D6" w:rsidRPr="00FD6316" w:rsidRDefault="004129D6" w:rsidP="004129D6">
      <w:pPr>
        <w:pStyle w:val="FootnoteText"/>
        <w:spacing w:before="0"/>
        <w:rPr>
          <w:sz w:val="18"/>
          <w:szCs w:val="18"/>
        </w:rPr>
      </w:pPr>
      <w:r w:rsidRPr="00FD6316">
        <w:rPr>
          <w:rStyle w:val="FootnoteReference"/>
          <w:sz w:val="18"/>
          <w:szCs w:val="18"/>
        </w:rPr>
        <w:footnoteRef/>
      </w:r>
      <w:r w:rsidRPr="00FD6316">
        <w:rPr>
          <w:sz w:val="18"/>
          <w:szCs w:val="18"/>
        </w:rPr>
        <w:t xml:space="preserve"> Committee on the Rights of Persons with Disabilities (2019) </w:t>
      </w:r>
      <w:hyperlink r:id="rId7" w:history="1">
        <w:r w:rsidRPr="00FD6316">
          <w:rPr>
            <w:rStyle w:val="Hyperlink"/>
            <w:i/>
            <w:iCs/>
            <w:sz w:val="18"/>
            <w:szCs w:val="18"/>
          </w:rPr>
          <w:t>Concluding observations on the combined second and third periodic reports of Australia</w:t>
        </w:r>
      </w:hyperlink>
      <w:r w:rsidRPr="00FD6316">
        <w:rPr>
          <w:sz w:val="18"/>
          <w:szCs w:val="18"/>
        </w:rPr>
        <w:t>, United Nations.</w:t>
      </w:r>
      <w:r w:rsidR="00FB4FAE">
        <w:rPr>
          <w:sz w:val="18"/>
          <w:szCs w:val="18"/>
        </w:rPr>
        <w:t xml:space="preserve"> For a</w:t>
      </w:r>
      <w:r w:rsidR="00101AAE">
        <w:rPr>
          <w:sz w:val="18"/>
          <w:szCs w:val="18"/>
        </w:rPr>
        <w:t xml:space="preserve"> very recent</w:t>
      </w:r>
      <w:r w:rsidR="00FB4FAE">
        <w:rPr>
          <w:sz w:val="18"/>
          <w:szCs w:val="18"/>
        </w:rPr>
        <w:t xml:space="preserve"> example of discrimination against people with disability in migration law, </w:t>
      </w:r>
      <w:r w:rsidR="00101AAE">
        <w:rPr>
          <w:sz w:val="18"/>
          <w:szCs w:val="18"/>
        </w:rPr>
        <w:t xml:space="preserve">please </w:t>
      </w:r>
      <w:r w:rsidR="00FB4FAE">
        <w:rPr>
          <w:sz w:val="18"/>
          <w:szCs w:val="18"/>
        </w:rPr>
        <w:t xml:space="preserve">see the case of </w:t>
      </w:r>
      <w:r w:rsidR="00FB4FAE">
        <w:rPr>
          <w:i/>
          <w:iCs/>
          <w:sz w:val="18"/>
          <w:szCs w:val="18"/>
        </w:rPr>
        <w:t>Aaryan</w:t>
      </w:r>
      <w:r w:rsidR="00FB4FAE">
        <w:rPr>
          <w:sz w:val="18"/>
          <w:szCs w:val="18"/>
        </w:rPr>
        <w:t>:</w:t>
      </w:r>
      <w:r w:rsidR="00FB4FAE">
        <w:rPr>
          <w:i/>
          <w:iCs/>
          <w:sz w:val="18"/>
          <w:szCs w:val="18"/>
        </w:rPr>
        <w:t xml:space="preserve"> </w:t>
      </w:r>
      <w:r w:rsidR="00FB4FAE" w:rsidRPr="00FD6316">
        <w:rPr>
          <w:sz w:val="18"/>
          <w:szCs w:val="18"/>
        </w:rPr>
        <w:t>Davis A and Trilling J (2 March 2023) ‘</w:t>
      </w:r>
      <w:hyperlink r:id="rId8" w:history="1">
        <w:r w:rsidR="00FB4FAE" w:rsidRPr="00FD6316">
          <w:rPr>
            <w:rStyle w:val="Hyperlink"/>
            <w:sz w:val="18"/>
            <w:szCs w:val="18"/>
          </w:rPr>
          <w:t>Perth family facing deportation as son’s Down Syndrome diagnosis deemed taxpayer burden</w:t>
        </w:r>
      </w:hyperlink>
      <w:r w:rsidR="00FB4FAE" w:rsidRPr="00FD6316">
        <w:rPr>
          <w:sz w:val="18"/>
          <w:szCs w:val="18"/>
        </w:rPr>
        <w:t xml:space="preserve">’, </w:t>
      </w:r>
      <w:r w:rsidR="00FB4FAE" w:rsidRPr="00FD6316">
        <w:rPr>
          <w:i/>
          <w:iCs/>
          <w:sz w:val="18"/>
          <w:szCs w:val="18"/>
        </w:rPr>
        <w:t>ABC News</w:t>
      </w:r>
      <w:r w:rsidR="00FB4FAE" w:rsidRPr="00FD6316">
        <w:rPr>
          <w:sz w:val="18"/>
          <w:szCs w:val="18"/>
        </w:rPr>
        <w:t xml:space="preserve">, accessed 23 June 2023.  </w:t>
      </w:r>
    </w:p>
  </w:footnote>
  <w:footnote w:id="8">
    <w:p w14:paraId="59589424" w14:textId="77777777" w:rsidR="00BA3BF8" w:rsidRPr="00FD6316" w:rsidRDefault="00BA3BF8" w:rsidP="00FD6316">
      <w:pPr>
        <w:pStyle w:val="FootnoteText"/>
        <w:spacing w:before="0"/>
        <w:rPr>
          <w:sz w:val="18"/>
          <w:szCs w:val="18"/>
        </w:rPr>
      </w:pPr>
      <w:r w:rsidRPr="00FD6316">
        <w:rPr>
          <w:rStyle w:val="FootnoteReference"/>
          <w:sz w:val="18"/>
          <w:szCs w:val="18"/>
        </w:rPr>
        <w:footnoteRef/>
      </w:r>
      <w:r w:rsidRPr="00FD6316">
        <w:rPr>
          <w:sz w:val="18"/>
          <w:szCs w:val="18"/>
        </w:rPr>
        <w:t xml:space="preserve"> </w:t>
      </w:r>
      <w:bookmarkStart w:id="24" w:name="OLE_LINK1"/>
      <w:bookmarkStart w:id="25" w:name="OLE_LINK2"/>
      <w:r w:rsidRPr="00FD6316">
        <w:rPr>
          <w:sz w:val="18"/>
          <w:szCs w:val="18"/>
        </w:rPr>
        <w:t>Rosemary Kayess and Therese Sands (2020)</w:t>
      </w:r>
      <w:r w:rsidRPr="00FD6316">
        <w:rPr>
          <w:i/>
          <w:iCs/>
          <w:sz w:val="18"/>
          <w:szCs w:val="18"/>
        </w:rPr>
        <w:t xml:space="preserve"> </w:t>
      </w:r>
      <w:hyperlink r:id="rId9" w:history="1">
        <w:r w:rsidRPr="00FD6316">
          <w:rPr>
            <w:rStyle w:val="Hyperlink"/>
            <w:i/>
            <w:iCs/>
            <w:sz w:val="18"/>
            <w:szCs w:val="18"/>
          </w:rPr>
          <w:t>Convention on the Rights of Persons with Disabilities: Shining a light on social transformation</w:t>
        </w:r>
      </w:hyperlink>
      <w:r w:rsidRPr="00FD6316">
        <w:rPr>
          <w:sz w:val="18"/>
          <w:szCs w:val="18"/>
        </w:rPr>
        <w:t xml:space="preserve">, report to the Royal Commission into Violence, Abuse, Neglect and Exploitation of People with Disability, 9.  </w:t>
      </w:r>
      <w:bookmarkEnd w:id="24"/>
      <w:bookmarkEnd w:id="25"/>
    </w:p>
  </w:footnote>
  <w:footnote w:id="9">
    <w:p w14:paraId="36381DE4" w14:textId="77777777" w:rsidR="00BA3BF8" w:rsidRPr="00FD6316" w:rsidRDefault="00BA3BF8" w:rsidP="00FD6316">
      <w:pPr>
        <w:pStyle w:val="FootnoteText"/>
        <w:spacing w:before="0"/>
        <w:rPr>
          <w:sz w:val="18"/>
          <w:szCs w:val="18"/>
        </w:rPr>
      </w:pPr>
      <w:r w:rsidRPr="00FD6316">
        <w:rPr>
          <w:rStyle w:val="FootnoteReference"/>
          <w:sz w:val="18"/>
          <w:szCs w:val="18"/>
        </w:rPr>
        <w:footnoteRef/>
      </w:r>
      <w:r w:rsidRPr="00FD6316">
        <w:rPr>
          <w:sz w:val="18"/>
          <w:szCs w:val="18"/>
        </w:rPr>
        <w:t xml:space="preserve"> Rosemary Kayess and Therese Sands (2020)</w:t>
      </w:r>
      <w:r w:rsidRPr="00FD6316">
        <w:rPr>
          <w:i/>
          <w:iCs/>
          <w:sz w:val="18"/>
          <w:szCs w:val="18"/>
        </w:rPr>
        <w:t xml:space="preserve"> </w:t>
      </w:r>
      <w:hyperlink r:id="rId10" w:history="1">
        <w:r w:rsidRPr="00FD6316">
          <w:rPr>
            <w:rStyle w:val="Hyperlink"/>
            <w:i/>
            <w:iCs/>
            <w:sz w:val="18"/>
            <w:szCs w:val="18"/>
          </w:rPr>
          <w:t>Convention on the Rights of Persons with Disabilities: Shining a light on social transformation</w:t>
        </w:r>
      </w:hyperlink>
      <w:r w:rsidRPr="00FD6316">
        <w:rPr>
          <w:sz w:val="18"/>
          <w:szCs w:val="18"/>
        </w:rPr>
        <w:t xml:space="preserve">, report to the Royal Commission into Violence, Abuse, Neglect and Exploitation of People with Disability, 9.  </w:t>
      </w:r>
    </w:p>
  </w:footnote>
  <w:footnote w:id="10">
    <w:p w14:paraId="21DF947D" w14:textId="77777777" w:rsidR="00BA3BF8" w:rsidRPr="00FD6316" w:rsidRDefault="00BA3BF8" w:rsidP="00FD6316">
      <w:pPr>
        <w:pStyle w:val="FootnoteText"/>
        <w:spacing w:before="0"/>
        <w:rPr>
          <w:sz w:val="18"/>
          <w:szCs w:val="18"/>
        </w:rPr>
      </w:pPr>
      <w:r w:rsidRPr="00FD6316">
        <w:rPr>
          <w:rStyle w:val="FootnoteReference"/>
          <w:sz w:val="18"/>
          <w:szCs w:val="18"/>
        </w:rPr>
        <w:footnoteRef/>
      </w:r>
      <w:r w:rsidRPr="00FD6316">
        <w:rPr>
          <w:sz w:val="18"/>
          <w:szCs w:val="18"/>
        </w:rPr>
        <w:t xml:space="preserve"> Victorian Government (3 May 2022) </w:t>
      </w:r>
      <w:hyperlink r:id="rId11" w:history="1">
        <w:r w:rsidRPr="00FD6316">
          <w:rPr>
            <w:rStyle w:val="Hyperlink"/>
            <w:i/>
            <w:iCs/>
            <w:sz w:val="18"/>
            <w:szCs w:val="18"/>
          </w:rPr>
          <w:t>Major upgrades delivered for special schools</w:t>
        </w:r>
      </w:hyperlink>
      <w:r w:rsidRPr="00FD6316">
        <w:rPr>
          <w:sz w:val="18"/>
          <w:szCs w:val="18"/>
        </w:rPr>
        <w:t xml:space="preserve"> [media release], Victorian Government, accessed 23 June 2023. </w:t>
      </w:r>
    </w:p>
  </w:footnote>
  <w:footnote w:id="11">
    <w:p w14:paraId="6A12EC37" w14:textId="77777777" w:rsidR="006449F9" w:rsidRPr="00FD6316" w:rsidRDefault="006449F9" w:rsidP="00FD6316">
      <w:pPr>
        <w:pStyle w:val="FootnoteText"/>
        <w:spacing w:before="0"/>
        <w:rPr>
          <w:sz w:val="18"/>
          <w:szCs w:val="18"/>
        </w:rPr>
      </w:pPr>
      <w:r w:rsidRPr="00FD6316">
        <w:rPr>
          <w:rStyle w:val="FootnoteReference"/>
          <w:sz w:val="18"/>
          <w:szCs w:val="18"/>
        </w:rPr>
        <w:footnoteRef/>
      </w:r>
      <w:r w:rsidRPr="00FD6316">
        <w:rPr>
          <w:sz w:val="18"/>
          <w:szCs w:val="18"/>
        </w:rPr>
        <w:t xml:space="preserve"> Victorian Law Reform Commission (VLRC) (2012) </w:t>
      </w:r>
      <w:hyperlink r:id="rId12" w:history="1">
        <w:r w:rsidRPr="00FD6316">
          <w:rPr>
            <w:rStyle w:val="Hyperlink"/>
            <w:i/>
            <w:iCs/>
            <w:sz w:val="18"/>
            <w:szCs w:val="18"/>
          </w:rPr>
          <w:t>Guardianship Final Report No.24</w:t>
        </w:r>
      </w:hyperlink>
      <w:r w:rsidRPr="00FD6316">
        <w:rPr>
          <w:sz w:val="18"/>
          <w:szCs w:val="18"/>
        </w:rPr>
        <w:t xml:space="preserve">, VLRC, 4, accessed 23 June 2023. </w:t>
      </w:r>
    </w:p>
  </w:footnote>
  <w:footnote w:id="12">
    <w:p w14:paraId="72FCED4B" w14:textId="77777777" w:rsidR="006449F9" w:rsidRPr="00FD6316" w:rsidRDefault="006449F9" w:rsidP="00FD6316">
      <w:pPr>
        <w:pStyle w:val="FootnoteText"/>
        <w:spacing w:before="0"/>
        <w:rPr>
          <w:sz w:val="18"/>
          <w:szCs w:val="18"/>
        </w:rPr>
      </w:pPr>
      <w:r w:rsidRPr="00FD6316">
        <w:rPr>
          <w:rStyle w:val="FootnoteReference"/>
          <w:sz w:val="18"/>
          <w:szCs w:val="18"/>
        </w:rPr>
        <w:footnoteRef/>
      </w:r>
      <w:r w:rsidRPr="00FD6316">
        <w:rPr>
          <w:sz w:val="18"/>
          <w:szCs w:val="18"/>
        </w:rPr>
        <w:t xml:space="preserve"> Victorian Law Reform Commission (VLRC) (2012) </w:t>
      </w:r>
      <w:hyperlink r:id="rId13" w:history="1">
        <w:r w:rsidRPr="00FD6316">
          <w:rPr>
            <w:rStyle w:val="Hyperlink"/>
            <w:i/>
            <w:iCs/>
            <w:sz w:val="18"/>
            <w:szCs w:val="18"/>
          </w:rPr>
          <w:t>Guardianship Final Report No.24</w:t>
        </w:r>
      </w:hyperlink>
      <w:r w:rsidRPr="00FD6316">
        <w:rPr>
          <w:sz w:val="18"/>
          <w:szCs w:val="18"/>
        </w:rPr>
        <w:t>, VLRC, 45, accessed 23 June 2023.</w:t>
      </w:r>
    </w:p>
  </w:footnote>
  <w:footnote w:id="13">
    <w:p w14:paraId="6C2844FD" w14:textId="77777777" w:rsidR="006449F9" w:rsidRPr="00FD6316" w:rsidRDefault="006449F9" w:rsidP="00FD6316">
      <w:pPr>
        <w:pStyle w:val="FootnoteText"/>
        <w:spacing w:before="0"/>
        <w:rPr>
          <w:sz w:val="18"/>
          <w:szCs w:val="18"/>
        </w:rPr>
      </w:pPr>
      <w:r w:rsidRPr="00FD6316">
        <w:rPr>
          <w:rStyle w:val="FootnoteReference"/>
          <w:sz w:val="18"/>
          <w:szCs w:val="18"/>
        </w:rPr>
        <w:footnoteRef/>
      </w:r>
      <w:r w:rsidRPr="00FD6316">
        <w:rPr>
          <w:sz w:val="18"/>
          <w:szCs w:val="18"/>
        </w:rPr>
        <w:t xml:space="preserve"> Victorian Government (1 March 2020) </w:t>
      </w:r>
      <w:hyperlink r:id="rId14" w:history="1">
        <w:r w:rsidRPr="00FD6316">
          <w:rPr>
            <w:rStyle w:val="Hyperlink"/>
            <w:i/>
            <w:iCs/>
            <w:sz w:val="18"/>
            <w:szCs w:val="18"/>
          </w:rPr>
          <w:t>Victorian guardianship reforms now law</w:t>
        </w:r>
      </w:hyperlink>
      <w:r w:rsidRPr="00FD6316">
        <w:rPr>
          <w:sz w:val="18"/>
          <w:szCs w:val="18"/>
        </w:rPr>
        <w:t xml:space="preserve"> [media release], Victorian Government, accessed 23 June 2023. </w:t>
      </w:r>
    </w:p>
  </w:footnote>
  <w:footnote w:id="14">
    <w:p w14:paraId="5FEB89BB" w14:textId="77777777" w:rsidR="006449F9" w:rsidRPr="00FD6316" w:rsidRDefault="006449F9" w:rsidP="00FD6316">
      <w:pPr>
        <w:pStyle w:val="FootnoteText"/>
        <w:spacing w:before="0"/>
        <w:rPr>
          <w:sz w:val="18"/>
          <w:szCs w:val="18"/>
        </w:rPr>
      </w:pPr>
      <w:r w:rsidRPr="00FD6316">
        <w:rPr>
          <w:rStyle w:val="FootnoteReference"/>
          <w:sz w:val="18"/>
          <w:szCs w:val="18"/>
        </w:rPr>
        <w:footnoteRef/>
      </w:r>
      <w:r w:rsidRPr="00FD6316">
        <w:rPr>
          <w:sz w:val="18"/>
          <w:szCs w:val="18"/>
        </w:rPr>
        <w:t xml:space="preserve"> </w:t>
      </w:r>
      <w:r w:rsidRPr="00FD6316">
        <w:rPr>
          <w:i/>
          <w:iCs/>
          <w:sz w:val="18"/>
          <w:szCs w:val="18"/>
        </w:rPr>
        <w:t xml:space="preserve">Voluntary Assisted Dying Act 2021 </w:t>
      </w:r>
      <w:r w:rsidRPr="00FD6316">
        <w:rPr>
          <w:sz w:val="18"/>
          <w:szCs w:val="18"/>
        </w:rPr>
        <w:t xml:space="preserve">(QLD) 13(1)(a). </w:t>
      </w:r>
    </w:p>
  </w:footnote>
  <w:footnote w:id="15">
    <w:p w14:paraId="6A0FB375" w14:textId="77777777" w:rsidR="006449F9" w:rsidRPr="00FD6316" w:rsidRDefault="006449F9" w:rsidP="00FD6316">
      <w:pPr>
        <w:pStyle w:val="FootnoteText"/>
        <w:spacing w:before="0"/>
        <w:rPr>
          <w:sz w:val="18"/>
          <w:szCs w:val="18"/>
        </w:rPr>
      </w:pPr>
      <w:r w:rsidRPr="00FD6316">
        <w:rPr>
          <w:rStyle w:val="FootnoteReference"/>
          <w:sz w:val="18"/>
          <w:szCs w:val="18"/>
        </w:rPr>
        <w:footnoteRef/>
      </w:r>
      <w:r w:rsidRPr="00FD6316">
        <w:rPr>
          <w:sz w:val="18"/>
          <w:szCs w:val="18"/>
        </w:rPr>
        <w:t xml:space="preserve"> </w:t>
      </w:r>
      <w:r w:rsidRPr="00FD6316">
        <w:rPr>
          <w:i/>
          <w:iCs/>
          <w:sz w:val="18"/>
          <w:szCs w:val="18"/>
        </w:rPr>
        <w:t xml:space="preserve">Voluntary Assisted Dying Act 2021 </w:t>
      </w:r>
      <w:r w:rsidRPr="00FD6316">
        <w:rPr>
          <w:sz w:val="18"/>
          <w:szCs w:val="18"/>
        </w:rPr>
        <w:t xml:space="preserve">(QLD) 13(1)(b). </w:t>
      </w:r>
    </w:p>
  </w:footnote>
  <w:footnote w:id="16">
    <w:p w14:paraId="77647840" w14:textId="12C26DA5" w:rsidR="006449F9" w:rsidRPr="00FD6316" w:rsidRDefault="006449F9" w:rsidP="00FD6316">
      <w:pPr>
        <w:pStyle w:val="FootnoteText"/>
        <w:spacing w:before="0"/>
        <w:rPr>
          <w:sz w:val="18"/>
          <w:szCs w:val="18"/>
        </w:rPr>
      </w:pPr>
      <w:r w:rsidRPr="00FD6316">
        <w:rPr>
          <w:rStyle w:val="FootnoteReference"/>
          <w:sz w:val="18"/>
          <w:szCs w:val="18"/>
        </w:rPr>
        <w:footnoteRef/>
      </w:r>
      <w:r w:rsidRPr="00FD6316">
        <w:rPr>
          <w:sz w:val="18"/>
          <w:szCs w:val="18"/>
        </w:rPr>
        <w:t xml:space="preserve"> </w:t>
      </w:r>
      <w:r w:rsidR="00FB7CA3">
        <w:rPr>
          <w:sz w:val="18"/>
          <w:szCs w:val="18"/>
        </w:rPr>
        <w:t xml:space="preserve">Queensland Law Reform Commission (QLRC) (2021) </w:t>
      </w:r>
      <w:hyperlink r:id="rId15" w:history="1">
        <w:r w:rsidR="00FB7CA3" w:rsidRPr="00AA4CC9">
          <w:rPr>
            <w:rStyle w:val="Hyperlink"/>
            <w:i/>
            <w:iCs/>
            <w:sz w:val="18"/>
            <w:szCs w:val="18"/>
          </w:rPr>
          <w:t>A legal framework for voluntary assisted dying</w:t>
        </w:r>
      </w:hyperlink>
      <w:r w:rsidR="00FB7CA3">
        <w:rPr>
          <w:sz w:val="18"/>
          <w:szCs w:val="18"/>
        </w:rPr>
        <w:t xml:space="preserve">, QLRC, </w:t>
      </w:r>
      <w:r w:rsidR="00E935AA">
        <w:rPr>
          <w:sz w:val="18"/>
          <w:szCs w:val="18"/>
        </w:rPr>
        <w:t>93</w:t>
      </w:r>
      <w:r w:rsidR="00FB7CA3">
        <w:rPr>
          <w:sz w:val="18"/>
          <w:szCs w:val="18"/>
        </w:rPr>
        <w:t>.</w:t>
      </w:r>
      <w:r w:rsidR="00AA4CC9" w:rsidRPr="00AA4CC9">
        <w:rPr>
          <w:sz w:val="18"/>
          <w:szCs w:val="18"/>
        </w:rPr>
        <w:t xml:space="preserve"> </w:t>
      </w:r>
    </w:p>
  </w:footnote>
  <w:footnote w:id="17">
    <w:p w14:paraId="64662CE7" w14:textId="76C5F98E" w:rsidR="006449F9" w:rsidRPr="00FD6316" w:rsidRDefault="006449F9" w:rsidP="00FD6316">
      <w:pPr>
        <w:pStyle w:val="FootnoteText"/>
        <w:spacing w:before="0"/>
        <w:rPr>
          <w:sz w:val="18"/>
          <w:szCs w:val="18"/>
        </w:rPr>
      </w:pPr>
      <w:r w:rsidRPr="00FD6316">
        <w:rPr>
          <w:rStyle w:val="FootnoteReference"/>
          <w:sz w:val="18"/>
          <w:szCs w:val="18"/>
        </w:rPr>
        <w:footnoteRef/>
      </w:r>
      <w:r w:rsidRPr="00FD6316">
        <w:rPr>
          <w:sz w:val="18"/>
          <w:szCs w:val="18"/>
        </w:rPr>
        <w:t xml:space="preserve"> </w:t>
      </w:r>
      <w:r w:rsidR="00AA4CC9">
        <w:rPr>
          <w:sz w:val="18"/>
          <w:szCs w:val="18"/>
        </w:rPr>
        <w:t xml:space="preserve">Queensland Law Reform Commission (QLRC) (2021) </w:t>
      </w:r>
      <w:hyperlink r:id="rId16" w:history="1">
        <w:r w:rsidR="00AA4CC9" w:rsidRPr="00E935AA">
          <w:rPr>
            <w:rStyle w:val="Hyperlink"/>
            <w:i/>
            <w:iCs/>
            <w:sz w:val="18"/>
            <w:szCs w:val="18"/>
          </w:rPr>
          <w:t>A legal framework for voluntary assisted dying</w:t>
        </w:r>
      </w:hyperlink>
      <w:r w:rsidR="00AA4CC9">
        <w:rPr>
          <w:sz w:val="18"/>
          <w:szCs w:val="18"/>
        </w:rPr>
        <w:t xml:space="preserve">, QLRC, 119. </w:t>
      </w:r>
    </w:p>
  </w:footnote>
  <w:footnote w:id="18">
    <w:p w14:paraId="3ED58B49" w14:textId="565BA7C3" w:rsidR="006449F9" w:rsidRPr="00FD6316" w:rsidRDefault="006449F9" w:rsidP="00FD6316">
      <w:pPr>
        <w:pStyle w:val="FootnoteText"/>
        <w:spacing w:before="0"/>
        <w:rPr>
          <w:sz w:val="18"/>
          <w:szCs w:val="18"/>
        </w:rPr>
      </w:pPr>
      <w:r w:rsidRPr="00FD6316">
        <w:rPr>
          <w:rStyle w:val="FootnoteReference"/>
          <w:sz w:val="18"/>
          <w:szCs w:val="18"/>
        </w:rPr>
        <w:footnoteRef/>
      </w:r>
      <w:r w:rsidRPr="00FD6316">
        <w:rPr>
          <w:sz w:val="18"/>
          <w:szCs w:val="18"/>
        </w:rPr>
        <w:t xml:space="preserve"> </w:t>
      </w:r>
      <w:r w:rsidR="00BA27F7">
        <w:rPr>
          <w:sz w:val="18"/>
          <w:szCs w:val="18"/>
        </w:rPr>
        <w:t xml:space="preserve">Queensland Law Reform Commission (QLRC) (2021) </w:t>
      </w:r>
      <w:hyperlink r:id="rId17" w:history="1">
        <w:r w:rsidR="00BA27F7" w:rsidRPr="00E935AA">
          <w:rPr>
            <w:rStyle w:val="Hyperlink"/>
            <w:i/>
            <w:iCs/>
            <w:sz w:val="18"/>
            <w:szCs w:val="18"/>
          </w:rPr>
          <w:t>A legal framework for voluntary assisted dying</w:t>
        </w:r>
      </w:hyperlink>
      <w:r w:rsidR="00BA27F7">
        <w:rPr>
          <w:sz w:val="18"/>
          <w:szCs w:val="18"/>
        </w:rPr>
        <w:t>, QLRC, 28.</w:t>
      </w:r>
    </w:p>
  </w:footnote>
  <w:footnote w:id="19">
    <w:p w14:paraId="214D428B" w14:textId="77777777" w:rsidR="006449F9" w:rsidRPr="00FD6316" w:rsidRDefault="006449F9" w:rsidP="00FD6316">
      <w:pPr>
        <w:pStyle w:val="FootnoteText"/>
        <w:spacing w:before="0"/>
        <w:rPr>
          <w:sz w:val="18"/>
          <w:szCs w:val="18"/>
        </w:rPr>
      </w:pPr>
      <w:r w:rsidRPr="00FD6316">
        <w:rPr>
          <w:rStyle w:val="FootnoteReference"/>
          <w:sz w:val="18"/>
          <w:szCs w:val="18"/>
        </w:rPr>
        <w:footnoteRef/>
      </w:r>
      <w:r w:rsidRPr="00FD6316">
        <w:rPr>
          <w:sz w:val="18"/>
          <w:szCs w:val="18"/>
        </w:rPr>
        <w:t xml:space="preserve"> </w:t>
      </w:r>
      <w:r w:rsidRPr="00FD6316">
        <w:rPr>
          <w:i/>
          <w:iCs/>
          <w:sz w:val="18"/>
          <w:szCs w:val="18"/>
        </w:rPr>
        <w:t>OUR (Guardianship)</w:t>
      </w:r>
      <w:r w:rsidRPr="00FD6316">
        <w:rPr>
          <w:sz w:val="18"/>
          <w:szCs w:val="18"/>
        </w:rPr>
        <w:t xml:space="preserve"> [2021] VCAT 176.</w:t>
      </w:r>
    </w:p>
  </w:footnote>
  <w:footnote w:id="20">
    <w:p w14:paraId="2BFE8BDD" w14:textId="4392D98F" w:rsidR="006449F9" w:rsidRPr="00FD6316" w:rsidRDefault="006449F9" w:rsidP="00FD6316">
      <w:pPr>
        <w:pStyle w:val="FootnoteText"/>
        <w:spacing w:before="0"/>
        <w:rPr>
          <w:sz w:val="18"/>
          <w:szCs w:val="18"/>
        </w:rPr>
      </w:pPr>
      <w:r w:rsidRPr="00FD6316">
        <w:rPr>
          <w:rStyle w:val="FootnoteReference"/>
          <w:sz w:val="18"/>
          <w:szCs w:val="18"/>
        </w:rPr>
        <w:footnoteRef/>
      </w:r>
      <w:r w:rsidRPr="00FD6316">
        <w:rPr>
          <w:sz w:val="18"/>
          <w:szCs w:val="18"/>
        </w:rPr>
        <w:t xml:space="preserve"> </w:t>
      </w:r>
      <w:r w:rsidR="0080771E">
        <w:rPr>
          <w:sz w:val="18"/>
          <w:szCs w:val="18"/>
        </w:rPr>
        <w:t xml:space="preserve">UK Department for Work and Pensions (2020) </w:t>
      </w:r>
      <w:hyperlink r:id="rId18" w:history="1">
        <w:r w:rsidR="0080771E" w:rsidRPr="0080771E">
          <w:rPr>
            <w:rStyle w:val="Hyperlink"/>
            <w:i/>
            <w:iCs/>
            <w:sz w:val="18"/>
            <w:szCs w:val="18"/>
          </w:rPr>
          <w:t>HB Bulletin U1/2020: RR -v- The Secretary of State for Work and Pensions</w:t>
        </w:r>
      </w:hyperlink>
      <w:r w:rsidR="0080771E">
        <w:rPr>
          <w:i/>
          <w:iCs/>
          <w:sz w:val="18"/>
          <w:szCs w:val="18"/>
        </w:rPr>
        <w:t>, accessed 28 June 2023</w:t>
      </w:r>
      <w:r w:rsidR="0080771E">
        <w:rPr>
          <w:sz w:val="18"/>
          <w:szCs w:val="18"/>
        </w:rPr>
        <w:t>.</w:t>
      </w:r>
      <w:r w:rsidRPr="00FD6316">
        <w:rPr>
          <w:sz w:val="18"/>
          <w:szCs w:val="18"/>
        </w:rPr>
        <w:t xml:space="preserve"> </w:t>
      </w:r>
    </w:p>
  </w:footnote>
  <w:footnote w:id="21">
    <w:p w14:paraId="5F486E0E" w14:textId="17392D7A" w:rsidR="006449F9" w:rsidRPr="00FD6316" w:rsidRDefault="006449F9" w:rsidP="00FD6316">
      <w:pPr>
        <w:pStyle w:val="FootnoteText"/>
        <w:spacing w:before="0"/>
        <w:rPr>
          <w:sz w:val="18"/>
          <w:szCs w:val="18"/>
        </w:rPr>
      </w:pPr>
      <w:r w:rsidRPr="00FD6316">
        <w:rPr>
          <w:rStyle w:val="FootnoteReference"/>
          <w:sz w:val="18"/>
          <w:szCs w:val="18"/>
        </w:rPr>
        <w:footnoteRef/>
      </w:r>
      <w:r w:rsidRPr="00FD6316">
        <w:rPr>
          <w:sz w:val="18"/>
          <w:szCs w:val="18"/>
        </w:rPr>
        <w:t xml:space="preserve"> ACT Human Rights Commission (2015) </w:t>
      </w:r>
      <w:hyperlink r:id="rId19" w:history="1">
        <w:r w:rsidRPr="004F2CC9">
          <w:rPr>
            <w:rStyle w:val="Hyperlink"/>
            <w:i/>
            <w:iCs/>
            <w:sz w:val="18"/>
            <w:szCs w:val="18"/>
          </w:rPr>
          <w:t xml:space="preserve">Annual </w:t>
        </w:r>
        <w:r w:rsidR="007F04C0">
          <w:rPr>
            <w:rStyle w:val="Hyperlink"/>
            <w:i/>
            <w:iCs/>
            <w:sz w:val="18"/>
            <w:szCs w:val="18"/>
          </w:rPr>
          <w:t>r</w:t>
        </w:r>
        <w:r w:rsidRPr="004F2CC9">
          <w:rPr>
            <w:rStyle w:val="Hyperlink"/>
            <w:i/>
            <w:iCs/>
            <w:sz w:val="18"/>
            <w:szCs w:val="18"/>
          </w:rPr>
          <w:t>eport 2014-15</w:t>
        </w:r>
      </w:hyperlink>
      <w:r w:rsidRPr="00FD6316">
        <w:rPr>
          <w:sz w:val="18"/>
          <w:szCs w:val="18"/>
        </w:rPr>
        <w:t xml:space="preserve">, 41.  </w:t>
      </w:r>
    </w:p>
  </w:footnote>
  <w:footnote w:id="22">
    <w:p w14:paraId="0744A83B" w14:textId="77777777" w:rsidR="006449F9" w:rsidRPr="00FD6316" w:rsidRDefault="006449F9" w:rsidP="00FD6316">
      <w:pPr>
        <w:pStyle w:val="FootnoteText"/>
        <w:spacing w:before="0"/>
        <w:rPr>
          <w:sz w:val="18"/>
          <w:szCs w:val="18"/>
        </w:rPr>
      </w:pPr>
      <w:r w:rsidRPr="00FD6316">
        <w:rPr>
          <w:rStyle w:val="FootnoteReference"/>
          <w:sz w:val="18"/>
          <w:szCs w:val="18"/>
        </w:rPr>
        <w:footnoteRef/>
      </w:r>
      <w:r w:rsidRPr="00FD6316">
        <w:rPr>
          <w:sz w:val="18"/>
          <w:szCs w:val="18"/>
        </w:rPr>
        <w:t xml:space="preserve"> Queensland Human Rights Commission (2020) </w:t>
      </w:r>
      <w:hyperlink r:id="rId20" w:history="1">
        <w:r w:rsidRPr="00FD6316">
          <w:rPr>
            <w:rStyle w:val="Hyperlink"/>
            <w:i/>
            <w:iCs/>
            <w:sz w:val="18"/>
            <w:szCs w:val="18"/>
          </w:rPr>
          <w:t>Annual report on the operation of the Human Rights Act 2019, 2019-2020</w:t>
        </w:r>
      </w:hyperlink>
      <w:r w:rsidRPr="00FD6316">
        <w:rPr>
          <w:sz w:val="18"/>
          <w:szCs w:val="18"/>
        </w:rPr>
        <w:t xml:space="preserve">, 112. </w:t>
      </w:r>
    </w:p>
  </w:footnote>
  <w:footnote w:id="23">
    <w:p w14:paraId="6FF6A6B0" w14:textId="6F2D2957" w:rsidR="006449F9" w:rsidRPr="00FD6316" w:rsidRDefault="006449F9" w:rsidP="00FD6316">
      <w:pPr>
        <w:pStyle w:val="FootnoteText"/>
        <w:spacing w:before="0"/>
        <w:rPr>
          <w:sz w:val="18"/>
          <w:szCs w:val="18"/>
        </w:rPr>
      </w:pPr>
      <w:r w:rsidRPr="00FD6316">
        <w:rPr>
          <w:rStyle w:val="FootnoteReference"/>
          <w:sz w:val="18"/>
          <w:szCs w:val="18"/>
        </w:rPr>
        <w:footnoteRef/>
      </w:r>
      <w:r w:rsidRPr="00FD6316">
        <w:rPr>
          <w:sz w:val="18"/>
          <w:szCs w:val="18"/>
        </w:rPr>
        <w:t xml:space="preserve"> </w:t>
      </w:r>
      <w:r w:rsidR="007F04C0">
        <w:rPr>
          <w:sz w:val="18"/>
          <w:szCs w:val="18"/>
        </w:rPr>
        <w:t xml:space="preserve">The British Institute of Human Rights (BIHR), </w:t>
      </w:r>
      <w:hyperlink r:id="rId21" w:history="1">
        <w:r w:rsidR="007F04C0" w:rsidRPr="007F04C0">
          <w:rPr>
            <w:rStyle w:val="Hyperlink"/>
            <w:i/>
            <w:iCs/>
            <w:sz w:val="18"/>
            <w:szCs w:val="18"/>
          </w:rPr>
          <w:t xml:space="preserve">The Human Rights Act </w:t>
        </w:r>
        <w:r w:rsidR="007F04C0" w:rsidRPr="007F04C0">
          <w:rPr>
            <w:rStyle w:val="Hyperlink"/>
            <w:sz w:val="18"/>
            <w:szCs w:val="18"/>
          </w:rPr>
          <w:t>– changing lives</w:t>
        </w:r>
      </w:hyperlink>
      <w:r w:rsidR="007F04C0">
        <w:rPr>
          <w:sz w:val="18"/>
          <w:szCs w:val="18"/>
        </w:rPr>
        <w:t>, BIHR, accessed 28 June 2023.</w:t>
      </w:r>
    </w:p>
  </w:footnote>
  <w:footnote w:id="24">
    <w:p w14:paraId="61AB1471" w14:textId="77777777" w:rsidR="00EC20E9" w:rsidRPr="007F04C0" w:rsidRDefault="00EC20E9" w:rsidP="00EC20E9">
      <w:pPr>
        <w:pStyle w:val="FootnoteText"/>
      </w:pPr>
      <w:r>
        <w:rPr>
          <w:rStyle w:val="FootnoteReference"/>
        </w:rPr>
        <w:footnoteRef/>
      </w:r>
      <w:r>
        <w:t xml:space="preserve">  </w:t>
      </w:r>
      <w:r>
        <w:rPr>
          <w:sz w:val="18"/>
          <w:szCs w:val="18"/>
        </w:rPr>
        <w:t xml:space="preserve">Australian Human Rights Commission (AHRC), </w:t>
      </w:r>
      <w:hyperlink r:id="rId22" w:history="1">
        <w:r w:rsidRPr="007F04C0">
          <w:rPr>
            <w:rStyle w:val="Hyperlink"/>
            <w:i/>
            <w:iCs/>
            <w:sz w:val="18"/>
            <w:szCs w:val="18"/>
          </w:rPr>
          <w:t>Nature of obligations regarding economic, social and cultural rights</w:t>
        </w:r>
      </w:hyperlink>
      <w:r>
        <w:rPr>
          <w:sz w:val="18"/>
          <w:szCs w:val="18"/>
        </w:rPr>
        <w:t xml:space="preserve">, accessed 28 June 2023. </w:t>
      </w:r>
    </w:p>
  </w:footnote>
  <w:footnote w:id="25">
    <w:p w14:paraId="6E3D1D44" w14:textId="0AFBACE5" w:rsidR="001744ED" w:rsidRPr="00FD6316" w:rsidRDefault="001744ED" w:rsidP="00FD6316">
      <w:pPr>
        <w:pStyle w:val="FootnoteText"/>
        <w:spacing w:before="0"/>
        <w:rPr>
          <w:sz w:val="18"/>
          <w:szCs w:val="18"/>
        </w:rPr>
      </w:pPr>
      <w:r w:rsidRPr="00FD6316">
        <w:rPr>
          <w:rStyle w:val="FootnoteReference"/>
          <w:sz w:val="18"/>
          <w:szCs w:val="18"/>
        </w:rPr>
        <w:footnoteRef/>
      </w:r>
      <w:r w:rsidRPr="00FD6316">
        <w:rPr>
          <w:sz w:val="18"/>
          <w:szCs w:val="18"/>
        </w:rPr>
        <w:t xml:space="preserve"> </w:t>
      </w:r>
      <w:r w:rsidR="007F04C0" w:rsidRPr="00FD6316">
        <w:rPr>
          <w:sz w:val="18"/>
          <w:szCs w:val="18"/>
        </w:rPr>
        <w:t>Rosemary Kayess and Therese Sands (2020)</w:t>
      </w:r>
      <w:r w:rsidR="007F04C0" w:rsidRPr="00FD6316">
        <w:rPr>
          <w:i/>
          <w:iCs/>
          <w:sz w:val="18"/>
          <w:szCs w:val="18"/>
        </w:rPr>
        <w:t xml:space="preserve"> </w:t>
      </w:r>
      <w:hyperlink r:id="rId23" w:history="1">
        <w:r w:rsidR="007F04C0" w:rsidRPr="00FD6316">
          <w:rPr>
            <w:rStyle w:val="Hyperlink"/>
            <w:i/>
            <w:iCs/>
            <w:sz w:val="18"/>
            <w:szCs w:val="18"/>
          </w:rPr>
          <w:t>Convention on the Rights of Persons with Disabilities: Shining a light on social transformation</w:t>
        </w:r>
      </w:hyperlink>
      <w:r w:rsidR="007F04C0" w:rsidRPr="00FD6316">
        <w:rPr>
          <w:sz w:val="18"/>
          <w:szCs w:val="18"/>
        </w:rPr>
        <w:t>, report to the Royal Commission into Violence, Abuse, Neglect and Exploitation of People with Disability</w:t>
      </w:r>
      <w:r w:rsidR="000C44CC">
        <w:rPr>
          <w:sz w:val="18"/>
          <w:szCs w:val="18"/>
        </w:rPr>
        <w:t xml:space="preserve"> 28. </w:t>
      </w:r>
    </w:p>
  </w:footnote>
  <w:footnote w:id="26">
    <w:p w14:paraId="39989E1C" w14:textId="7BF017E5" w:rsidR="001744ED" w:rsidRPr="00FD6316" w:rsidRDefault="001744ED" w:rsidP="00FD6316">
      <w:pPr>
        <w:pStyle w:val="FootnoteText"/>
        <w:spacing w:before="0"/>
        <w:rPr>
          <w:sz w:val="18"/>
          <w:szCs w:val="18"/>
        </w:rPr>
      </w:pPr>
      <w:r w:rsidRPr="00FD6316">
        <w:rPr>
          <w:rStyle w:val="FootnoteReference"/>
          <w:sz w:val="18"/>
          <w:szCs w:val="18"/>
        </w:rPr>
        <w:footnoteRef/>
      </w:r>
      <w:r w:rsidRPr="00FD6316">
        <w:rPr>
          <w:sz w:val="18"/>
          <w:szCs w:val="18"/>
        </w:rPr>
        <w:t xml:space="preserve"> </w:t>
      </w:r>
      <w:r w:rsidR="000C44CC" w:rsidRPr="00FD6316">
        <w:rPr>
          <w:sz w:val="18"/>
          <w:szCs w:val="18"/>
        </w:rPr>
        <w:t>Rosemary Kayess and Therese Sands (2020)</w:t>
      </w:r>
      <w:r w:rsidR="000C44CC" w:rsidRPr="00FD6316">
        <w:rPr>
          <w:i/>
          <w:iCs/>
          <w:sz w:val="18"/>
          <w:szCs w:val="18"/>
        </w:rPr>
        <w:t xml:space="preserve"> </w:t>
      </w:r>
      <w:hyperlink r:id="rId24" w:history="1">
        <w:r w:rsidR="000C44CC" w:rsidRPr="00FD6316">
          <w:rPr>
            <w:rStyle w:val="Hyperlink"/>
            <w:i/>
            <w:iCs/>
            <w:sz w:val="18"/>
            <w:szCs w:val="18"/>
          </w:rPr>
          <w:t>Convention on the Rights of Persons with Disabilities: Shining a light on social transformation</w:t>
        </w:r>
      </w:hyperlink>
      <w:r w:rsidR="000C44CC" w:rsidRPr="00FD6316">
        <w:rPr>
          <w:sz w:val="18"/>
          <w:szCs w:val="18"/>
        </w:rPr>
        <w:t>, report to the Royal Commission into Violence, Abuse, Neglect and Exploitation of People with Disability</w:t>
      </w:r>
      <w:r w:rsidR="000C44CC">
        <w:rPr>
          <w:sz w:val="18"/>
          <w:szCs w:val="18"/>
        </w:rPr>
        <w:t xml:space="preserve"> 28. </w:t>
      </w:r>
    </w:p>
  </w:footnote>
  <w:footnote w:id="27">
    <w:p w14:paraId="2EF65AEF" w14:textId="4496A38A" w:rsidR="001744ED" w:rsidRDefault="001744ED" w:rsidP="00FD6316">
      <w:pPr>
        <w:pStyle w:val="FootnoteText"/>
        <w:spacing w:before="0"/>
      </w:pPr>
      <w:r w:rsidRPr="00FD6316">
        <w:rPr>
          <w:rStyle w:val="FootnoteReference"/>
          <w:sz w:val="18"/>
          <w:szCs w:val="18"/>
        </w:rPr>
        <w:footnoteRef/>
      </w:r>
      <w:r w:rsidRPr="00FD6316">
        <w:rPr>
          <w:sz w:val="18"/>
          <w:szCs w:val="18"/>
        </w:rPr>
        <w:t xml:space="preserve"> </w:t>
      </w:r>
      <w:r w:rsidR="007F04C0" w:rsidRPr="00FD6316">
        <w:rPr>
          <w:sz w:val="18"/>
          <w:szCs w:val="18"/>
        </w:rPr>
        <w:t>Rosemary Kayess and Therese Sands (2020)</w:t>
      </w:r>
      <w:r w:rsidR="007F04C0" w:rsidRPr="00FD6316">
        <w:rPr>
          <w:i/>
          <w:iCs/>
          <w:sz w:val="18"/>
          <w:szCs w:val="18"/>
        </w:rPr>
        <w:t xml:space="preserve"> </w:t>
      </w:r>
      <w:hyperlink r:id="rId25" w:history="1">
        <w:r w:rsidR="007F04C0" w:rsidRPr="00FD6316">
          <w:rPr>
            <w:rStyle w:val="Hyperlink"/>
            <w:i/>
            <w:iCs/>
            <w:sz w:val="18"/>
            <w:szCs w:val="18"/>
          </w:rPr>
          <w:t>Convention on the Rights of Persons with Disabilities: Shining a light on social transformation</w:t>
        </w:r>
      </w:hyperlink>
      <w:r w:rsidR="007F04C0" w:rsidRPr="00FD6316">
        <w:rPr>
          <w:sz w:val="18"/>
          <w:szCs w:val="18"/>
        </w:rPr>
        <w:t xml:space="preserve">, report to the Royal Commission into Violence, Abuse, Neglect and Exploitation of People with Disability, </w:t>
      </w:r>
      <w:r w:rsidR="007F04C0">
        <w:rPr>
          <w:sz w:val="18"/>
          <w:szCs w:val="18"/>
        </w:rPr>
        <w:t>2</w:t>
      </w:r>
      <w:r w:rsidR="007F04C0" w:rsidRPr="00FD6316">
        <w:rPr>
          <w:sz w:val="18"/>
          <w:szCs w:val="18"/>
        </w:rPr>
        <w:t xml:space="preserve">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B6FC" w14:textId="77777777" w:rsidR="00263011" w:rsidRDefault="00263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53DD" w14:textId="4BFD8710" w:rsidR="00101AAE" w:rsidRDefault="00101A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2695" w14:textId="77777777" w:rsidR="00263011" w:rsidRDefault="002630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F917" w14:textId="54623F17" w:rsidR="009D31EF" w:rsidRDefault="009D3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D4B7B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A7D0A"/>
    <w:multiLevelType w:val="hybridMultilevel"/>
    <w:tmpl w:val="62CA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55422"/>
    <w:multiLevelType w:val="hybridMultilevel"/>
    <w:tmpl w:val="CECA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40735"/>
    <w:multiLevelType w:val="hybridMultilevel"/>
    <w:tmpl w:val="5280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5" w15:restartNumberingAfterBreak="0">
    <w:nsid w:val="096A524F"/>
    <w:multiLevelType w:val="hybridMultilevel"/>
    <w:tmpl w:val="D9565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8C683E"/>
    <w:multiLevelType w:val="hybridMultilevel"/>
    <w:tmpl w:val="E202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9B1EDC"/>
    <w:multiLevelType w:val="hybridMultilevel"/>
    <w:tmpl w:val="44F24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F97ADE"/>
    <w:multiLevelType w:val="hybridMultilevel"/>
    <w:tmpl w:val="CF14C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6B26DF"/>
    <w:multiLevelType w:val="hybridMultilevel"/>
    <w:tmpl w:val="A1AE03B6"/>
    <w:lvl w:ilvl="0" w:tplc="BD04C85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BE36FE"/>
    <w:multiLevelType w:val="hybridMultilevel"/>
    <w:tmpl w:val="F6FE1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042BDD"/>
    <w:multiLevelType w:val="hybridMultilevel"/>
    <w:tmpl w:val="06D0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873497"/>
    <w:multiLevelType w:val="multilevel"/>
    <w:tmpl w:val="3F002D38"/>
    <w:name w:val="PWDA_Bullets2"/>
    <w:numStyleLink w:val="PWDABullets"/>
  </w:abstractNum>
  <w:abstractNum w:abstractNumId="13" w15:restartNumberingAfterBreak="0">
    <w:nsid w:val="22FA143B"/>
    <w:multiLevelType w:val="hybridMultilevel"/>
    <w:tmpl w:val="A9B4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26EDE"/>
    <w:multiLevelType w:val="multilevel"/>
    <w:tmpl w:val="3F002D38"/>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5" w15:restartNumberingAfterBreak="0">
    <w:nsid w:val="257F39E7"/>
    <w:multiLevelType w:val="hybridMultilevel"/>
    <w:tmpl w:val="EED27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0D6C83"/>
    <w:multiLevelType w:val="hybridMultilevel"/>
    <w:tmpl w:val="48BA77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AB6350"/>
    <w:multiLevelType w:val="hybridMultilevel"/>
    <w:tmpl w:val="87F8B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930883"/>
    <w:multiLevelType w:val="hybridMultilevel"/>
    <w:tmpl w:val="78CA6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C0B5114"/>
    <w:multiLevelType w:val="multilevel"/>
    <w:tmpl w:val="838A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8141D6"/>
    <w:multiLevelType w:val="hybridMultilevel"/>
    <w:tmpl w:val="D91C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4A1A1C"/>
    <w:multiLevelType w:val="hybridMultilevel"/>
    <w:tmpl w:val="B7663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D3F8A"/>
    <w:multiLevelType w:val="hybridMultilevel"/>
    <w:tmpl w:val="8EEC7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3E6A81"/>
    <w:multiLevelType w:val="hybridMultilevel"/>
    <w:tmpl w:val="D4EC1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E572ED"/>
    <w:multiLevelType w:val="hybridMultilevel"/>
    <w:tmpl w:val="CF7087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B75798C"/>
    <w:multiLevelType w:val="hybridMultilevel"/>
    <w:tmpl w:val="9F2E42A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F45593B"/>
    <w:multiLevelType w:val="hybridMultilevel"/>
    <w:tmpl w:val="D0247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835B7F"/>
    <w:multiLevelType w:val="hybridMultilevel"/>
    <w:tmpl w:val="B1A4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9202A8"/>
    <w:multiLevelType w:val="hybridMultilevel"/>
    <w:tmpl w:val="1654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E449F"/>
    <w:multiLevelType w:val="hybridMultilevel"/>
    <w:tmpl w:val="A840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B816EC"/>
    <w:multiLevelType w:val="hybridMultilevel"/>
    <w:tmpl w:val="076610F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1" w15:restartNumberingAfterBreak="0">
    <w:nsid w:val="63904935"/>
    <w:multiLevelType w:val="hybridMultilevel"/>
    <w:tmpl w:val="733095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5AD7455"/>
    <w:multiLevelType w:val="hybridMultilevel"/>
    <w:tmpl w:val="3EA6C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F357C4"/>
    <w:multiLevelType w:val="hybridMultilevel"/>
    <w:tmpl w:val="A008E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615265"/>
    <w:multiLevelType w:val="hybridMultilevel"/>
    <w:tmpl w:val="6DFC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930DF5"/>
    <w:multiLevelType w:val="hybridMultilevel"/>
    <w:tmpl w:val="EA8465A6"/>
    <w:lvl w:ilvl="0" w:tplc="AF68D5D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C304089"/>
    <w:multiLevelType w:val="hybridMultilevel"/>
    <w:tmpl w:val="2E60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C27910"/>
    <w:multiLevelType w:val="hybridMultilevel"/>
    <w:tmpl w:val="4BE2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9C06A1"/>
    <w:multiLevelType w:val="hybridMultilevel"/>
    <w:tmpl w:val="04FC9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B8231C"/>
    <w:multiLevelType w:val="hybridMultilevel"/>
    <w:tmpl w:val="1F8EE51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0" w15:restartNumberingAfterBreak="0">
    <w:nsid w:val="709A05CA"/>
    <w:multiLevelType w:val="hybridMultilevel"/>
    <w:tmpl w:val="A8EA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C95D61"/>
    <w:multiLevelType w:val="hybridMultilevel"/>
    <w:tmpl w:val="3FAC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650683"/>
    <w:multiLevelType w:val="hybridMultilevel"/>
    <w:tmpl w:val="0686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E915DB"/>
    <w:multiLevelType w:val="hybridMultilevel"/>
    <w:tmpl w:val="7152C988"/>
    <w:lvl w:ilvl="0" w:tplc="84D8CAFE">
      <w:start w:val="1"/>
      <w:numFmt w:val="decimal"/>
      <w:pStyle w:val="ListParagraph"/>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147669995">
    <w:abstractNumId w:val="14"/>
  </w:num>
  <w:num w:numId="2" w16cid:durableId="1862086662">
    <w:abstractNumId w:val="4"/>
  </w:num>
  <w:num w:numId="3" w16cid:durableId="1973247503">
    <w:abstractNumId w:val="9"/>
  </w:num>
  <w:num w:numId="4" w16cid:durableId="897666581">
    <w:abstractNumId w:val="43"/>
  </w:num>
  <w:num w:numId="5" w16cid:durableId="1527015215">
    <w:abstractNumId w:val="21"/>
  </w:num>
  <w:num w:numId="6" w16cid:durableId="728842238">
    <w:abstractNumId w:val="34"/>
  </w:num>
  <w:num w:numId="7" w16cid:durableId="1203640117">
    <w:abstractNumId w:val="37"/>
  </w:num>
  <w:num w:numId="8" w16cid:durableId="802236482">
    <w:abstractNumId w:val="42"/>
  </w:num>
  <w:num w:numId="9" w16cid:durableId="598756144">
    <w:abstractNumId w:val="17"/>
  </w:num>
  <w:num w:numId="10" w16cid:durableId="799804049">
    <w:abstractNumId w:val="10"/>
  </w:num>
  <w:num w:numId="11" w16cid:durableId="1587179866">
    <w:abstractNumId w:val="31"/>
  </w:num>
  <w:num w:numId="12" w16cid:durableId="1596523460">
    <w:abstractNumId w:val="3"/>
  </w:num>
  <w:num w:numId="13" w16cid:durableId="1159998814">
    <w:abstractNumId w:val="39"/>
  </w:num>
  <w:num w:numId="14" w16cid:durableId="694770650">
    <w:abstractNumId w:val="28"/>
  </w:num>
  <w:num w:numId="15" w16cid:durableId="1116945711">
    <w:abstractNumId w:val="5"/>
  </w:num>
  <w:num w:numId="16" w16cid:durableId="402989958">
    <w:abstractNumId w:val="11"/>
  </w:num>
  <w:num w:numId="17" w16cid:durableId="865943749">
    <w:abstractNumId w:val="22"/>
  </w:num>
  <w:num w:numId="18" w16cid:durableId="1841504995">
    <w:abstractNumId w:val="30"/>
  </w:num>
  <w:num w:numId="19" w16cid:durableId="694356049">
    <w:abstractNumId w:val="18"/>
  </w:num>
  <w:num w:numId="20" w16cid:durableId="1826044158">
    <w:abstractNumId w:val="29"/>
  </w:num>
  <w:num w:numId="21" w16cid:durableId="1950308178">
    <w:abstractNumId w:val="20"/>
  </w:num>
  <w:num w:numId="22" w16cid:durableId="47147108">
    <w:abstractNumId w:val="41"/>
  </w:num>
  <w:num w:numId="23" w16cid:durableId="472212822">
    <w:abstractNumId w:val="32"/>
  </w:num>
  <w:num w:numId="24" w16cid:durableId="1740981279">
    <w:abstractNumId w:val="15"/>
  </w:num>
  <w:num w:numId="25" w16cid:durableId="1942374836">
    <w:abstractNumId w:val="1"/>
  </w:num>
  <w:num w:numId="26" w16cid:durableId="856386360">
    <w:abstractNumId w:val="26"/>
  </w:num>
  <w:num w:numId="27" w16cid:durableId="191382324">
    <w:abstractNumId w:val="40"/>
  </w:num>
  <w:num w:numId="28" w16cid:durableId="117577506">
    <w:abstractNumId w:val="33"/>
  </w:num>
  <w:num w:numId="29" w16cid:durableId="420032418">
    <w:abstractNumId w:val="16"/>
  </w:num>
  <w:num w:numId="30" w16cid:durableId="1839953833">
    <w:abstractNumId w:val="24"/>
  </w:num>
  <w:num w:numId="31" w16cid:durableId="95683464">
    <w:abstractNumId w:val="19"/>
  </w:num>
  <w:num w:numId="32" w16cid:durableId="195781361">
    <w:abstractNumId w:val="38"/>
  </w:num>
  <w:num w:numId="33" w16cid:durableId="619847706">
    <w:abstractNumId w:val="6"/>
  </w:num>
  <w:num w:numId="34" w16cid:durableId="1616719134">
    <w:abstractNumId w:val="23"/>
  </w:num>
  <w:num w:numId="35" w16cid:durableId="395982179">
    <w:abstractNumId w:val="25"/>
  </w:num>
  <w:num w:numId="36" w16cid:durableId="1852062594">
    <w:abstractNumId w:val="27"/>
  </w:num>
  <w:num w:numId="37" w16cid:durableId="1918318471">
    <w:abstractNumId w:val="2"/>
  </w:num>
  <w:num w:numId="38" w16cid:durableId="512766367">
    <w:abstractNumId w:val="36"/>
  </w:num>
  <w:num w:numId="39" w16cid:durableId="1928541025">
    <w:abstractNumId w:val="35"/>
  </w:num>
  <w:num w:numId="40" w16cid:durableId="3723912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25633404">
    <w:abstractNumId w:val="12"/>
  </w:num>
  <w:num w:numId="42" w16cid:durableId="1122000684">
    <w:abstractNumId w:val="43"/>
    <w:lvlOverride w:ilvl="0">
      <w:startOverride w:val="1"/>
    </w:lvlOverride>
  </w:num>
  <w:num w:numId="43" w16cid:durableId="17127219">
    <w:abstractNumId w:val="43"/>
    <w:lvlOverride w:ilvl="0">
      <w:startOverride w:val="1"/>
    </w:lvlOverride>
  </w:num>
  <w:num w:numId="44" w16cid:durableId="313074502">
    <w:abstractNumId w:val="0"/>
  </w:num>
  <w:num w:numId="45" w16cid:durableId="250361309">
    <w:abstractNumId w:val="13"/>
  </w:num>
  <w:num w:numId="46" w16cid:durableId="1323118117">
    <w:abstractNumId w:val="8"/>
  </w:num>
  <w:num w:numId="47" w16cid:durableId="2012637047">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zSyMDCyMDQ0NzZT0lEKTi0uzszPAykwNK4FAMG3mG0tAAAA"/>
  </w:docVars>
  <w:rsids>
    <w:rsidRoot w:val="00182E58"/>
    <w:rsid w:val="0000139F"/>
    <w:rsid w:val="000046B7"/>
    <w:rsid w:val="000048CF"/>
    <w:rsid w:val="00013B58"/>
    <w:rsid w:val="00013C30"/>
    <w:rsid w:val="00014076"/>
    <w:rsid w:val="00014092"/>
    <w:rsid w:val="00014A0A"/>
    <w:rsid w:val="00014D33"/>
    <w:rsid w:val="00015387"/>
    <w:rsid w:val="000157F4"/>
    <w:rsid w:val="000177B6"/>
    <w:rsid w:val="000204DA"/>
    <w:rsid w:val="0002393D"/>
    <w:rsid w:val="000310A5"/>
    <w:rsid w:val="00033CE1"/>
    <w:rsid w:val="0003438A"/>
    <w:rsid w:val="00035ACF"/>
    <w:rsid w:val="000367A1"/>
    <w:rsid w:val="00037599"/>
    <w:rsid w:val="0003779A"/>
    <w:rsid w:val="00040215"/>
    <w:rsid w:val="000408EF"/>
    <w:rsid w:val="00044041"/>
    <w:rsid w:val="00052232"/>
    <w:rsid w:val="00056CDD"/>
    <w:rsid w:val="00064CBF"/>
    <w:rsid w:val="00065B25"/>
    <w:rsid w:val="00066103"/>
    <w:rsid w:val="00070B8D"/>
    <w:rsid w:val="00073A43"/>
    <w:rsid w:val="000765E7"/>
    <w:rsid w:val="00081C36"/>
    <w:rsid w:val="00085087"/>
    <w:rsid w:val="000878C0"/>
    <w:rsid w:val="00090C7A"/>
    <w:rsid w:val="00091A43"/>
    <w:rsid w:val="00093013"/>
    <w:rsid w:val="000952BC"/>
    <w:rsid w:val="00097B8F"/>
    <w:rsid w:val="000A3E42"/>
    <w:rsid w:val="000A5263"/>
    <w:rsid w:val="000A7977"/>
    <w:rsid w:val="000A7E66"/>
    <w:rsid w:val="000B005E"/>
    <w:rsid w:val="000B1587"/>
    <w:rsid w:val="000B16E6"/>
    <w:rsid w:val="000B1C5B"/>
    <w:rsid w:val="000B5D63"/>
    <w:rsid w:val="000B792F"/>
    <w:rsid w:val="000C15D2"/>
    <w:rsid w:val="000C1B46"/>
    <w:rsid w:val="000C1F36"/>
    <w:rsid w:val="000C1F6F"/>
    <w:rsid w:val="000C2A88"/>
    <w:rsid w:val="000C2C43"/>
    <w:rsid w:val="000C3BD3"/>
    <w:rsid w:val="000C44CC"/>
    <w:rsid w:val="000C7213"/>
    <w:rsid w:val="000D33C4"/>
    <w:rsid w:val="000D525D"/>
    <w:rsid w:val="000D53EC"/>
    <w:rsid w:val="000E17D8"/>
    <w:rsid w:val="000E2293"/>
    <w:rsid w:val="000E7764"/>
    <w:rsid w:val="000F25F1"/>
    <w:rsid w:val="000F30AF"/>
    <w:rsid w:val="000F3B4B"/>
    <w:rsid w:val="000F4E00"/>
    <w:rsid w:val="000F7338"/>
    <w:rsid w:val="000F781C"/>
    <w:rsid w:val="00101AAE"/>
    <w:rsid w:val="00101E07"/>
    <w:rsid w:val="00103C21"/>
    <w:rsid w:val="00105CE2"/>
    <w:rsid w:val="00106472"/>
    <w:rsid w:val="0010718E"/>
    <w:rsid w:val="00107A55"/>
    <w:rsid w:val="00110882"/>
    <w:rsid w:val="00113712"/>
    <w:rsid w:val="00120A98"/>
    <w:rsid w:val="00121AE7"/>
    <w:rsid w:val="001234CE"/>
    <w:rsid w:val="00123A0A"/>
    <w:rsid w:val="00123F5D"/>
    <w:rsid w:val="00125754"/>
    <w:rsid w:val="001258C3"/>
    <w:rsid w:val="00126837"/>
    <w:rsid w:val="00126F76"/>
    <w:rsid w:val="00130422"/>
    <w:rsid w:val="001325F4"/>
    <w:rsid w:val="00133613"/>
    <w:rsid w:val="00136A5D"/>
    <w:rsid w:val="00141250"/>
    <w:rsid w:val="00143290"/>
    <w:rsid w:val="00146388"/>
    <w:rsid w:val="00154228"/>
    <w:rsid w:val="00154B6D"/>
    <w:rsid w:val="0015570F"/>
    <w:rsid w:val="0016039B"/>
    <w:rsid w:val="001612A3"/>
    <w:rsid w:val="001666E2"/>
    <w:rsid w:val="00170648"/>
    <w:rsid w:val="001744ED"/>
    <w:rsid w:val="00174A39"/>
    <w:rsid w:val="00174D33"/>
    <w:rsid w:val="0017539F"/>
    <w:rsid w:val="001769FD"/>
    <w:rsid w:val="001802A0"/>
    <w:rsid w:val="001805F9"/>
    <w:rsid w:val="001818A8"/>
    <w:rsid w:val="00182010"/>
    <w:rsid w:val="00182E58"/>
    <w:rsid w:val="00184DF1"/>
    <w:rsid w:val="001857F4"/>
    <w:rsid w:val="00187A9E"/>
    <w:rsid w:val="001906BA"/>
    <w:rsid w:val="00190ABE"/>
    <w:rsid w:val="00191677"/>
    <w:rsid w:val="00192A37"/>
    <w:rsid w:val="00192A65"/>
    <w:rsid w:val="00192D0A"/>
    <w:rsid w:val="00194CAF"/>
    <w:rsid w:val="001969E7"/>
    <w:rsid w:val="001A09AB"/>
    <w:rsid w:val="001A0F45"/>
    <w:rsid w:val="001A3045"/>
    <w:rsid w:val="001A60E3"/>
    <w:rsid w:val="001A63A0"/>
    <w:rsid w:val="001A67EB"/>
    <w:rsid w:val="001B6618"/>
    <w:rsid w:val="001B6D42"/>
    <w:rsid w:val="001C0D6B"/>
    <w:rsid w:val="001C16FA"/>
    <w:rsid w:val="001C1AAC"/>
    <w:rsid w:val="001C3455"/>
    <w:rsid w:val="001C3A45"/>
    <w:rsid w:val="001C4258"/>
    <w:rsid w:val="001C7AA7"/>
    <w:rsid w:val="001C7D3F"/>
    <w:rsid w:val="001D2D10"/>
    <w:rsid w:val="001D692A"/>
    <w:rsid w:val="001D78E6"/>
    <w:rsid w:val="001E3584"/>
    <w:rsid w:val="001E6834"/>
    <w:rsid w:val="001F0905"/>
    <w:rsid w:val="001F444C"/>
    <w:rsid w:val="001F4569"/>
    <w:rsid w:val="001F4E09"/>
    <w:rsid w:val="001F522A"/>
    <w:rsid w:val="001F558C"/>
    <w:rsid w:val="001F684C"/>
    <w:rsid w:val="00200141"/>
    <w:rsid w:val="00201A09"/>
    <w:rsid w:val="00205BFE"/>
    <w:rsid w:val="0020705A"/>
    <w:rsid w:val="00210068"/>
    <w:rsid w:val="00210AF4"/>
    <w:rsid w:val="00211706"/>
    <w:rsid w:val="00211B0B"/>
    <w:rsid w:val="00211C53"/>
    <w:rsid w:val="00212808"/>
    <w:rsid w:val="0021567A"/>
    <w:rsid w:val="002162A5"/>
    <w:rsid w:val="002165EA"/>
    <w:rsid w:val="00220269"/>
    <w:rsid w:val="0022155D"/>
    <w:rsid w:val="00221FA0"/>
    <w:rsid w:val="0022264D"/>
    <w:rsid w:val="00224E16"/>
    <w:rsid w:val="00225449"/>
    <w:rsid w:val="00231C70"/>
    <w:rsid w:val="00232893"/>
    <w:rsid w:val="00235A97"/>
    <w:rsid w:val="00237DAD"/>
    <w:rsid w:val="002400E8"/>
    <w:rsid w:val="00243342"/>
    <w:rsid w:val="00243E7F"/>
    <w:rsid w:val="00245FC3"/>
    <w:rsid w:val="00246EA0"/>
    <w:rsid w:val="00247521"/>
    <w:rsid w:val="00250F27"/>
    <w:rsid w:val="00252D00"/>
    <w:rsid w:val="0025349B"/>
    <w:rsid w:val="002543B6"/>
    <w:rsid w:val="0025502F"/>
    <w:rsid w:val="00256FAC"/>
    <w:rsid w:val="00260058"/>
    <w:rsid w:val="00260FC2"/>
    <w:rsid w:val="00261019"/>
    <w:rsid w:val="00263011"/>
    <w:rsid w:val="002647C1"/>
    <w:rsid w:val="00265D54"/>
    <w:rsid w:val="00266BB8"/>
    <w:rsid w:val="002702DB"/>
    <w:rsid w:val="00271A43"/>
    <w:rsid w:val="002802F5"/>
    <w:rsid w:val="002819A9"/>
    <w:rsid w:val="00281D5B"/>
    <w:rsid w:val="00283311"/>
    <w:rsid w:val="00283BF5"/>
    <w:rsid w:val="002847F9"/>
    <w:rsid w:val="0028488F"/>
    <w:rsid w:val="002860EB"/>
    <w:rsid w:val="00291E14"/>
    <w:rsid w:val="002937C8"/>
    <w:rsid w:val="00294EA0"/>
    <w:rsid w:val="00296693"/>
    <w:rsid w:val="00296AEE"/>
    <w:rsid w:val="00296D4F"/>
    <w:rsid w:val="002A5D6A"/>
    <w:rsid w:val="002B0231"/>
    <w:rsid w:val="002B039E"/>
    <w:rsid w:val="002B3F9F"/>
    <w:rsid w:val="002B5542"/>
    <w:rsid w:val="002B56B4"/>
    <w:rsid w:val="002B6FDF"/>
    <w:rsid w:val="002C0863"/>
    <w:rsid w:val="002C116A"/>
    <w:rsid w:val="002C624B"/>
    <w:rsid w:val="002C6F0A"/>
    <w:rsid w:val="002C6F76"/>
    <w:rsid w:val="002D265E"/>
    <w:rsid w:val="002D32E8"/>
    <w:rsid w:val="002D5258"/>
    <w:rsid w:val="002D5774"/>
    <w:rsid w:val="002D7D52"/>
    <w:rsid w:val="002E4D98"/>
    <w:rsid w:val="002E526C"/>
    <w:rsid w:val="002E74A9"/>
    <w:rsid w:val="002F0C1F"/>
    <w:rsid w:val="002F27C1"/>
    <w:rsid w:val="003011F2"/>
    <w:rsid w:val="00301B38"/>
    <w:rsid w:val="0030205A"/>
    <w:rsid w:val="003055C2"/>
    <w:rsid w:val="00306BAC"/>
    <w:rsid w:val="00311060"/>
    <w:rsid w:val="003131D3"/>
    <w:rsid w:val="003136E3"/>
    <w:rsid w:val="003146ED"/>
    <w:rsid w:val="00321613"/>
    <w:rsid w:val="00321E39"/>
    <w:rsid w:val="00322835"/>
    <w:rsid w:val="00323149"/>
    <w:rsid w:val="003247AA"/>
    <w:rsid w:val="003263C4"/>
    <w:rsid w:val="0032651A"/>
    <w:rsid w:val="00326A01"/>
    <w:rsid w:val="003277B6"/>
    <w:rsid w:val="00330517"/>
    <w:rsid w:val="00334074"/>
    <w:rsid w:val="00336605"/>
    <w:rsid w:val="00336E5F"/>
    <w:rsid w:val="00340470"/>
    <w:rsid w:val="0034150B"/>
    <w:rsid w:val="00341B61"/>
    <w:rsid w:val="003420E2"/>
    <w:rsid w:val="00342BBE"/>
    <w:rsid w:val="0034306D"/>
    <w:rsid w:val="00343381"/>
    <w:rsid w:val="00343D80"/>
    <w:rsid w:val="00343E67"/>
    <w:rsid w:val="003442B6"/>
    <w:rsid w:val="003448BF"/>
    <w:rsid w:val="003467D8"/>
    <w:rsid w:val="0034701D"/>
    <w:rsid w:val="003507A7"/>
    <w:rsid w:val="003536AF"/>
    <w:rsid w:val="0035453C"/>
    <w:rsid w:val="003571E9"/>
    <w:rsid w:val="00361209"/>
    <w:rsid w:val="0036152E"/>
    <w:rsid w:val="0036258C"/>
    <w:rsid w:val="003626E6"/>
    <w:rsid w:val="003643AB"/>
    <w:rsid w:val="003658C6"/>
    <w:rsid w:val="003663FA"/>
    <w:rsid w:val="00370900"/>
    <w:rsid w:val="00375D1C"/>
    <w:rsid w:val="00376873"/>
    <w:rsid w:val="003776C3"/>
    <w:rsid w:val="00377E70"/>
    <w:rsid w:val="0038454F"/>
    <w:rsid w:val="00384715"/>
    <w:rsid w:val="00384F0C"/>
    <w:rsid w:val="00395AA8"/>
    <w:rsid w:val="003A05F9"/>
    <w:rsid w:val="003A08C5"/>
    <w:rsid w:val="003A0AA2"/>
    <w:rsid w:val="003A7516"/>
    <w:rsid w:val="003B265D"/>
    <w:rsid w:val="003B5261"/>
    <w:rsid w:val="003B7F24"/>
    <w:rsid w:val="003C08C7"/>
    <w:rsid w:val="003C15CE"/>
    <w:rsid w:val="003C225A"/>
    <w:rsid w:val="003C5562"/>
    <w:rsid w:val="003D1E00"/>
    <w:rsid w:val="003D25E8"/>
    <w:rsid w:val="003D666B"/>
    <w:rsid w:val="003D76E1"/>
    <w:rsid w:val="003E0208"/>
    <w:rsid w:val="003E034D"/>
    <w:rsid w:val="003E1201"/>
    <w:rsid w:val="003E1854"/>
    <w:rsid w:val="003E4F67"/>
    <w:rsid w:val="003E5891"/>
    <w:rsid w:val="003F0BE6"/>
    <w:rsid w:val="003F1BB4"/>
    <w:rsid w:val="003F2267"/>
    <w:rsid w:val="003F6E25"/>
    <w:rsid w:val="00400E57"/>
    <w:rsid w:val="00401FB2"/>
    <w:rsid w:val="00402F18"/>
    <w:rsid w:val="00403AA6"/>
    <w:rsid w:val="00406407"/>
    <w:rsid w:val="004129D6"/>
    <w:rsid w:val="00415F9E"/>
    <w:rsid w:val="0041611E"/>
    <w:rsid w:val="00421D86"/>
    <w:rsid w:val="00423CB0"/>
    <w:rsid w:val="00423F41"/>
    <w:rsid w:val="00426B74"/>
    <w:rsid w:val="00426D2B"/>
    <w:rsid w:val="004337FE"/>
    <w:rsid w:val="004360CF"/>
    <w:rsid w:val="004372D1"/>
    <w:rsid w:val="00437465"/>
    <w:rsid w:val="00443001"/>
    <w:rsid w:val="00443754"/>
    <w:rsid w:val="0044544A"/>
    <w:rsid w:val="00445AEC"/>
    <w:rsid w:val="00445CAE"/>
    <w:rsid w:val="00446F58"/>
    <w:rsid w:val="00447D23"/>
    <w:rsid w:val="0045046B"/>
    <w:rsid w:val="00450792"/>
    <w:rsid w:val="00451A76"/>
    <w:rsid w:val="00452DF1"/>
    <w:rsid w:val="00461FA1"/>
    <w:rsid w:val="0046384C"/>
    <w:rsid w:val="00465230"/>
    <w:rsid w:val="00466067"/>
    <w:rsid w:val="00467035"/>
    <w:rsid w:val="00470F42"/>
    <w:rsid w:val="00472525"/>
    <w:rsid w:val="00476625"/>
    <w:rsid w:val="00477963"/>
    <w:rsid w:val="00480C11"/>
    <w:rsid w:val="00485149"/>
    <w:rsid w:val="00486185"/>
    <w:rsid w:val="00486CB7"/>
    <w:rsid w:val="00487AAB"/>
    <w:rsid w:val="00492DC2"/>
    <w:rsid w:val="0049682B"/>
    <w:rsid w:val="00496FD6"/>
    <w:rsid w:val="004A0AD9"/>
    <w:rsid w:val="004A3FC5"/>
    <w:rsid w:val="004B1263"/>
    <w:rsid w:val="004B4E74"/>
    <w:rsid w:val="004B7D3C"/>
    <w:rsid w:val="004C4580"/>
    <w:rsid w:val="004C79B5"/>
    <w:rsid w:val="004D2753"/>
    <w:rsid w:val="004D39B5"/>
    <w:rsid w:val="004D3D05"/>
    <w:rsid w:val="004D4106"/>
    <w:rsid w:val="004D4C35"/>
    <w:rsid w:val="004D5D87"/>
    <w:rsid w:val="004D7A5D"/>
    <w:rsid w:val="004E587D"/>
    <w:rsid w:val="004E5EF8"/>
    <w:rsid w:val="004E6425"/>
    <w:rsid w:val="004E65D6"/>
    <w:rsid w:val="004F2CC9"/>
    <w:rsid w:val="004F3773"/>
    <w:rsid w:val="004F447A"/>
    <w:rsid w:val="004F57B8"/>
    <w:rsid w:val="004F68AC"/>
    <w:rsid w:val="004F7885"/>
    <w:rsid w:val="00502BE1"/>
    <w:rsid w:val="00504275"/>
    <w:rsid w:val="00505662"/>
    <w:rsid w:val="00505F46"/>
    <w:rsid w:val="005119D1"/>
    <w:rsid w:val="0051288C"/>
    <w:rsid w:val="00512B24"/>
    <w:rsid w:val="00514DB5"/>
    <w:rsid w:val="00520792"/>
    <w:rsid w:val="005212A1"/>
    <w:rsid w:val="00522DA1"/>
    <w:rsid w:val="00524617"/>
    <w:rsid w:val="00526D97"/>
    <w:rsid w:val="00532133"/>
    <w:rsid w:val="00534E1E"/>
    <w:rsid w:val="00536D44"/>
    <w:rsid w:val="00536ED0"/>
    <w:rsid w:val="00537479"/>
    <w:rsid w:val="005442F2"/>
    <w:rsid w:val="00544E79"/>
    <w:rsid w:val="0054592E"/>
    <w:rsid w:val="00547042"/>
    <w:rsid w:val="005510F2"/>
    <w:rsid w:val="00551B09"/>
    <w:rsid w:val="005524E6"/>
    <w:rsid w:val="00552568"/>
    <w:rsid w:val="00553EF9"/>
    <w:rsid w:val="005540A0"/>
    <w:rsid w:val="00555192"/>
    <w:rsid w:val="005561A0"/>
    <w:rsid w:val="00557A6C"/>
    <w:rsid w:val="00560063"/>
    <w:rsid w:val="00560A81"/>
    <w:rsid w:val="00561E4A"/>
    <w:rsid w:val="005621F1"/>
    <w:rsid w:val="005628F9"/>
    <w:rsid w:val="00564927"/>
    <w:rsid w:val="00567166"/>
    <w:rsid w:val="00574F38"/>
    <w:rsid w:val="00576211"/>
    <w:rsid w:val="00576252"/>
    <w:rsid w:val="00577D64"/>
    <w:rsid w:val="00577E75"/>
    <w:rsid w:val="00581A56"/>
    <w:rsid w:val="005847CF"/>
    <w:rsid w:val="00585437"/>
    <w:rsid w:val="00586B75"/>
    <w:rsid w:val="005873EC"/>
    <w:rsid w:val="0059075A"/>
    <w:rsid w:val="00591332"/>
    <w:rsid w:val="0059390E"/>
    <w:rsid w:val="00595322"/>
    <w:rsid w:val="00595713"/>
    <w:rsid w:val="00595A9F"/>
    <w:rsid w:val="0059617D"/>
    <w:rsid w:val="005A0001"/>
    <w:rsid w:val="005A04E9"/>
    <w:rsid w:val="005A5D99"/>
    <w:rsid w:val="005A669A"/>
    <w:rsid w:val="005A7B31"/>
    <w:rsid w:val="005B2F2C"/>
    <w:rsid w:val="005B4E1A"/>
    <w:rsid w:val="005B6E1E"/>
    <w:rsid w:val="005C141C"/>
    <w:rsid w:val="005C1913"/>
    <w:rsid w:val="005C4D07"/>
    <w:rsid w:val="005C6559"/>
    <w:rsid w:val="005C7E52"/>
    <w:rsid w:val="005D04A6"/>
    <w:rsid w:val="005D31F6"/>
    <w:rsid w:val="005D436E"/>
    <w:rsid w:val="005D44AF"/>
    <w:rsid w:val="005D45ED"/>
    <w:rsid w:val="005D7474"/>
    <w:rsid w:val="005E2716"/>
    <w:rsid w:val="005E49A2"/>
    <w:rsid w:val="005E5F4C"/>
    <w:rsid w:val="005E7E71"/>
    <w:rsid w:val="005F392C"/>
    <w:rsid w:val="005F6E1C"/>
    <w:rsid w:val="005F76CD"/>
    <w:rsid w:val="0060036A"/>
    <w:rsid w:val="0060262E"/>
    <w:rsid w:val="00603AF4"/>
    <w:rsid w:val="006040CA"/>
    <w:rsid w:val="00604B2A"/>
    <w:rsid w:val="00605F1F"/>
    <w:rsid w:val="0061264B"/>
    <w:rsid w:val="006142CC"/>
    <w:rsid w:val="00614DF5"/>
    <w:rsid w:val="006168C9"/>
    <w:rsid w:val="006213B7"/>
    <w:rsid w:val="00621B10"/>
    <w:rsid w:val="0062240E"/>
    <w:rsid w:val="00623575"/>
    <w:rsid w:val="006277F9"/>
    <w:rsid w:val="00627D41"/>
    <w:rsid w:val="006314B8"/>
    <w:rsid w:val="006314E4"/>
    <w:rsid w:val="00632616"/>
    <w:rsid w:val="0063292A"/>
    <w:rsid w:val="006341F4"/>
    <w:rsid w:val="00636105"/>
    <w:rsid w:val="00637733"/>
    <w:rsid w:val="006402D8"/>
    <w:rsid w:val="006426D7"/>
    <w:rsid w:val="00642B1E"/>
    <w:rsid w:val="006449F9"/>
    <w:rsid w:val="0065149A"/>
    <w:rsid w:val="006518E0"/>
    <w:rsid w:val="0065216E"/>
    <w:rsid w:val="00656623"/>
    <w:rsid w:val="006640C9"/>
    <w:rsid w:val="0066438F"/>
    <w:rsid w:val="00667C39"/>
    <w:rsid w:val="006722AA"/>
    <w:rsid w:val="00672973"/>
    <w:rsid w:val="006741BD"/>
    <w:rsid w:val="006752FE"/>
    <w:rsid w:val="00676104"/>
    <w:rsid w:val="00677B10"/>
    <w:rsid w:val="00680D13"/>
    <w:rsid w:val="0068122B"/>
    <w:rsid w:val="0068272B"/>
    <w:rsid w:val="00684F32"/>
    <w:rsid w:val="0068558A"/>
    <w:rsid w:val="006856EB"/>
    <w:rsid w:val="00685BAC"/>
    <w:rsid w:val="00687053"/>
    <w:rsid w:val="00690E11"/>
    <w:rsid w:val="006942BA"/>
    <w:rsid w:val="00697451"/>
    <w:rsid w:val="006A1A45"/>
    <w:rsid w:val="006A508E"/>
    <w:rsid w:val="006A5F53"/>
    <w:rsid w:val="006B0E27"/>
    <w:rsid w:val="006B2F43"/>
    <w:rsid w:val="006B31EF"/>
    <w:rsid w:val="006B3D77"/>
    <w:rsid w:val="006B4ACB"/>
    <w:rsid w:val="006B5222"/>
    <w:rsid w:val="006B58C8"/>
    <w:rsid w:val="006B7354"/>
    <w:rsid w:val="006C1838"/>
    <w:rsid w:val="006C2FBB"/>
    <w:rsid w:val="006D5717"/>
    <w:rsid w:val="006D654B"/>
    <w:rsid w:val="006D7CCE"/>
    <w:rsid w:val="006E0A33"/>
    <w:rsid w:val="006E1303"/>
    <w:rsid w:val="006E1EAE"/>
    <w:rsid w:val="006E2970"/>
    <w:rsid w:val="006E31C5"/>
    <w:rsid w:val="006E3237"/>
    <w:rsid w:val="006E3984"/>
    <w:rsid w:val="006F0041"/>
    <w:rsid w:val="006F01B2"/>
    <w:rsid w:val="006F29FD"/>
    <w:rsid w:val="006F3505"/>
    <w:rsid w:val="006F3F71"/>
    <w:rsid w:val="006F6CE1"/>
    <w:rsid w:val="00700F22"/>
    <w:rsid w:val="0070161E"/>
    <w:rsid w:val="0070255E"/>
    <w:rsid w:val="007076B2"/>
    <w:rsid w:val="00725D43"/>
    <w:rsid w:val="007262FE"/>
    <w:rsid w:val="00730D69"/>
    <w:rsid w:val="007322EA"/>
    <w:rsid w:val="0073335C"/>
    <w:rsid w:val="00734615"/>
    <w:rsid w:val="00734AC8"/>
    <w:rsid w:val="007369F9"/>
    <w:rsid w:val="007423E8"/>
    <w:rsid w:val="00745791"/>
    <w:rsid w:val="00746E8C"/>
    <w:rsid w:val="00746ED5"/>
    <w:rsid w:val="00750A3D"/>
    <w:rsid w:val="00753317"/>
    <w:rsid w:val="007543BB"/>
    <w:rsid w:val="00756CF0"/>
    <w:rsid w:val="0075758B"/>
    <w:rsid w:val="00760A49"/>
    <w:rsid w:val="00761177"/>
    <w:rsid w:val="00771157"/>
    <w:rsid w:val="00772AB5"/>
    <w:rsid w:val="00773148"/>
    <w:rsid w:val="00774348"/>
    <w:rsid w:val="00777731"/>
    <w:rsid w:val="0078164F"/>
    <w:rsid w:val="00781FF3"/>
    <w:rsid w:val="00783426"/>
    <w:rsid w:val="00784A65"/>
    <w:rsid w:val="00784E40"/>
    <w:rsid w:val="00786A11"/>
    <w:rsid w:val="007874D1"/>
    <w:rsid w:val="0079017F"/>
    <w:rsid w:val="007914D2"/>
    <w:rsid w:val="00792810"/>
    <w:rsid w:val="007962E5"/>
    <w:rsid w:val="007976E3"/>
    <w:rsid w:val="007A1791"/>
    <w:rsid w:val="007A1D04"/>
    <w:rsid w:val="007A29BB"/>
    <w:rsid w:val="007A37B5"/>
    <w:rsid w:val="007A4B0D"/>
    <w:rsid w:val="007A76AA"/>
    <w:rsid w:val="007B0737"/>
    <w:rsid w:val="007B0AAE"/>
    <w:rsid w:val="007B0DEA"/>
    <w:rsid w:val="007B1C66"/>
    <w:rsid w:val="007B5A24"/>
    <w:rsid w:val="007B644C"/>
    <w:rsid w:val="007B77CB"/>
    <w:rsid w:val="007C05C0"/>
    <w:rsid w:val="007C27D4"/>
    <w:rsid w:val="007C3A66"/>
    <w:rsid w:val="007C4AEF"/>
    <w:rsid w:val="007C66D5"/>
    <w:rsid w:val="007D215F"/>
    <w:rsid w:val="007D3A07"/>
    <w:rsid w:val="007D45A8"/>
    <w:rsid w:val="007D52EA"/>
    <w:rsid w:val="007D78F2"/>
    <w:rsid w:val="007E0A50"/>
    <w:rsid w:val="007E1433"/>
    <w:rsid w:val="007E3E4D"/>
    <w:rsid w:val="007E6AB9"/>
    <w:rsid w:val="007E6AF3"/>
    <w:rsid w:val="007F04C0"/>
    <w:rsid w:val="007F0AB9"/>
    <w:rsid w:val="007F2F09"/>
    <w:rsid w:val="007F3065"/>
    <w:rsid w:val="007F5403"/>
    <w:rsid w:val="007F5B8E"/>
    <w:rsid w:val="007F5C44"/>
    <w:rsid w:val="007F759A"/>
    <w:rsid w:val="00800FE6"/>
    <w:rsid w:val="00802FD2"/>
    <w:rsid w:val="00804A20"/>
    <w:rsid w:val="0080771E"/>
    <w:rsid w:val="008107C5"/>
    <w:rsid w:val="008129DB"/>
    <w:rsid w:val="008143FD"/>
    <w:rsid w:val="008171D3"/>
    <w:rsid w:val="00817560"/>
    <w:rsid w:val="00820674"/>
    <w:rsid w:val="00823FF0"/>
    <w:rsid w:val="00824AF2"/>
    <w:rsid w:val="008254DA"/>
    <w:rsid w:val="00825B69"/>
    <w:rsid w:val="00826B34"/>
    <w:rsid w:val="00833531"/>
    <w:rsid w:val="00835381"/>
    <w:rsid w:val="00835A68"/>
    <w:rsid w:val="008400F3"/>
    <w:rsid w:val="008403C8"/>
    <w:rsid w:val="00840678"/>
    <w:rsid w:val="00842183"/>
    <w:rsid w:val="00842573"/>
    <w:rsid w:val="00842FC8"/>
    <w:rsid w:val="00843266"/>
    <w:rsid w:val="008473D1"/>
    <w:rsid w:val="00847CF8"/>
    <w:rsid w:val="00850624"/>
    <w:rsid w:val="00851F74"/>
    <w:rsid w:val="0085230B"/>
    <w:rsid w:val="0085519F"/>
    <w:rsid w:val="00860A47"/>
    <w:rsid w:val="00860DCD"/>
    <w:rsid w:val="00861DFA"/>
    <w:rsid w:val="00866DAC"/>
    <w:rsid w:val="00873545"/>
    <w:rsid w:val="00873633"/>
    <w:rsid w:val="008737E4"/>
    <w:rsid w:val="00874030"/>
    <w:rsid w:val="008741AB"/>
    <w:rsid w:val="00876BEB"/>
    <w:rsid w:val="008835DE"/>
    <w:rsid w:val="00887CFF"/>
    <w:rsid w:val="00890B79"/>
    <w:rsid w:val="00891108"/>
    <w:rsid w:val="00891539"/>
    <w:rsid w:val="00894322"/>
    <w:rsid w:val="00895D62"/>
    <w:rsid w:val="00896E04"/>
    <w:rsid w:val="00896E3F"/>
    <w:rsid w:val="00897688"/>
    <w:rsid w:val="00897833"/>
    <w:rsid w:val="00897C26"/>
    <w:rsid w:val="008A18ED"/>
    <w:rsid w:val="008A2DF4"/>
    <w:rsid w:val="008A2E54"/>
    <w:rsid w:val="008A3FA8"/>
    <w:rsid w:val="008A561C"/>
    <w:rsid w:val="008A5F95"/>
    <w:rsid w:val="008B0E1D"/>
    <w:rsid w:val="008B503D"/>
    <w:rsid w:val="008B641C"/>
    <w:rsid w:val="008B723B"/>
    <w:rsid w:val="008C45C5"/>
    <w:rsid w:val="008C6296"/>
    <w:rsid w:val="008C7B2C"/>
    <w:rsid w:val="008D1520"/>
    <w:rsid w:val="008D228B"/>
    <w:rsid w:val="008D4E45"/>
    <w:rsid w:val="008D5933"/>
    <w:rsid w:val="008D6907"/>
    <w:rsid w:val="008E17E4"/>
    <w:rsid w:val="008E2BF3"/>
    <w:rsid w:val="008E4697"/>
    <w:rsid w:val="008E5D83"/>
    <w:rsid w:val="008E7E98"/>
    <w:rsid w:val="008F13B2"/>
    <w:rsid w:val="008F4049"/>
    <w:rsid w:val="008F7D5D"/>
    <w:rsid w:val="00900024"/>
    <w:rsid w:val="00902221"/>
    <w:rsid w:val="00902677"/>
    <w:rsid w:val="00902CE6"/>
    <w:rsid w:val="0090592F"/>
    <w:rsid w:val="00906CB4"/>
    <w:rsid w:val="00907555"/>
    <w:rsid w:val="00910D59"/>
    <w:rsid w:val="00911B79"/>
    <w:rsid w:val="00913843"/>
    <w:rsid w:val="00917671"/>
    <w:rsid w:val="00920BBD"/>
    <w:rsid w:val="00923348"/>
    <w:rsid w:val="00923FFA"/>
    <w:rsid w:val="0092563A"/>
    <w:rsid w:val="00926A4B"/>
    <w:rsid w:val="0093041B"/>
    <w:rsid w:val="00932DF9"/>
    <w:rsid w:val="0093370E"/>
    <w:rsid w:val="00933BF0"/>
    <w:rsid w:val="00935789"/>
    <w:rsid w:val="009366FF"/>
    <w:rsid w:val="00936854"/>
    <w:rsid w:val="009406E4"/>
    <w:rsid w:val="009424D2"/>
    <w:rsid w:val="00943F72"/>
    <w:rsid w:val="009448A4"/>
    <w:rsid w:val="00946F7C"/>
    <w:rsid w:val="009508B4"/>
    <w:rsid w:val="009508EB"/>
    <w:rsid w:val="00952667"/>
    <w:rsid w:val="00953C2A"/>
    <w:rsid w:val="009543E1"/>
    <w:rsid w:val="00960474"/>
    <w:rsid w:val="00960CFA"/>
    <w:rsid w:val="00961A69"/>
    <w:rsid w:val="00962588"/>
    <w:rsid w:val="00964AC7"/>
    <w:rsid w:val="00965204"/>
    <w:rsid w:val="00966FC8"/>
    <w:rsid w:val="00967C57"/>
    <w:rsid w:val="00974497"/>
    <w:rsid w:val="009763D1"/>
    <w:rsid w:val="0098170A"/>
    <w:rsid w:val="00983D2A"/>
    <w:rsid w:val="00983DB3"/>
    <w:rsid w:val="00984BF3"/>
    <w:rsid w:val="00990560"/>
    <w:rsid w:val="00991340"/>
    <w:rsid w:val="009914BA"/>
    <w:rsid w:val="0099408D"/>
    <w:rsid w:val="009945D4"/>
    <w:rsid w:val="00994977"/>
    <w:rsid w:val="00997074"/>
    <w:rsid w:val="009A17BC"/>
    <w:rsid w:val="009A1D3F"/>
    <w:rsid w:val="009A41F5"/>
    <w:rsid w:val="009A53D6"/>
    <w:rsid w:val="009A55B5"/>
    <w:rsid w:val="009A602E"/>
    <w:rsid w:val="009A7EFB"/>
    <w:rsid w:val="009B23A7"/>
    <w:rsid w:val="009B3F0D"/>
    <w:rsid w:val="009B474E"/>
    <w:rsid w:val="009B7D46"/>
    <w:rsid w:val="009C0586"/>
    <w:rsid w:val="009C0E9B"/>
    <w:rsid w:val="009C1096"/>
    <w:rsid w:val="009C25B6"/>
    <w:rsid w:val="009C2E78"/>
    <w:rsid w:val="009C6F18"/>
    <w:rsid w:val="009D1083"/>
    <w:rsid w:val="009D31EF"/>
    <w:rsid w:val="009D35B4"/>
    <w:rsid w:val="009D4F2F"/>
    <w:rsid w:val="009D6511"/>
    <w:rsid w:val="009D7106"/>
    <w:rsid w:val="009E08C3"/>
    <w:rsid w:val="009E0E39"/>
    <w:rsid w:val="009E2F23"/>
    <w:rsid w:val="009E3739"/>
    <w:rsid w:val="009E4420"/>
    <w:rsid w:val="009E523C"/>
    <w:rsid w:val="009E7C01"/>
    <w:rsid w:val="009F10D8"/>
    <w:rsid w:val="009F1468"/>
    <w:rsid w:val="009F224B"/>
    <w:rsid w:val="009F2862"/>
    <w:rsid w:val="009F3552"/>
    <w:rsid w:val="009F48E0"/>
    <w:rsid w:val="009F7E3F"/>
    <w:rsid w:val="00A00BD0"/>
    <w:rsid w:val="00A00E7D"/>
    <w:rsid w:val="00A012BD"/>
    <w:rsid w:val="00A0143C"/>
    <w:rsid w:val="00A04C0F"/>
    <w:rsid w:val="00A0546E"/>
    <w:rsid w:val="00A073ED"/>
    <w:rsid w:val="00A10F21"/>
    <w:rsid w:val="00A11D27"/>
    <w:rsid w:val="00A13755"/>
    <w:rsid w:val="00A15519"/>
    <w:rsid w:val="00A20C46"/>
    <w:rsid w:val="00A20DC8"/>
    <w:rsid w:val="00A23692"/>
    <w:rsid w:val="00A23736"/>
    <w:rsid w:val="00A24471"/>
    <w:rsid w:val="00A27EC2"/>
    <w:rsid w:val="00A314D0"/>
    <w:rsid w:val="00A42464"/>
    <w:rsid w:val="00A46ED8"/>
    <w:rsid w:val="00A501B0"/>
    <w:rsid w:val="00A54D5A"/>
    <w:rsid w:val="00A55CF9"/>
    <w:rsid w:val="00A6248E"/>
    <w:rsid w:val="00A62811"/>
    <w:rsid w:val="00A62F73"/>
    <w:rsid w:val="00A64323"/>
    <w:rsid w:val="00A6468F"/>
    <w:rsid w:val="00A65D69"/>
    <w:rsid w:val="00A66897"/>
    <w:rsid w:val="00A70366"/>
    <w:rsid w:val="00A71AAD"/>
    <w:rsid w:val="00A74936"/>
    <w:rsid w:val="00A802D6"/>
    <w:rsid w:val="00A80307"/>
    <w:rsid w:val="00A82499"/>
    <w:rsid w:val="00A830F2"/>
    <w:rsid w:val="00A83B5B"/>
    <w:rsid w:val="00A847BC"/>
    <w:rsid w:val="00A84DB6"/>
    <w:rsid w:val="00A9057E"/>
    <w:rsid w:val="00A94B80"/>
    <w:rsid w:val="00A965D3"/>
    <w:rsid w:val="00AA0AB4"/>
    <w:rsid w:val="00AA17B1"/>
    <w:rsid w:val="00AA2AFD"/>
    <w:rsid w:val="00AA402B"/>
    <w:rsid w:val="00AA4CC9"/>
    <w:rsid w:val="00AA7689"/>
    <w:rsid w:val="00AB1E97"/>
    <w:rsid w:val="00AB4BA3"/>
    <w:rsid w:val="00AC3E5F"/>
    <w:rsid w:val="00AC407E"/>
    <w:rsid w:val="00AC43F5"/>
    <w:rsid w:val="00AC6D23"/>
    <w:rsid w:val="00AD0BC2"/>
    <w:rsid w:val="00AD2512"/>
    <w:rsid w:val="00AD48C4"/>
    <w:rsid w:val="00AD618D"/>
    <w:rsid w:val="00AD6F29"/>
    <w:rsid w:val="00AD7065"/>
    <w:rsid w:val="00AE0C9A"/>
    <w:rsid w:val="00AE26BC"/>
    <w:rsid w:val="00AE4678"/>
    <w:rsid w:val="00AE483B"/>
    <w:rsid w:val="00AE715A"/>
    <w:rsid w:val="00AF04D6"/>
    <w:rsid w:val="00AF23D4"/>
    <w:rsid w:val="00AF27E4"/>
    <w:rsid w:val="00AF4139"/>
    <w:rsid w:val="00AF61A9"/>
    <w:rsid w:val="00B0128F"/>
    <w:rsid w:val="00B0217E"/>
    <w:rsid w:val="00B13879"/>
    <w:rsid w:val="00B1505A"/>
    <w:rsid w:val="00B16C7F"/>
    <w:rsid w:val="00B17D6E"/>
    <w:rsid w:val="00B20435"/>
    <w:rsid w:val="00B21F57"/>
    <w:rsid w:val="00B220E5"/>
    <w:rsid w:val="00B243B4"/>
    <w:rsid w:val="00B24F65"/>
    <w:rsid w:val="00B25B45"/>
    <w:rsid w:val="00B3017F"/>
    <w:rsid w:val="00B30C97"/>
    <w:rsid w:val="00B3171B"/>
    <w:rsid w:val="00B31E57"/>
    <w:rsid w:val="00B33417"/>
    <w:rsid w:val="00B347C0"/>
    <w:rsid w:val="00B34D0E"/>
    <w:rsid w:val="00B37582"/>
    <w:rsid w:val="00B41C35"/>
    <w:rsid w:val="00B41F4B"/>
    <w:rsid w:val="00B44F75"/>
    <w:rsid w:val="00B471EE"/>
    <w:rsid w:val="00B477E8"/>
    <w:rsid w:val="00B47DA5"/>
    <w:rsid w:val="00B50A51"/>
    <w:rsid w:val="00B52A04"/>
    <w:rsid w:val="00B557CA"/>
    <w:rsid w:val="00B56DFD"/>
    <w:rsid w:val="00B60DBD"/>
    <w:rsid w:val="00B617E2"/>
    <w:rsid w:val="00B629B6"/>
    <w:rsid w:val="00B62DB3"/>
    <w:rsid w:val="00B65375"/>
    <w:rsid w:val="00B65DCB"/>
    <w:rsid w:val="00B662C9"/>
    <w:rsid w:val="00B66D25"/>
    <w:rsid w:val="00B67E8F"/>
    <w:rsid w:val="00B70880"/>
    <w:rsid w:val="00B80480"/>
    <w:rsid w:val="00B80893"/>
    <w:rsid w:val="00B80DF7"/>
    <w:rsid w:val="00B836F5"/>
    <w:rsid w:val="00B84E34"/>
    <w:rsid w:val="00B906F8"/>
    <w:rsid w:val="00B94642"/>
    <w:rsid w:val="00B95254"/>
    <w:rsid w:val="00BA0DE5"/>
    <w:rsid w:val="00BA27F7"/>
    <w:rsid w:val="00BA3BF8"/>
    <w:rsid w:val="00BA4715"/>
    <w:rsid w:val="00BA6BEE"/>
    <w:rsid w:val="00BA6D4E"/>
    <w:rsid w:val="00BA7D76"/>
    <w:rsid w:val="00BB3ACB"/>
    <w:rsid w:val="00BB3FA4"/>
    <w:rsid w:val="00BB44FE"/>
    <w:rsid w:val="00BB4EEC"/>
    <w:rsid w:val="00BB563D"/>
    <w:rsid w:val="00BB6056"/>
    <w:rsid w:val="00BB6077"/>
    <w:rsid w:val="00BB71AD"/>
    <w:rsid w:val="00BC072D"/>
    <w:rsid w:val="00BC3D7B"/>
    <w:rsid w:val="00BC4277"/>
    <w:rsid w:val="00BC5057"/>
    <w:rsid w:val="00BC5723"/>
    <w:rsid w:val="00BC6AC3"/>
    <w:rsid w:val="00BD0ADE"/>
    <w:rsid w:val="00BD26D8"/>
    <w:rsid w:val="00BD31BE"/>
    <w:rsid w:val="00BD56C9"/>
    <w:rsid w:val="00BD7E5C"/>
    <w:rsid w:val="00BE11B3"/>
    <w:rsid w:val="00BE2965"/>
    <w:rsid w:val="00BE42E8"/>
    <w:rsid w:val="00BE4FAB"/>
    <w:rsid w:val="00BE58FD"/>
    <w:rsid w:val="00BF046C"/>
    <w:rsid w:val="00BF07DE"/>
    <w:rsid w:val="00BF130F"/>
    <w:rsid w:val="00BF4DAB"/>
    <w:rsid w:val="00BF4DE3"/>
    <w:rsid w:val="00BF6E68"/>
    <w:rsid w:val="00C02BFC"/>
    <w:rsid w:val="00C05908"/>
    <w:rsid w:val="00C05DD5"/>
    <w:rsid w:val="00C064E4"/>
    <w:rsid w:val="00C06689"/>
    <w:rsid w:val="00C11DF5"/>
    <w:rsid w:val="00C12840"/>
    <w:rsid w:val="00C12A44"/>
    <w:rsid w:val="00C12B13"/>
    <w:rsid w:val="00C166C9"/>
    <w:rsid w:val="00C22B57"/>
    <w:rsid w:val="00C230EF"/>
    <w:rsid w:val="00C23B63"/>
    <w:rsid w:val="00C252B3"/>
    <w:rsid w:val="00C276B6"/>
    <w:rsid w:val="00C30A7D"/>
    <w:rsid w:val="00C3328B"/>
    <w:rsid w:val="00C34F7B"/>
    <w:rsid w:val="00C36A42"/>
    <w:rsid w:val="00C40BBA"/>
    <w:rsid w:val="00C43854"/>
    <w:rsid w:val="00C4565C"/>
    <w:rsid w:val="00C5364C"/>
    <w:rsid w:val="00C62A40"/>
    <w:rsid w:val="00C63E13"/>
    <w:rsid w:val="00C74F2E"/>
    <w:rsid w:val="00C800CA"/>
    <w:rsid w:val="00C8024E"/>
    <w:rsid w:val="00C82A0E"/>
    <w:rsid w:val="00C85045"/>
    <w:rsid w:val="00C9056C"/>
    <w:rsid w:val="00C9389B"/>
    <w:rsid w:val="00C94F5C"/>
    <w:rsid w:val="00C95266"/>
    <w:rsid w:val="00C95A7D"/>
    <w:rsid w:val="00CA41AB"/>
    <w:rsid w:val="00CA48FC"/>
    <w:rsid w:val="00CA4E4B"/>
    <w:rsid w:val="00CA5A66"/>
    <w:rsid w:val="00CB0D80"/>
    <w:rsid w:val="00CB2E90"/>
    <w:rsid w:val="00CB71F9"/>
    <w:rsid w:val="00CB76AE"/>
    <w:rsid w:val="00CB78CA"/>
    <w:rsid w:val="00CC41BC"/>
    <w:rsid w:val="00CD283C"/>
    <w:rsid w:val="00CD3289"/>
    <w:rsid w:val="00CD4D83"/>
    <w:rsid w:val="00CD68DB"/>
    <w:rsid w:val="00CD7019"/>
    <w:rsid w:val="00CE1A24"/>
    <w:rsid w:val="00CE3AE3"/>
    <w:rsid w:val="00CE684B"/>
    <w:rsid w:val="00CE69E8"/>
    <w:rsid w:val="00CF13D5"/>
    <w:rsid w:val="00CF3C59"/>
    <w:rsid w:val="00CF4E8A"/>
    <w:rsid w:val="00CF5D80"/>
    <w:rsid w:val="00CF770D"/>
    <w:rsid w:val="00D022ED"/>
    <w:rsid w:val="00D03D1F"/>
    <w:rsid w:val="00D04F7C"/>
    <w:rsid w:val="00D066AE"/>
    <w:rsid w:val="00D06BB4"/>
    <w:rsid w:val="00D128DF"/>
    <w:rsid w:val="00D13382"/>
    <w:rsid w:val="00D23815"/>
    <w:rsid w:val="00D239B8"/>
    <w:rsid w:val="00D24634"/>
    <w:rsid w:val="00D249F5"/>
    <w:rsid w:val="00D30B99"/>
    <w:rsid w:val="00D3131B"/>
    <w:rsid w:val="00D32C6F"/>
    <w:rsid w:val="00D40CB7"/>
    <w:rsid w:val="00D42A45"/>
    <w:rsid w:val="00D45E58"/>
    <w:rsid w:val="00D5259B"/>
    <w:rsid w:val="00D55BBC"/>
    <w:rsid w:val="00D61442"/>
    <w:rsid w:val="00D63911"/>
    <w:rsid w:val="00D63B99"/>
    <w:rsid w:val="00D63ECE"/>
    <w:rsid w:val="00D65312"/>
    <w:rsid w:val="00D66207"/>
    <w:rsid w:val="00D71153"/>
    <w:rsid w:val="00D71617"/>
    <w:rsid w:val="00D71BB1"/>
    <w:rsid w:val="00D72AAA"/>
    <w:rsid w:val="00D7346C"/>
    <w:rsid w:val="00D73B55"/>
    <w:rsid w:val="00D740EA"/>
    <w:rsid w:val="00D74CBD"/>
    <w:rsid w:val="00D7528F"/>
    <w:rsid w:val="00D76131"/>
    <w:rsid w:val="00D76929"/>
    <w:rsid w:val="00D806AB"/>
    <w:rsid w:val="00D80AD2"/>
    <w:rsid w:val="00D819C7"/>
    <w:rsid w:val="00D876BD"/>
    <w:rsid w:val="00D879C0"/>
    <w:rsid w:val="00D92C76"/>
    <w:rsid w:val="00D93BB2"/>
    <w:rsid w:val="00D94CE5"/>
    <w:rsid w:val="00D97909"/>
    <w:rsid w:val="00DA2F34"/>
    <w:rsid w:val="00DA525A"/>
    <w:rsid w:val="00DA5867"/>
    <w:rsid w:val="00DB4841"/>
    <w:rsid w:val="00DB61DB"/>
    <w:rsid w:val="00DC11F2"/>
    <w:rsid w:val="00DC4664"/>
    <w:rsid w:val="00DC5BC9"/>
    <w:rsid w:val="00DD2598"/>
    <w:rsid w:val="00DD2832"/>
    <w:rsid w:val="00DD3839"/>
    <w:rsid w:val="00DD4F75"/>
    <w:rsid w:val="00DD7062"/>
    <w:rsid w:val="00DD7E92"/>
    <w:rsid w:val="00DE0388"/>
    <w:rsid w:val="00DE067E"/>
    <w:rsid w:val="00DE0BFB"/>
    <w:rsid w:val="00DE3602"/>
    <w:rsid w:val="00DF4485"/>
    <w:rsid w:val="00DF4E4A"/>
    <w:rsid w:val="00DF5965"/>
    <w:rsid w:val="00DF5EB0"/>
    <w:rsid w:val="00DF6AD4"/>
    <w:rsid w:val="00E030D0"/>
    <w:rsid w:val="00E04CFA"/>
    <w:rsid w:val="00E06C95"/>
    <w:rsid w:val="00E07190"/>
    <w:rsid w:val="00E073D4"/>
    <w:rsid w:val="00E126D8"/>
    <w:rsid w:val="00E14054"/>
    <w:rsid w:val="00E16520"/>
    <w:rsid w:val="00E1670A"/>
    <w:rsid w:val="00E17F63"/>
    <w:rsid w:val="00E201E6"/>
    <w:rsid w:val="00E2065A"/>
    <w:rsid w:val="00E207AF"/>
    <w:rsid w:val="00E22D04"/>
    <w:rsid w:val="00E2679C"/>
    <w:rsid w:val="00E30612"/>
    <w:rsid w:val="00E31ED9"/>
    <w:rsid w:val="00E33278"/>
    <w:rsid w:val="00E36BB9"/>
    <w:rsid w:val="00E37AF2"/>
    <w:rsid w:val="00E37FE8"/>
    <w:rsid w:val="00E40CC1"/>
    <w:rsid w:val="00E422C1"/>
    <w:rsid w:val="00E429D6"/>
    <w:rsid w:val="00E42D2E"/>
    <w:rsid w:val="00E42D39"/>
    <w:rsid w:val="00E44BBD"/>
    <w:rsid w:val="00E45CC3"/>
    <w:rsid w:val="00E4718D"/>
    <w:rsid w:val="00E52B77"/>
    <w:rsid w:val="00E53B54"/>
    <w:rsid w:val="00E53DB2"/>
    <w:rsid w:val="00E54CCF"/>
    <w:rsid w:val="00E55A51"/>
    <w:rsid w:val="00E56331"/>
    <w:rsid w:val="00E56D2F"/>
    <w:rsid w:val="00E57928"/>
    <w:rsid w:val="00E60298"/>
    <w:rsid w:val="00E624EE"/>
    <w:rsid w:val="00E6370F"/>
    <w:rsid w:val="00E63D25"/>
    <w:rsid w:val="00E63F57"/>
    <w:rsid w:val="00E678B6"/>
    <w:rsid w:val="00E67956"/>
    <w:rsid w:val="00E67E4A"/>
    <w:rsid w:val="00E70C2D"/>
    <w:rsid w:val="00E72A60"/>
    <w:rsid w:val="00E73EA2"/>
    <w:rsid w:val="00E827A9"/>
    <w:rsid w:val="00E82955"/>
    <w:rsid w:val="00E85E2C"/>
    <w:rsid w:val="00E87DED"/>
    <w:rsid w:val="00E900C1"/>
    <w:rsid w:val="00E92682"/>
    <w:rsid w:val="00E9284A"/>
    <w:rsid w:val="00E92F5F"/>
    <w:rsid w:val="00E935AA"/>
    <w:rsid w:val="00E95B7B"/>
    <w:rsid w:val="00E96938"/>
    <w:rsid w:val="00E96DC7"/>
    <w:rsid w:val="00E975E1"/>
    <w:rsid w:val="00EA06F2"/>
    <w:rsid w:val="00EA11E3"/>
    <w:rsid w:val="00EA21E0"/>
    <w:rsid w:val="00EA2CBB"/>
    <w:rsid w:val="00EA31E7"/>
    <w:rsid w:val="00EA3304"/>
    <w:rsid w:val="00EA369E"/>
    <w:rsid w:val="00EB0C74"/>
    <w:rsid w:val="00EB443E"/>
    <w:rsid w:val="00EB7C2A"/>
    <w:rsid w:val="00EC20E9"/>
    <w:rsid w:val="00EC7641"/>
    <w:rsid w:val="00ED0D3D"/>
    <w:rsid w:val="00ED1B3A"/>
    <w:rsid w:val="00ED2592"/>
    <w:rsid w:val="00ED42D1"/>
    <w:rsid w:val="00ED5EB8"/>
    <w:rsid w:val="00ED5EF7"/>
    <w:rsid w:val="00ED6492"/>
    <w:rsid w:val="00ED69DD"/>
    <w:rsid w:val="00EE6297"/>
    <w:rsid w:val="00EE62E4"/>
    <w:rsid w:val="00EE7D8D"/>
    <w:rsid w:val="00EF0526"/>
    <w:rsid w:val="00EF1D7D"/>
    <w:rsid w:val="00EF456C"/>
    <w:rsid w:val="00EF67BB"/>
    <w:rsid w:val="00EF6F47"/>
    <w:rsid w:val="00F01BE9"/>
    <w:rsid w:val="00F03E5F"/>
    <w:rsid w:val="00F07375"/>
    <w:rsid w:val="00F076A6"/>
    <w:rsid w:val="00F103CD"/>
    <w:rsid w:val="00F1283C"/>
    <w:rsid w:val="00F13D22"/>
    <w:rsid w:val="00F16733"/>
    <w:rsid w:val="00F16B92"/>
    <w:rsid w:val="00F1717C"/>
    <w:rsid w:val="00F172D5"/>
    <w:rsid w:val="00F17977"/>
    <w:rsid w:val="00F202F8"/>
    <w:rsid w:val="00F23354"/>
    <w:rsid w:val="00F23E37"/>
    <w:rsid w:val="00F241B6"/>
    <w:rsid w:val="00F24F62"/>
    <w:rsid w:val="00F25633"/>
    <w:rsid w:val="00F25FDB"/>
    <w:rsid w:val="00F27AF1"/>
    <w:rsid w:val="00F27FB9"/>
    <w:rsid w:val="00F30A15"/>
    <w:rsid w:val="00F312A4"/>
    <w:rsid w:val="00F335AE"/>
    <w:rsid w:val="00F34ACD"/>
    <w:rsid w:val="00F36A56"/>
    <w:rsid w:val="00F36B64"/>
    <w:rsid w:val="00F410E8"/>
    <w:rsid w:val="00F465DB"/>
    <w:rsid w:val="00F523E9"/>
    <w:rsid w:val="00F5240B"/>
    <w:rsid w:val="00F52664"/>
    <w:rsid w:val="00F53974"/>
    <w:rsid w:val="00F540B7"/>
    <w:rsid w:val="00F54AB6"/>
    <w:rsid w:val="00F552B1"/>
    <w:rsid w:val="00F5543E"/>
    <w:rsid w:val="00F606C3"/>
    <w:rsid w:val="00F6233A"/>
    <w:rsid w:val="00F64828"/>
    <w:rsid w:val="00F6753E"/>
    <w:rsid w:val="00F711FC"/>
    <w:rsid w:val="00F716DB"/>
    <w:rsid w:val="00F75851"/>
    <w:rsid w:val="00F760B8"/>
    <w:rsid w:val="00F775C7"/>
    <w:rsid w:val="00F77D5F"/>
    <w:rsid w:val="00F8178E"/>
    <w:rsid w:val="00F82118"/>
    <w:rsid w:val="00F82FFE"/>
    <w:rsid w:val="00F83593"/>
    <w:rsid w:val="00F845B6"/>
    <w:rsid w:val="00F85308"/>
    <w:rsid w:val="00F86011"/>
    <w:rsid w:val="00F861F5"/>
    <w:rsid w:val="00F86A16"/>
    <w:rsid w:val="00F9106D"/>
    <w:rsid w:val="00F91D44"/>
    <w:rsid w:val="00F93146"/>
    <w:rsid w:val="00F93B72"/>
    <w:rsid w:val="00F95057"/>
    <w:rsid w:val="00F9519A"/>
    <w:rsid w:val="00F972E4"/>
    <w:rsid w:val="00FA0B84"/>
    <w:rsid w:val="00FA3881"/>
    <w:rsid w:val="00FA4EF4"/>
    <w:rsid w:val="00FA6C4D"/>
    <w:rsid w:val="00FA799E"/>
    <w:rsid w:val="00FB18F2"/>
    <w:rsid w:val="00FB2BEF"/>
    <w:rsid w:val="00FB4FAE"/>
    <w:rsid w:val="00FB7CA3"/>
    <w:rsid w:val="00FC0083"/>
    <w:rsid w:val="00FC0CCC"/>
    <w:rsid w:val="00FC4956"/>
    <w:rsid w:val="00FC4CFB"/>
    <w:rsid w:val="00FC5049"/>
    <w:rsid w:val="00FC6C35"/>
    <w:rsid w:val="00FC74B7"/>
    <w:rsid w:val="00FD0688"/>
    <w:rsid w:val="00FD1844"/>
    <w:rsid w:val="00FD1E77"/>
    <w:rsid w:val="00FD41DE"/>
    <w:rsid w:val="00FD47EE"/>
    <w:rsid w:val="00FD4C17"/>
    <w:rsid w:val="00FD6316"/>
    <w:rsid w:val="00FD6455"/>
    <w:rsid w:val="00FE0428"/>
    <w:rsid w:val="00FE269D"/>
    <w:rsid w:val="00FE4937"/>
    <w:rsid w:val="00FF6978"/>
    <w:rsid w:val="00FF7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6C1AE"/>
  <w15:docId w15:val="{D5968B74-233F-47C1-AC3D-4BB314F4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52D00"/>
    <w:pPr>
      <w:spacing w:before="240" w:after="240" w:line="360" w:lineRule="auto"/>
    </w:pPr>
  </w:style>
  <w:style w:type="paragraph" w:styleId="Heading1">
    <w:name w:val="heading 1"/>
    <w:basedOn w:val="Normal"/>
    <w:next w:val="BodyText"/>
    <w:link w:val="Heading1Char"/>
    <w:uiPriority w:val="1"/>
    <w:qFormat/>
    <w:rsid w:val="00443754"/>
    <w:pPr>
      <w:keepNext/>
      <w:keepLines/>
      <w:spacing w:after="360" w:line="680" w:lineRule="atLeast"/>
      <w:outlineLvl w:val="0"/>
    </w:pPr>
    <w:rPr>
      <w:rFonts w:ascii="VAG Rounded" w:eastAsiaTheme="majorEastAsia" w:hAnsi="VAG Rounded" w:cstheme="majorBidi"/>
      <w:b/>
      <w:color w:val="FFFFFF" w:themeColor="background1"/>
      <w:spacing w:val="14"/>
      <w:sz w:val="56"/>
      <w:szCs w:val="32"/>
    </w:rPr>
  </w:style>
  <w:style w:type="paragraph" w:styleId="Heading2">
    <w:name w:val="heading 2"/>
    <w:basedOn w:val="Normal"/>
    <w:next w:val="Normal"/>
    <w:link w:val="Heading2Char"/>
    <w:uiPriority w:val="1"/>
    <w:qFormat/>
    <w:rsid w:val="008400F3"/>
    <w:pPr>
      <w:keepNext/>
      <w:keepLines/>
      <w:spacing w:after="0"/>
      <w:outlineLvl w:val="1"/>
    </w:pPr>
    <w:rPr>
      <w:rFonts w:ascii="VAG Rounded" w:eastAsia="Times New Roman" w:hAnsi="VAG Rounded" w:cs="Times New Roman"/>
      <w:b/>
      <w:color w:val="005496"/>
      <w:sz w:val="52"/>
      <w:szCs w:val="26"/>
    </w:rPr>
  </w:style>
  <w:style w:type="paragraph" w:styleId="Heading3">
    <w:name w:val="heading 3"/>
    <w:basedOn w:val="Normal"/>
    <w:next w:val="Normal"/>
    <w:link w:val="Heading3Char"/>
    <w:uiPriority w:val="1"/>
    <w:qFormat/>
    <w:rsid w:val="00897833"/>
    <w:pPr>
      <w:keepNext/>
      <w:keepLines/>
      <w:spacing w:before="0"/>
      <w:outlineLvl w:val="2"/>
    </w:pPr>
    <w:rPr>
      <w:rFonts w:ascii="VAG Rounded" w:eastAsia="Times New Roman" w:hAnsi="VAG Rounded" w:cs="Times New Roman"/>
      <w:b/>
      <w:color w:val="00884F"/>
      <w:sz w:val="32"/>
      <w:szCs w:val="32"/>
    </w:rPr>
  </w:style>
  <w:style w:type="paragraph" w:styleId="Heading4">
    <w:name w:val="heading 4"/>
    <w:basedOn w:val="Normal"/>
    <w:next w:val="Normal"/>
    <w:link w:val="Heading4Char"/>
    <w:uiPriority w:val="1"/>
    <w:qFormat/>
    <w:rsid w:val="00897833"/>
    <w:pPr>
      <w:keepNext/>
      <w:keepLines/>
      <w:outlineLvl w:val="3"/>
    </w:pPr>
    <w:rPr>
      <w:rFonts w:ascii="Arial" w:eastAsia="Times New Roman" w:hAnsi="Arial" w:cs="Times New Roman"/>
      <w:b/>
      <w:iCs/>
      <w:color w:val="005496"/>
      <w:sz w:val="28"/>
    </w:rPr>
  </w:style>
  <w:style w:type="paragraph" w:styleId="Heading5">
    <w:name w:val="heading 5"/>
    <w:basedOn w:val="Normal"/>
    <w:next w:val="Normal"/>
    <w:link w:val="Heading5Char"/>
    <w:uiPriority w:val="1"/>
    <w:qFormat/>
    <w:rsid w:val="00897833"/>
    <w:pPr>
      <w:keepNext/>
      <w:keepLines/>
      <w:spacing w:before="40" w:after="0"/>
      <w:outlineLvl w:val="4"/>
    </w:pPr>
    <w:rPr>
      <w:rFonts w:ascii="Arial" w:eastAsia="Times New Roman" w:hAnsi="Arial" w:cs="Times New Roman"/>
      <w:b/>
      <w:color w:val="00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3754"/>
    <w:rPr>
      <w:rFonts w:ascii="VAG Rounded" w:eastAsiaTheme="majorEastAsia" w:hAnsi="VAG Rounded" w:cstheme="majorBidi"/>
      <w:b/>
      <w:color w:val="FFFFFF" w:themeColor="background1"/>
      <w:spacing w:val="14"/>
      <w:sz w:val="56"/>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75851"/>
    <w:pPr>
      <w:tabs>
        <w:tab w:val="center" w:pos="4680"/>
        <w:tab w:val="right" w:pos="9360"/>
      </w:tabs>
      <w:spacing w:after="0"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F75851"/>
    <w:rPr>
      <w:rFonts w:ascii="VAG Rounded" w:hAnsi="VAG Rounded"/>
      <w:color w:val="005496" w:themeColor="accent1"/>
    </w:rPr>
  </w:style>
  <w:style w:type="paragraph" w:styleId="TOC1">
    <w:name w:val="toc 1"/>
    <w:basedOn w:val="Normal"/>
    <w:next w:val="Normal"/>
    <w:autoRedefine/>
    <w:uiPriority w:val="39"/>
    <w:rsid w:val="002B0231"/>
    <w:pPr>
      <w:pBdr>
        <w:bottom w:val="single" w:sz="4" w:space="3" w:color="auto"/>
        <w:between w:val="single" w:sz="4" w:space="3" w:color="auto"/>
      </w:pBdr>
      <w:tabs>
        <w:tab w:val="right" w:pos="9628"/>
      </w:tabs>
      <w:spacing w:before="120" w:after="0"/>
    </w:pPr>
    <w:rPr>
      <w:b/>
      <w:bCs/>
      <w:noProof/>
    </w:rPr>
  </w:style>
  <w:style w:type="character" w:styleId="Hyperlink">
    <w:name w:val="Hyperlink"/>
    <w:basedOn w:val="DefaultParagraphFont"/>
    <w:uiPriority w:val="99"/>
    <w:qFormat/>
    <w:rsid w:val="000D525D"/>
    <w:rPr>
      <w:b w:val="0"/>
      <w:i w:val="0"/>
      <w:color w:val="005496"/>
      <w:u w:val="single"/>
    </w:rPr>
  </w:style>
  <w:style w:type="paragraph" w:styleId="TOCHeading">
    <w:name w:val="TOC Heading"/>
    <w:basedOn w:val="Heading2"/>
    <w:next w:val="Normal"/>
    <w:uiPriority w:val="39"/>
    <w:qFormat/>
    <w:rsid w:val="008400F3"/>
    <w:pPr>
      <w:spacing w:after="240"/>
      <w:outlineLvl w:val="9"/>
    </w:pPr>
    <w:rPr>
      <w:color w:val="005496" w:themeColor="text2"/>
      <w:lang w:val="en-US"/>
    </w:rPr>
  </w:style>
  <w:style w:type="character" w:customStyle="1" w:styleId="Heading2Char">
    <w:name w:val="Heading 2 Char"/>
    <w:basedOn w:val="DefaultParagraphFont"/>
    <w:link w:val="Heading2"/>
    <w:uiPriority w:val="1"/>
    <w:rsid w:val="008400F3"/>
    <w:rPr>
      <w:rFonts w:ascii="VAG Rounded" w:eastAsia="Times New Roman" w:hAnsi="VAG Rounded" w:cs="Times New Roman"/>
      <w:b/>
      <w:color w:val="005496"/>
      <w:sz w:val="52"/>
      <w:szCs w:val="26"/>
    </w:rPr>
  </w:style>
  <w:style w:type="character" w:customStyle="1" w:styleId="Heading3Char">
    <w:name w:val="Heading 3 Char"/>
    <w:basedOn w:val="DefaultParagraphFont"/>
    <w:link w:val="Heading3"/>
    <w:uiPriority w:val="1"/>
    <w:rsid w:val="005B4E1A"/>
    <w:rPr>
      <w:rFonts w:ascii="VAG Rounded" w:eastAsia="Times New Roman" w:hAnsi="VAG Rounded" w:cs="Times New Roman"/>
      <w:b/>
      <w:color w:val="00884F"/>
      <w:sz w:val="32"/>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uiPriority w:val="1"/>
    <w:semiHidden/>
    <w:rsid w:val="00FC0083"/>
    <w:pPr>
      <w:ind w:left="720" w:hanging="360"/>
    </w:pPr>
  </w:style>
  <w:style w:type="paragraph" w:styleId="ListParagraph">
    <w:name w:val="List Paragraph"/>
    <w:aliases w:val="Numbered List"/>
    <w:basedOn w:val="Normal"/>
    <w:link w:val="ListParagraphChar"/>
    <w:uiPriority w:val="34"/>
    <w:qFormat/>
    <w:rsid w:val="00DA2F34"/>
    <w:pPr>
      <w:numPr>
        <w:numId w:val="4"/>
      </w:numPr>
    </w:pPr>
    <w:rPr>
      <w:rFonts w:ascii="Arial" w:eastAsia="Arial" w:hAnsi="Arial" w:cs="Times New Roman"/>
      <w:lang w:val="en-US"/>
    </w:rPr>
  </w:style>
  <w:style w:type="numbering" w:customStyle="1" w:styleId="PWDABullets">
    <w:name w:val="PWDA_Bullets"/>
    <w:uiPriority w:val="99"/>
    <w:rsid w:val="001234CE"/>
    <w:pPr>
      <w:numPr>
        <w:numId w:val="1"/>
      </w:numPr>
    </w:pPr>
  </w:style>
  <w:style w:type="paragraph" w:customStyle="1" w:styleId="NumberedMultiList">
    <w:name w:val="Numbered Multi List"/>
    <w:basedOn w:val="Normal"/>
    <w:uiPriority w:val="1"/>
    <w:unhideWhenUsed/>
    <w:qFormat/>
    <w:rsid w:val="00C02BFC"/>
    <w:pPr>
      <w:numPr>
        <w:numId w:val="2"/>
      </w:numPr>
    </w:pPr>
  </w:style>
  <w:style w:type="numbering" w:customStyle="1" w:styleId="PWDANumbered">
    <w:name w:val="PWDA_Numbered"/>
    <w:uiPriority w:val="99"/>
    <w:rsid w:val="00C02BFC"/>
    <w:pPr>
      <w:numPr>
        <w:numId w:val="2"/>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E6370F"/>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5B4E1A"/>
    <w:rPr>
      <w:rFonts w:ascii="Arial" w:eastAsia="Times New Roman" w:hAnsi="Arial" w:cs="Times New Roman"/>
      <w:b/>
      <w:iCs/>
      <w:color w:val="005496"/>
      <w:sz w:val="28"/>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paragraph" w:styleId="BodyText">
    <w:name w:val="Body Text"/>
    <w:basedOn w:val="Normal"/>
    <w:link w:val="BodyTextChar"/>
    <w:qFormat/>
    <w:rsid w:val="00897833"/>
    <w:rPr>
      <w:rFonts w:ascii="Arial" w:eastAsia="Arial" w:hAnsi="Arial" w:cs="Arial"/>
      <w:color w:val="000000"/>
      <w:lang w:val="en-US"/>
    </w:rPr>
  </w:style>
  <w:style w:type="character" w:customStyle="1" w:styleId="BodyTextChar">
    <w:name w:val="Body Text Char"/>
    <w:basedOn w:val="DefaultParagraphFont"/>
    <w:link w:val="BodyText"/>
    <w:rsid w:val="00897833"/>
    <w:rPr>
      <w:rFonts w:ascii="Arial" w:eastAsia="Arial" w:hAnsi="Arial" w:cs="Arial"/>
      <w:color w:val="000000"/>
      <w:lang w:val="en-US"/>
    </w:rPr>
  </w:style>
  <w:style w:type="paragraph" w:customStyle="1" w:styleId="TableParagraph">
    <w:name w:val="Table Paragraph"/>
    <w:basedOn w:val="Normal"/>
    <w:uiPriority w:val="14"/>
    <w:qFormat/>
    <w:rsid w:val="007914D2"/>
    <w:pPr>
      <w:widowControl w:val="0"/>
      <w:autoSpaceDE w:val="0"/>
      <w:autoSpaceDN w:val="0"/>
      <w:adjustRightInd w:val="0"/>
      <w:spacing w:after="0" w:line="240" w:lineRule="auto"/>
    </w:pPr>
    <w:rPr>
      <w:rFonts w:ascii="Times New Roman" w:eastAsiaTheme="minorEastAsia" w:hAnsi="Times New Roman" w:cs="Times New Roman"/>
      <w:lang w:eastAsia="en-AU"/>
    </w:rPr>
  </w:style>
  <w:style w:type="character" w:styleId="CommentReference">
    <w:name w:val="annotation reference"/>
    <w:basedOn w:val="DefaultParagraphFont"/>
    <w:uiPriority w:val="99"/>
    <w:semiHidden/>
    <w:unhideWhenUsed/>
    <w:rsid w:val="00F6753E"/>
    <w:rPr>
      <w:sz w:val="16"/>
      <w:szCs w:val="16"/>
    </w:rPr>
  </w:style>
  <w:style w:type="paragraph" w:styleId="CommentText">
    <w:name w:val="annotation text"/>
    <w:basedOn w:val="Normal"/>
    <w:link w:val="CommentTextChar"/>
    <w:uiPriority w:val="99"/>
    <w:unhideWhenUsed/>
    <w:rsid w:val="00F6753E"/>
    <w:pPr>
      <w:spacing w:line="240" w:lineRule="auto"/>
    </w:pPr>
    <w:rPr>
      <w:sz w:val="20"/>
      <w:szCs w:val="20"/>
    </w:rPr>
  </w:style>
  <w:style w:type="character" w:customStyle="1" w:styleId="CommentTextChar">
    <w:name w:val="Comment Text Char"/>
    <w:basedOn w:val="DefaultParagraphFont"/>
    <w:link w:val="CommentText"/>
    <w:uiPriority w:val="99"/>
    <w:rsid w:val="00F6753E"/>
    <w:rPr>
      <w:sz w:val="20"/>
      <w:szCs w:val="20"/>
    </w:rPr>
  </w:style>
  <w:style w:type="paragraph" w:styleId="CommentSubject">
    <w:name w:val="annotation subject"/>
    <w:basedOn w:val="CommentText"/>
    <w:next w:val="CommentText"/>
    <w:link w:val="CommentSubjectChar"/>
    <w:uiPriority w:val="99"/>
    <w:semiHidden/>
    <w:unhideWhenUsed/>
    <w:rsid w:val="00F6753E"/>
    <w:rPr>
      <w:b/>
      <w:bCs/>
    </w:rPr>
  </w:style>
  <w:style w:type="character" w:customStyle="1" w:styleId="CommentSubjectChar">
    <w:name w:val="Comment Subject Char"/>
    <w:basedOn w:val="CommentTextChar"/>
    <w:link w:val="CommentSubject"/>
    <w:uiPriority w:val="99"/>
    <w:semiHidden/>
    <w:rsid w:val="00F6753E"/>
    <w:rPr>
      <w:b/>
      <w:bCs/>
      <w:sz w:val="20"/>
      <w:szCs w:val="20"/>
    </w:rPr>
  </w:style>
  <w:style w:type="character" w:customStyle="1" w:styleId="UnresolvedMention2">
    <w:name w:val="Unresolved Mention2"/>
    <w:basedOn w:val="DefaultParagraphFont"/>
    <w:uiPriority w:val="99"/>
    <w:semiHidden/>
    <w:unhideWhenUsed/>
    <w:rsid w:val="00403AA6"/>
    <w:rPr>
      <w:color w:val="605E5C"/>
      <w:shd w:val="clear" w:color="auto" w:fill="E1DFDD"/>
    </w:rPr>
  </w:style>
  <w:style w:type="paragraph" w:styleId="FootnoteText">
    <w:name w:val="footnote text"/>
    <w:basedOn w:val="Normal"/>
    <w:link w:val="FootnoteTextChar"/>
    <w:uiPriority w:val="99"/>
    <w:semiHidden/>
    <w:unhideWhenUsed/>
    <w:rsid w:val="00403A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AA6"/>
    <w:rPr>
      <w:sz w:val="20"/>
      <w:szCs w:val="20"/>
    </w:rPr>
  </w:style>
  <w:style w:type="character" w:styleId="FootnoteReference">
    <w:name w:val="footnote reference"/>
    <w:basedOn w:val="DefaultParagraphFont"/>
    <w:uiPriority w:val="99"/>
    <w:semiHidden/>
    <w:unhideWhenUsed/>
    <w:rsid w:val="00403AA6"/>
    <w:rPr>
      <w:vertAlign w:val="superscript"/>
    </w:rPr>
  </w:style>
  <w:style w:type="paragraph" w:styleId="NormalWeb">
    <w:name w:val="Normal (Web)"/>
    <w:basedOn w:val="Normal"/>
    <w:uiPriority w:val="99"/>
    <w:unhideWhenUsed/>
    <w:rsid w:val="00130422"/>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77D64"/>
    <w:rPr>
      <w:b/>
      <w:bCs/>
    </w:rPr>
  </w:style>
  <w:style w:type="character" w:customStyle="1" w:styleId="UnresolvedMention3">
    <w:name w:val="Unresolved Mention3"/>
    <w:basedOn w:val="DefaultParagraphFont"/>
    <w:uiPriority w:val="99"/>
    <w:semiHidden/>
    <w:unhideWhenUsed/>
    <w:rsid w:val="00123F5D"/>
    <w:rPr>
      <w:color w:val="605E5C"/>
      <w:shd w:val="clear" w:color="auto" w:fill="E1DFDD"/>
    </w:rPr>
  </w:style>
  <w:style w:type="paragraph" w:styleId="EndnoteText">
    <w:name w:val="endnote text"/>
    <w:basedOn w:val="Normal"/>
    <w:link w:val="EndnoteTextChar"/>
    <w:uiPriority w:val="99"/>
    <w:unhideWhenUsed/>
    <w:qFormat/>
    <w:rsid w:val="003F2267"/>
    <w:pPr>
      <w:spacing w:after="0" w:line="240" w:lineRule="auto"/>
    </w:pPr>
    <w:rPr>
      <w:sz w:val="20"/>
      <w:szCs w:val="20"/>
    </w:rPr>
  </w:style>
  <w:style w:type="character" w:customStyle="1" w:styleId="EndnoteTextChar">
    <w:name w:val="Endnote Text Char"/>
    <w:basedOn w:val="DefaultParagraphFont"/>
    <w:link w:val="EndnoteText"/>
    <w:uiPriority w:val="99"/>
    <w:rsid w:val="003F2267"/>
    <w:rPr>
      <w:sz w:val="20"/>
      <w:szCs w:val="20"/>
    </w:rPr>
  </w:style>
  <w:style w:type="character" w:styleId="EndnoteReference">
    <w:name w:val="endnote reference"/>
    <w:basedOn w:val="DefaultParagraphFont"/>
    <w:uiPriority w:val="99"/>
    <w:unhideWhenUsed/>
    <w:qFormat/>
    <w:rsid w:val="003F2267"/>
    <w:rPr>
      <w:vertAlign w:val="superscript"/>
    </w:rPr>
  </w:style>
  <w:style w:type="paragraph" w:styleId="ListBullet">
    <w:name w:val="List Bullet"/>
    <w:aliases w:val="Bullet List"/>
    <w:basedOn w:val="Normal"/>
    <w:uiPriority w:val="2"/>
    <w:qFormat/>
    <w:rsid w:val="00DA2F34"/>
    <w:pPr>
      <w:numPr>
        <w:numId w:val="3"/>
      </w:numPr>
      <w:ind w:left="714" w:hanging="357"/>
    </w:pPr>
  </w:style>
  <w:style w:type="character" w:customStyle="1" w:styleId="ListParagraphChar">
    <w:name w:val="List Paragraph Char"/>
    <w:aliases w:val="Numbered List Char"/>
    <w:link w:val="ListParagraph"/>
    <w:uiPriority w:val="2"/>
    <w:qFormat/>
    <w:rsid w:val="00252D00"/>
    <w:rPr>
      <w:rFonts w:ascii="Arial" w:eastAsia="Arial" w:hAnsi="Arial" w:cs="Times New Roman"/>
      <w:lang w:val="en-US"/>
    </w:rPr>
  </w:style>
  <w:style w:type="paragraph" w:customStyle="1" w:styleId="Default">
    <w:name w:val="Default"/>
    <w:semiHidden/>
    <w:rsid w:val="009E7C01"/>
    <w:pPr>
      <w:autoSpaceDE w:val="0"/>
      <w:autoSpaceDN w:val="0"/>
      <w:adjustRightInd w:val="0"/>
      <w:spacing w:after="0" w:line="240" w:lineRule="auto"/>
    </w:pPr>
    <w:rPr>
      <w:rFonts w:ascii="Calibri" w:hAnsi="Calibri" w:cs="Calibri"/>
      <w:color w:val="000000"/>
    </w:rPr>
  </w:style>
  <w:style w:type="paragraph" w:customStyle="1" w:styleId="Bulltlist">
    <w:name w:val="Bullt list"/>
    <w:basedOn w:val="Bullet1"/>
    <w:link w:val="BulltlistChar"/>
    <w:semiHidden/>
    <w:rsid w:val="005119D1"/>
  </w:style>
  <w:style w:type="character" w:customStyle="1" w:styleId="BulltlistChar">
    <w:name w:val="Bullt list Char"/>
    <w:basedOn w:val="DefaultParagraphFont"/>
    <w:link w:val="Bulltlist"/>
    <w:semiHidden/>
    <w:rsid w:val="00E6370F"/>
  </w:style>
  <w:style w:type="character" w:customStyle="1" w:styleId="NumberListChar">
    <w:name w:val="Number List Char"/>
    <w:basedOn w:val="DefaultParagraphFont"/>
    <w:link w:val="NumberList"/>
    <w:semiHidden/>
    <w:locked/>
    <w:rsid w:val="009508B4"/>
    <w:rPr>
      <w:rFonts w:ascii="Arial" w:eastAsia="Arial" w:hAnsi="Arial" w:cs="Times New Roman"/>
      <w:lang w:val="en-US"/>
    </w:rPr>
  </w:style>
  <w:style w:type="paragraph" w:customStyle="1" w:styleId="NumberList">
    <w:name w:val="Number List"/>
    <w:basedOn w:val="ListParagraph"/>
    <w:link w:val="NumberListChar"/>
    <w:semiHidden/>
    <w:qFormat/>
    <w:rsid w:val="009508B4"/>
    <w:pPr>
      <w:ind w:left="720"/>
    </w:pPr>
  </w:style>
  <w:style w:type="paragraph" w:customStyle="1" w:styleId="Coversubtitletext">
    <w:name w:val="Cover subtitle text"/>
    <w:basedOn w:val="Normal"/>
    <w:next w:val="BodyText"/>
    <w:uiPriority w:val="99"/>
    <w:qFormat/>
    <w:rsid w:val="002937C8"/>
    <w:rPr>
      <w:rFonts w:ascii="VAG Rounded" w:hAnsi="VAG Rounded"/>
      <w:iCs/>
      <w:color w:val="FFFFFF" w:themeColor="background1"/>
      <w:sz w:val="36"/>
      <w:szCs w:val="36"/>
    </w:rPr>
  </w:style>
  <w:style w:type="paragraph" w:customStyle="1" w:styleId="Whitebodytext">
    <w:name w:val="White body text"/>
    <w:basedOn w:val="BodyText"/>
    <w:uiPriority w:val="99"/>
    <w:qFormat/>
    <w:rsid w:val="002937C8"/>
    <w:rPr>
      <w:color w:val="FFFFFF" w:themeColor="background1"/>
    </w:rPr>
  </w:style>
  <w:style w:type="character" w:customStyle="1" w:styleId="Heading5Char">
    <w:name w:val="Heading 5 Char"/>
    <w:basedOn w:val="DefaultParagraphFont"/>
    <w:link w:val="Heading5"/>
    <w:uiPriority w:val="1"/>
    <w:rsid w:val="005B4E1A"/>
    <w:rPr>
      <w:rFonts w:ascii="Arial" w:eastAsia="Times New Roman" w:hAnsi="Arial" w:cs="Times New Roman"/>
      <w:b/>
      <w:color w:val="005496"/>
    </w:rPr>
  </w:style>
  <w:style w:type="paragraph" w:customStyle="1" w:styleId="Finalpagecontactinformation">
    <w:name w:val="Final page contact information"/>
    <w:basedOn w:val="BodyText"/>
    <w:uiPriority w:val="99"/>
    <w:qFormat/>
    <w:rsid w:val="006741BD"/>
    <w:pPr>
      <w:spacing w:before="360"/>
    </w:pPr>
    <w:rPr>
      <w:b/>
      <w:color w:val="FFFFFF" w:themeColor="background1"/>
    </w:rPr>
  </w:style>
  <w:style w:type="paragraph" w:styleId="TOC2">
    <w:name w:val="toc 2"/>
    <w:basedOn w:val="Normal"/>
    <w:next w:val="Normal"/>
    <w:autoRedefine/>
    <w:uiPriority w:val="39"/>
    <w:unhideWhenUsed/>
    <w:rsid w:val="001E6834"/>
    <w:pPr>
      <w:spacing w:after="100"/>
      <w:ind w:left="240"/>
    </w:pPr>
  </w:style>
  <w:style w:type="paragraph" w:styleId="TOC3">
    <w:name w:val="toc 3"/>
    <w:basedOn w:val="Normal"/>
    <w:next w:val="Normal"/>
    <w:autoRedefine/>
    <w:uiPriority w:val="39"/>
    <w:unhideWhenUsed/>
    <w:rsid w:val="00B3017F"/>
    <w:pPr>
      <w:spacing w:before="0" w:after="100" w:line="259" w:lineRule="auto"/>
    </w:pPr>
    <w:rPr>
      <w:rFonts w:eastAsiaTheme="minorEastAsia" w:cs="Times New Roman"/>
      <w:sz w:val="22"/>
      <w:szCs w:val="22"/>
      <w:lang w:val="en-US"/>
    </w:rPr>
  </w:style>
  <w:style w:type="paragraph" w:customStyle="1" w:styleId="Heading2notincontents">
    <w:name w:val="Heading 2 (not in contents)"/>
    <w:basedOn w:val="Heading2"/>
    <w:uiPriority w:val="99"/>
    <w:qFormat/>
    <w:rsid w:val="008741AB"/>
    <w:rPr>
      <w:rFonts w:eastAsiaTheme="minorHAnsi"/>
    </w:rPr>
  </w:style>
  <w:style w:type="character" w:styleId="PlaceholderText">
    <w:name w:val="Placeholder Text"/>
    <w:basedOn w:val="DefaultParagraphFont"/>
    <w:uiPriority w:val="99"/>
    <w:semiHidden/>
    <w:rsid w:val="00F861F5"/>
    <w:rPr>
      <w:color w:val="808080"/>
    </w:rPr>
  </w:style>
  <w:style w:type="character" w:styleId="Emphasis">
    <w:name w:val="Emphasis"/>
    <w:basedOn w:val="DefaultParagraphFont"/>
    <w:uiPriority w:val="20"/>
    <w:qFormat/>
    <w:rsid w:val="00AE4678"/>
    <w:rPr>
      <w:i/>
      <w:iCs/>
    </w:rPr>
  </w:style>
  <w:style w:type="character" w:styleId="FollowedHyperlink">
    <w:name w:val="FollowedHyperlink"/>
    <w:basedOn w:val="DefaultParagraphFont"/>
    <w:uiPriority w:val="99"/>
    <w:semiHidden/>
    <w:unhideWhenUsed/>
    <w:rsid w:val="00F86A16"/>
    <w:rPr>
      <w:color w:val="954F72" w:themeColor="followedHyperlink"/>
      <w:u w:val="single"/>
    </w:rPr>
  </w:style>
  <w:style w:type="paragraph" w:styleId="Revision">
    <w:name w:val="Revision"/>
    <w:hidden/>
    <w:uiPriority w:val="99"/>
    <w:semiHidden/>
    <w:rsid w:val="00913843"/>
    <w:pPr>
      <w:spacing w:after="0" w:line="240" w:lineRule="auto"/>
    </w:pPr>
  </w:style>
  <w:style w:type="paragraph" w:styleId="Quote">
    <w:name w:val="Quote"/>
    <w:basedOn w:val="Normal"/>
    <w:next w:val="Normal"/>
    <w:link w:val="QuoteChar"/>
    <w:uiPriority w:val="29"/>
    <w:qFormat/>
    <w:rsid w:val="000C2A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C2A88"/>
    <w:rPr>
      <w:i/>
      <w:iCs/>
      <w:color w:val="404040" w:themeColor="text1" w:themeTint="BF"/>
    </w:rPr>
  </w:style>
  <w:style w:type="paragraph" w:styleId="IntenseQuote">
    <w:name w:val="Intense Quote"/>
    <w:basedOn w:val="Normal"/>
    <w:next w:val="Normal"/>
    <w:link w:val="IntenseQuoteChar"/>
    <w:uiPriority w:val="30"/>
    <w:qFormat/>
    <w:rsid w:val="006277F9"/>
    <w:pPr>
      <w:pBdr>
        <w:top w:val="single" w:sz="4" w:space="10" w:color="005496" w:themeColor="accent1"/>
        <w:bottom w:val="single" w:sz="4" w:space="10" w:color="005496" w:themeColor="accent1"/>
      </w:pBdr>
      <w:spacing w:before="360" w:after="360"/>
      <w:ind w:left="864" w:right="864"/>
      <w:jc w:val="center"/>
    </w:pPr>
    <w:rPr>
      <w:i/>
      <w:iCs/>
      <w:color w:val="005496" w:themeColor="accent1"/>
    </w:rPr>
  </w:style>
  <w:style w:type="character" w:customStyle="1" w:styleId="IntenseQuoteChar">
    <w:name w:val="Intense Quote Char"/>
    <w:basedOn w:val="DefaultParagraphFont"/>
    <w:link w:val="IntenseQuote"/>
    <w:uiPriority w:val="30"/>
    <w:rsid w:val="006277F9"/>
    <w:rPr>
      <w:i/>
      <w:iCs/>
      <w:color w:val="005496" w:themeColor="accent1"/>
    </w:rPr>
  </w:style>
  <w:style w:type="character" w:styleId="UnresolvedMention">
    <w:name w:val="Unresolved Mention"/>
    <w:basedOn w:val="DefaultParagraphFont"/>
    <w:uiPriority w:val="99"/>
    <w:semiHidden/>
    <w:unhideWhenUsed/>
    <w:rsid w:val="00FB7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88543">
      <w:bodyDiv w:val="1"/>
      <w:marLeft w:val="0"/>
      <w:marRight w:val="0"/>
      <w:marTop w:val="0"/>
      <w:marBottom w:val="0"/>
      <w:divBdr>
        <w:top w:val="none" w:sz="0" w:space="0" w:color="auto"/>
        <w:left w:val="none" w:sz="0" w:space="0" w:color="auto"/>
        <w:bottom w:val="none" w:sz="0" w:space="0" w:color="auto"/>
        <w:right w:val="none" w:sz="0" w:space="0" w:color="auto"/>
      </w:divBdr>
    </w:div>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572156382">
      <w:bodyDiv w:val="1"/>
      <w:marLeft w:val="0"/>
      <w:marRight w:val="0"/>
      <w:marTop w:val="0"/>
      <w:marBottom w:val="0"/>
      <w:divBdr>
        <w:top w:val="none" w:sz="0" w:space="0" w:color="auto"/>
        <w:left w:val="none" w:sz="0" w:space="0" w:color="auto"/>
        <w:bottom w:val="none" w:sz="0" w:space="0" w:color="auto"/>
        <w:right w:val="none" w:sz="0" w:space="0" w:color="auto"/>
      </w:divBdr>
    </w:div>
    <w:div w:id="779571411">
      <w:bodyDiv w:val="1"/>
      <w:marLeft w:val="0"/>
      <w:marRight w:val="0"/>
      <w:marTop w:val="0"/>
      <w:marBottom w:val="0"/>
      <w:divBdr>
        <w:top w:val="none" w:sz="0" w:space="0" w:color="auto"/>
        <w:left w:val="none" w:sz="0" w:space="0" w:color="auto"/>
        <w:bottom w:val="none" w:sz="0" w:space="0" w:color="auto"/>
        <w:right w:val="none" w:sz="0" w:space="0" w:color="auto"/>
      </w:divBdr>
    </w:div>
    <w:div w:id="792403237">
      <w:bodyDiv w:val="1"/>
      <w:marLeft w:val="0"/>
      <w:marRight w:val="0"/>
      <w:marTop w:val="0"/>
      <w:marBottom w:val="0"/>
      <w:divBdr>
        <w:top w:val="none" w:sz="0" w:space="0" w:color="auto"/>
        <w:left w:val="none" w:sz="0" w:space="0" w:color="auto"/>
        <w:bottom w:val="none" w:sz="0" w:space="0" w:color="auto"/>
        <w:right w:val="none" w:sz="0" w:space="0" w:color="auto"/>
      </w:divBdr>
    </w:div>
    <w:div w:id="948656483">
      <w:bodyDiv w:val="1"/>
      <w:marLeft w:val="0"/>
      <w:marRight w:val="0"/>
      <w:marTop w:val="0"/>
      <w:marBottom w:val="0"/>
      <w:divBdr>
        <w:top w:val="none" w:sz="0" w:space="0" w:color="auto"/>
        <w:left w:val="none" w:sz="0" w:space="0" w:color="auto"/>
        <w:bottom w:val="none" w:sz="0" w:space="0" w:color="auto"/>
        <w:right w:val="none" w:sz="0" w:space="0" w:color="auto"/>
      </w:divBdr>
    </w:div>
    <w:div w:id="1117333821">
      <w:bodyDiv w:val="1"/>
      <w:marLeft w:val="0"/>
      <w:marRight w:val="0"/>
      <w:marTop w:val="0"/>
      <w:marBottom w:val="0"/>
      <w:divBdr>
        <w:top w:val="none" w:sz="0" w:space="0" w:color="auto"/>
        <w:left w:val="none" w:sz="0" w:space="0" w:color="auto"/>
        <w:bottom w:val="none" w:sz="0" w:space="0" w:color="auto"/>
        <w:right w:val="none" w:sz="0" w:space="0" w:color="auto"/>
      </w:divBdr>
    </w:div>
    <w:div w:id="1713073291">
      <w:bodyDiv w:val="1"/>
      <w:marLeft w:val="0"/>
      <w:marRight w:val="0"/>
      <w:marTop w:val="0"/>
      <w:marBottom w:val="0"/>
      <w:divBdr>
        <w:top w:val="none" w:sz="0" w:space="0" w:color="auto"/>
        <w:left w:val="none" w:sz="0" w:space="0" w:color="auto"/>
        <w:bottom w:val="none" w:sz="0" w:space="0" w:color="auto"/>
        <w:right w:val="none" w:sz="0" w:space="0" w:color="auto"/>
      </w:divBdr>
    </w:div>
    <w:div w:id="1745646813">
      <w:bodyDiv w:val="1"/>
      <w:marLeft w:val="0"/>
      <w:marRight w:val="0"/>
      <w:marTop w:val="0"/>
      <w:marBottom w:val="0"/>
      <w:divBdr>
        <w:top w:val="none" w:sz="0" w:space="0" w:color="auto"/>
        <w:left w:val="none" w:sz="0" w:space="0" w:color="auto"/>
        <w:bottom w:val="none" w:sz="0" w:space="0" w:color="auto"/>
        <w:right w:val="none" w:sz="0" w:space="0" w:color="auto"/>
      </w:divBdr>
    </w:div>
    <w:div w:id="1748069425">
      <w:bodyDiv w:val="1"/>
      <w:marLeft w:val="0"/>
      <w:marRight w:val="0"/>
      <w:marTop w:val="0"/>
      <w:marBottom w:val="0"/>
      <w:divBdr>
        <w:top w:val="none" w:sz="0" w:space="0" w:color="auto"/>
        <w:left w:val="none" w:sz="0" w:space="0" w:color="auto"/>
        <w:bottom w:val="none" w:sz="0" w:space="0" w:color="auto"/>
        <w:right w:val="none" w:sz="0" w:space="0" w:color="auto"/>
      </w:divBdr>
    </w:div>
    <w:div w:id="1769305154">
      <w:bodyDiv w:val="1"/>
      <w:marLeft w:val="0"/>
      <w:marRight w:val="0"/>
      <w:marTop w:val="0"/>
      <w:marBottom w:val="0"/>
      <w:divBdr>
        <w:top w:val="none" w:sz="0" w:space="0" w:color="auto"/>
        <w:left w:val="none" w:sz="0" w:space="0" w:color="auto"/>
        <w:bottom w:val="none" w:sz="0" w:space="0" w:color="auto"/>
        <w:right w:val="none" w:sz="0" w:space="0" w:color="auto"/>
      </w:divBdr>
    </w:div>
    <w:div w:id="1777824944">
      <w:bodyDiv w:val="1"/>
      <w:marLeft w:val="0"/>
      <w:marRight w:val="0"/>
      <w:marTop w:val="0"/>
      <w:marBottom w:val="0"/>
      <w:divBdr>
        <w:top w:val="none" w:sz="0" w:space="0" w:color="auto"/>
        <w:left w:val="none" w:sz="0" w:space="0" w:color="auto"/>
        <w:bottom w:val="none" w:sz="0" w:space="0" w:color="auto"/>
        <w:right w:val="none" w:sz="0" w:space="0" w:color="auto"/>
      </w:divBdr>
    </w:div>
    <w:div w:id="1953825259">
      <w:bodyDiv w:val="1"/>
      <w:marLeft w:val="0"/>
      <w:marRight w:val="0"/>
      <w:marTop w:val="0"/>
      <w:marBottom w:val="0"/>
      <w:divBdr>
        <w:top w:val="none" w:sz="0" w:space="0" w:color="auto"/>
        <w:left w:val="none" w:sz="0" w:space="0" w:color="auto"/>
        <w:bottom w:val="none" w:sz="0" w:space="0" w:color="auto"/>
        <w:right w:val="none" w:sz="0" w:space="0" w:color="auto"/>
      </w:divBdr>
    </w:div>
    <w:div w:id="206741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pwd.org.au/" TargetMode="External"/><Relationship Id="rId26" Type="http://schemas.openxmlformats.org/officeDocument/2006/relationships/hyperlink" Target="https://www.google.com/search?q=national+ethnic+disability+alliance&amp;rlz=1C1CHBF_en-GBAU920AU920&amp;oq=National+Ethnic+Disability+Alliance&amp;aqs=chrome.0.0i512j0i22i30l2j0i390l5.1839j0j9&amp;sourceid=chrome&amp;ie=UTF-8" TargetMode="External"/><Relationship Id="rId21" Type="http://schemas.openxmlformats.org/officeDocument/2006/relationships/hyperlink" Target="https://www.un.org/development/desa/disabilities/the-international-year-of-disabled-persons-1981.html" TargetMode="External"/><Relationship Id="rId34"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pwda@pwd.org.au" TargetMode="External"/><Relationship Id="rId25" Type="http://schemas.openxmlformats.org/officeDocument/2006/relationships/hyperlink" Target="https://fpdn.org.au/"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s://www.un.org/development/desa/disabilities/convention-on-the-rights-of-persons-with-disabilities/article-12-equal-recognition-before-the-law.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dpoa.org.au/" TargetMode="External"/><Relationship Id="rId32" Type="http://schemas.openxmlformats.org/officeDocument/2006/relationships/hyperlink" Target="https://tbinternet.ohchr.org/_layouts/15/treatybodyexternal/Download.aspx?symbolno=CRPD%2fC%2fAUS%2fCO%2f2-3&amp;Lang=en"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un.org/development/desa/disabilities/convention-on-the-rights-of-persons-with-disabilities.html" TargetMode="External"/><Relationship Id="rId28" Type="http://schemas.openxmlformats.org/officeDocument/2006/relationships/hyperlink" Target="https://www.un.org/development/desa/disabilities/convention-on-the-rights-of-persons-with-disabilities/article-4-general-obligations.html" TargetMode="External"/><Relationship Id="rId36" Type="http://schemas.openxmlformats.org/officeDocument/2006/relationships/hyperlink" Target="mailto:giancarlod@pwd.org.au" TargetMode="External"/><Relationship Id="rId10" Type="http://schemas.openxmlformats.org/officeDocument/2006/relationships/image" Target="media/image1.png"/><Relationship Id="rId19" Type="http://schemas.openxmlformats.org/officeDocument/2006/relationships/hyperlink" Target="https://www.legislation.gov.au/Details/C2019C00042" TargetMode="External"/><Relationship Id="rId31" Type="http://schemas.openxmlformats.org/officeDocument/2006/relationships/hyperlink" Target="https://www.aph.gov.au/Parliamentary_Business/Committees/Joint/Human_Rights/HumanRightsFrame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un.org/" TargetMode="External"/><Relationship Id="rId27" Type="http://schemas.openxmlformats.org/officeDocument/2006/relationships/hyperlink" Target="https://wwda.org.au/" TargetMode="External"/><Relationship Id="rId30" Type="http://schemas.openxmlformats.org/officeDocument/2006/relationships/hyperlink" Target="https://en.wikipedia.org/wiki/Nothing_About_Us_Without_Us" TargetMode="External"/><Relationship Id="rId35" Type="http://schemas.openxmlformats.org/officeDocument/2006/relationships/hyperlink" Target="mailto:pwd@pwd.org.au"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8" Type="http://schemas.openxmlformats.org/officeDocument/2006/relationships/hyperlink" Target="https://www.abc.net.au/news/2023-03-02/perth-family-faces-deportation-over-son-s-down-syndrome-diagnos/102046834" TargetMode="External"/><Relationship Id="rId13" Type="http://schemas.openxmlformats.org/officeDocument/2006/relationships/hyperlink" Target="https://www.lawreform.vic.gov.au/project/guardianship/" TargetMode="External"/><Relationship Id="rId18" Type="http://schemas.openxmlformats.org/officeDocument/2006/relationships/hyperlink" Target="https://www.gov.uk/government/publications/housing-benefit-urgent-bulletins-2020/hb-bulletin-u12020-rr-v-the-secretary-of-state-for-work-and-pensions" TargetMode="External"/><Relationship Id="rId3" Type="http://schemas.openxmlformats.org/officeDocument/2006/relationships/hyperlink" Target="http://docstore.ohchr.org/SelfServices/FilesHandler.ashx?enc=6QkG1d%2FPPRiCAqhKb7yhsnzSGolKOaUX8SsM2PfxU7sdcbNJQCwlRF9xTca9TaCwjm5OInhspoVv2oxnsujKTREtaVWFXhEZM%2F0OdVJz1UEyF5IeK6Ycmqrn8yzTHQCn" TargetMode="External"/><Relationship Id="rId21" Type="http://schemas.openxmlformats.org/officeDocument/2006/relationships/hyperlink" Target="https://lx.iriss.org.uk/content/human-rights-act-changing-lives-second-edition.html" TargetMode="External"/><Relationship Id="rId7" Type="http://schemas.openxmlformats.org/officeDocument/2006/relationships/hyperlink" Target="http://docstore.ohchr.org/SelfServices/FilesHandler.ashx?enc=6QkG1d%2FPPRiCAqhKb7yhsnzSGolKOaUX8SsM2PfxU7sdcbNJQCwlRF9xTca9TaCwjm5OInhspoVv2oxnsujKTREtaVWFXhEZM%2F0OdVJz1UEyF5IeK6Ycmqrn8yzTHQCn" TargetMode="External"/><Relationship Id="rId12" Type="http://schemas.openxmlformats.org/officeDocument/2006/relationships/hyperlink" Target="https://www.lawreform.vic.gov.au/project/guardianship/" TargetMode="External"/><Relationship Id="rId17" Type="http://schemas.openxmlformats.org/officeDocument/2006/relationships/hyperlink" Target="https://www.health.qld.gov.au/system-governance/legislation/specific/voluntary-assisted-dying-background" TargetMode="External"/><Relationship Id="rId25" Type="http://schemas.openxmlformats.org/officeDocument/2006/relationships/hyperlink" Target="https://disability.royalcommission.gov.au/policy-and-research/research-program" TargetMode="External"/><Relationship Id="rId2" Type="http://schemas.openxmlformats.org/officeDocument/2006/relationships/hyperlink" Target="https://press.un.org/en/2007/070330_Disabilities.doc.htm" TargetMode="External"/><Relationship Id="rId16" Type="http://schemas.openxmlformats.org/officeDocument/2006/relationships/hyperlink" Target="https://www.health.qld.gov.au/system-governance/legislation/specific/voluntary-assisted-dying-background" TargetMode="External"/><Relationship Id="rId20" Type="http://schemas.openxmlformats.org/officeDocument/2006/relationships/hyperlink" Target="https://www.qhrc.qld.gov.au/__data/assets/pdf_file/0005/29534/Human-Rights-Act-Annual-Report-2019-20.pdf" TargetMode="External"/><Relationship Id="rId1" Type="http://schemas.openxmlformats.org/officeDocument/2006/relationships/hyperlink" Target="https://press.un.org/en/2007/070330_Disabilities.doc.htm" TargetMode="External"/><Relationship Id="rId6" Type="http://schemas.openxmlformats.org/officeDocument/2006/relationships/hyperlink" Target="https://humanrights.gov.au/free-and-equal" TargetMode="External"/><Relationship Id="rId11" Type="http://schemas.openxmlformats.org/officeDocument/2006/relationships/hyperlink" Target="https://www.premier.vic.gov.au/major-upgrades-delivered-special-schools" TargetMode="External"/><Relationship Id="rId24" Type="http://schemas.openxmlformats.org/officeDocument/2006/relationships/hyperlink" Target="https://disability.royalcommission.gov.au/policy-and-research/research-program" TargetMode="External"/><Relationship Id="rId5" Type="http://schemas.openxmlformats.org/officeDocument/2006/relationships/hyperlink" Target="https://www.aihw.gov.au/reports/disability/people-with-disability-in-australia/contents/about" TargetMode="External"/><Relationship Id="rId15" Type="http://schemas.openxmlformats.org/officeDocument/2006/relationships/hyperlink" Target="https://www.health.qld.gov.au/system-governance/legislation/specific/voluntary-assisted-dying-background" TargetMode="External"/><Relationship Id="rId23" Type="http://schemas.openxmlformats.org/officeDocument/2006/relationships/hyperlink" Target="https://disability.royalcommission.gov.au/policy-and-research/research-program" TargetMode="External"/><Relationship Id="rId10" Type="http://schemas.openxmlformats.org/officeDocument/2006/relationships/hyperlink" Target="https://disability.royalcommission.gov.au/policy-and-research/research-program" TargetMode="External"/><Relationship Id="rId19" Type="http://schemas.openxmlformats.org/officeDocument/2006/relationships/hyperlink" Target="https://hrc.act.gov.au/resources/corporate-documents/" TargetMode="External"/><Relationship Id="rId4" Type="http://schemas.openxmlformats.org/officeDocument/2006/relationships/hyperlink" Target="https://humanrights.gov.au/free-and-equal" TargetMode="External"/><Relationship Id="rId9" Type="http://schemas.openxmlformats.org/officeDocument/2006/relationships/hyperlink" Target="https://disability.royalcommission.gov.au/policy-and-research/research-program" TargetMode="External"/><Relationship Id="rId14" Type="http://schemas.openxmlformats.org/officeDocument/2006/relationships/hyperlink" Target="https://www.premier.vic.gov.au/victorian-guardianship-reforms-now-law/" TargetMode="External"/><Relationship Id="rId22" Type="http://schemas.openxmlformats.org/officeDocument/2006/relationships/hyperlink" Target="https://humanrights.gov.au/our-work/rights-and-freedoms/nature-obligations-regarding-economic-social-and-cultural-rights"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5" ma:contentTypeDescription="Create a new document." ma:contentTypeScope="" ma:versionID="585fcba33eac6ef75a698b4fd3e180b2">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571cdbb5a9267b8b6f59149a7eac45cd"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4E94A-6192-4F26-8A00-EEEE0781F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0BA26-0897-45D1-86CD-E02ED76900E5}">
  <ds:schemaRefs>
    <ds:schemaRef ds:uri="http://schemas.openxmlformats.org/officeDocument/2006/bibliography"/>
  </ds:schemaRefs>
</ds:datastoreItem>
</file>

<file path=customXml/itemProps3.xml><?xml version="1.0" encoding="utf-8"?>
<ds:datastoreItem xmlns:ds="http://schemas.openxmlformats.org/officeDocument/2006/customXml" ds:itemID="{2A07FA81-5ACA-4836-8846-E6F905BE42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4908</Words>
  <Characters>27981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32824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Ellis</dc:creator>
  <cp:keywords/>
  <dc:description/>
  <cp:lastModifiedBy>Giancarlo de Vera</cp:lastModifiedBy>
  <cp:revision>3</cp:revision>
  <cp:lastPrinted>2023-07-14T07:24:00Z</cp:lastPrinted>
  <dcterms:created xsi:type="dcterms:W3CDTF">2023-07-14T07:24:00Z</dcterms:created>
  <dcterms:modified xsi:type="dcterms:W3CDTF">2023-07-14T07:24:00Z</dcterms:modified>
</cp:coreProperties>
</file>