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0185350"/>
    <w:bookmarkStart w:id="1" w:name="_Toc120188422"/>
    <w:bookmarkStart w:id="2" w:name="_Toc120256619"/>
    <w:bookmarkStart w:id="3" w:name="_Toc120256787"/>
    <w:bookmarkStart w:id="4" w:name="_Toc120270810"/>
    <w:bookmarkStart w:id="5" w:name="_Toc120876354"/>
    <w:bookmarkStart w:id="6" w:name="_Toc121904076"/>
    <w:bookmarkStart w:id="7" w:name="_Toc121904236"/>
    <w:bookmarkStart w:id="8" w:name="_Toc122010535"/>
    <w:bookmarkStart w:id="9" w:name="_Toc136542537"/>
    <w:bookmarkStart w:id="10" w:name="_Toc136544397"/>
    <w:bookmarkStart w:id="11" w:name="_Toc136805640"/>
    <w:bookmarkStart w:id="12" w:name="_Toc136867588"/>
    <w:bookmarkStart w:id="13" w:name="_Toc140496511"/>
    <w:bookmarkStart w:id="14" w:name="_Toc141200521"/>
    <w:bookmarkStart w:id="15" w:name="_Toc144736899"/>
    <w:bookmarkStart w:id="16" w:name="_Toc144737172"/>
    <w:bookmarkStart w:id="17" w:name="_Toc145675282"/>
    <w:bookmarkStart w:id="18" w:name="_Toc146283609"/>
    <w:bookmarkStart w:id="19" w:name="_Toc146291266"/>
    <w:bookmarkStart w:id="20" w:name="_Toc146799961"/>
    <w:bookmarkStart w:id="21" w:name="_Toc146809461"/>
    <w:bookmarkStart w:id="22" w:name="_Toc146809656"/>
    <w:bookmarkStart w:id="23" w:name="_Toc146877509"/>
    <w:p w14:paraId="2ED1F5B0" w14:textId="79667F16" w:rsidR="004F0489" w:rsidRPr="00871656" w:rsidRDefault="007D215F" w:rsidP="00BA1B07">
      <w:pPr>
        <w:pStyle w:val="Heading1"/>
        <w:spacing w:line="336" w:lineRule="auto"/>
        <w:rPr>
          <w:rFonts w:asciiTheme="minorHAnsi" w:hAnsiTheme="minorHAnsi" w:cstheme="minorHAnsi"/>
        </w:rPr>
      </w:pPr>
      <w:r w:rsidRPr="00871656">
        <w:rPr>
          <w:rFonts w:asciiTheme="minorHAnsi" w:hAnsiTheme="minorHAnsi" w:cstheme="minorHAnsi"/>
          <w:noProof/>
        </w:rPr>
        <mc:AlternateContent>
          <mc:Choice Requires="wps">
            <w:drawing>
              <wp:inline distT="0" distB="0" distL="0" distR="0" wp14:anchorId="56B519DB" wp14:editId="4A7BA022">
                <wp:extent cx="2394066" cy="556953"/>
                <wp:effectExtent l="0" t="0" r="0" b="0"/>
                <wp:docPr id="1" name="Rectangle 1" descr="People with Disability Australia logo"/>
                <wp:cNvGraphicFramePr/>
                <a:graphic xmlns:a="http://schemas.openxmlformats.org/drawingml/2006/main">
                  <a:graphicData uri="http://schemas.microsoft.com/office/word/2010/wordprocessingShape">
                    <wps:wsp>
                      <wps:cNvSpPr/>
                      <wps:spPr>
                        <a:xfrm>
                          <a:off x="0" y="0"/>
                          <a:ext cx="2394066" cy="5569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E9EBE9" id="Rectangle 1" o:spid="_x0000_s1026" alt="People with Disability Australia logo" style="width:188.5pt;height:4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" filled="f" stroked="f" strokeweight="1pt">
                <w10:anchorlock/>
              </v:rect>
            </w:pict>
          </mc:Fallback>
        </mc:AlternateContent>
      </w:r>
      <w:bookmarkStart w:id="24" w:name="_Toc136542538"/>
      <w:bookmarkStart w:id="25" w:name="_Toc136544398"/>
      <w:bookmarkStart w:id="26" w:name="_Toc136805641"/>
      <w:bookmarkStart w:id="27" w:name="_Toc136867589"/>
      <w:bookmarkStart w:id="28" w:name="_Toc140496512"/>
      <w:bookmarkStart w:id="29" w:name="_Toc121904078"/>
      <w:bookmarkStart w:id="30" w:name="_Toc121904238"/>
      <w:bookmarkStart w:id="31" w:name="_Toc122010537"/>
      <w:bookmarkStart w:id="32" w:name="_Toc136542539"/>
      <w:bookmarkStart w:id="33" w:name="_Toc136544399"/>
      <w:bookmarkStart w:id="34" w:name="_Toc136805642"/>
      <w:bookmarkStart w:id="35" w:name="_Toc13686759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6337AEF7" w14:textId="5FEC2E20" w:rsidR="00A7688C" w:rsidRPr="00755E1A" w:rsidRDefault="00492CA3" w:rsidP="001F3602">
      <w:pPr>
        <w:pStyle w:val="Heading1"/>
        <w:spacing w:line="240" w:lineRule="auto"/>
        <w:jc w:val="center"/>
        <w:rPr>
          <w:rFonts w:cstheme="minorHAnsi"/>
          <w:color w:val="FFFFFF" w:themeColor="background1"/>
        </w:rPr>
      </w:pPr>
      <w:bookmarkStart w:id="36" w:name="_Toc146809462"/>
      <w:bookmarkStart w:id="37" w:name="_Toc146877510"/>
      <w:bookmarkEnd w:id="24"/>
      <w:bookmarkEnd w:id="25"/>
      <w:bookmarkEnd w:id="26"/>
      <w:bookmarkEnd w:id="27"/>
      <w:bookmarkEnd w:id="28"/>
      <w:r>
        <w:rPr>
          <w:rFonts w:cstheme="minorHAnsi"/>
          <w:color w:val="FFFFFF" w:themeColor="background1"/>
        </w:rPr>
        <w:t xml:space="preserve">Making </w:t>
      </w:r>
      <w:r w:rsidR="00473CFE">
        <w:rPr>
          <w:rFonts w:cstheme="minorHAnsi"/>
          <w:color w:val="FFFFFF" w:themeColor="background1"/>
        </w:rPr>
        <w:t xml:space="preserve">NSW </w:t>
      </w:r>
      <w:r>
        <w:rPr>
          <w:rFonts w:cstheme="minorHAnsi"/>
          <w:color w:val="FFFFFF" w:themeColor="background1"/>
        </w:rPr>
        <w:t>discrimination laws work for people with disability</w:t>
      </w:r>
      <w:bookmarkEnd w:id="36"/>
      <w:bookmarkEnd w:id="37"/>
      <w:r>
        <w:rPr>
          <w:rFonts w:cstheme="minorHAnsi"/>
          <w:color w:val="FFFFFF" w:themeColor="background1"/>
        </w:rPr>
        <w:t xml:space="preserve"> </w:t>
      </w:r>
    </w:p>
    <w:p w14:paraId="2F00B221" w14:textId="187933F5" w:rsidR="002D32E8" w:rsidRPr="00871656" w:rsidRDefault="00336BBA" w:rsidP="00BA1B07">
      <w:pPr>
        <w:pStyle w:val="Heading1"/>
        <w:spacing w:line="336" w:lineRule="auto"/>
        <w:jc w:val="center"/>
        <w:rPr>
          <w:rFonts w:asciiTheme="minorHAnsi" w:hAnsiTheme="minorHAnsi" w:cstheme="minorHAnsi"/>
          <w:b w:val="0"/>
          <w:bCs/>
          <w:color w:val="FFFFFF" w:themeColor="background1"/>
          <w:sz w:val="24"/>
          <w:szCs w:val="24"/>
        </w:rPr>
      </w:pPr>
      <w:bookmarkStart w:id="38" w:name="_Toc140496513"/>
      <w:bookmarkStart w:id="39" w:name="_Toc141200524"/>
      <w:bookmarkStart w:id="40" w:name="_Toc144736902"/>
      <w:bookmarkStart w:id="41" w:name="_Toc144737175"/>
      <w:bookmarkStart w:id="42" w:name="_Toc146291268"/>
      <w:bookmarkStart w:id="43" w:name="_Toc146809463"/>
      <w:bookmarkStart w:id="44" w:name="_Toc146877511"/>
      <w:r w:rsidRPr="00871656">
        <w:rPr>
          <w:rFonts w:asciiTheme="minorHAnsi" w:eastAsiaTheme="minorHAnsi" w:hAnsiTheme="minorHAnsi" w:cstheme="minorHAnsi"/>
          <w:b w:val="0"/>
          <w:bCs/>
          <w:color w:val="FFFFFF" w:themeColor="background1"/>
          <w:sz w:val="24"/>
          <w:szCs w:val="24"/>
        </w:rPr>
        <w:t>Submission</w:t>
      </w:r>
      <w:r w:rsidR="002937C8" w:rsidRPr="00871656">
        <w:rPr>
          <w:rFonts w:asciiTheme="minorHAnsi" w:hAnsiTheme="minorHAnsi" w:cstheme="minorHAnsi"/>
          <w:b w:val="0"/>
          <w:bCs/>
          <w:noProof/>
          <w:color w:val="FFFFFF" w:themeColor="background1"/>
          <w:sz w:val="24"/>
          <w:szCs w:val="24"/>
          <w:lang w:eastAsia="en-AU"/>
        </w:rPr>
        <w:drawing>
          <wp:anchor distT="0" distB="0" distL="114300" distR="114300" simplePos="0" relativeHeight="251662336" behindDoc="1" locked="1" layoutInCell="1" allowOverlap="1" wp14:anchorId="329DC500" wp14:editId="11B763EF">
            <wp:simplePos x="0" y="0"/>
            <wp:positionH relativeFrom="page">
              <wp:align>right</wp:align>
            </wp:positionH>
            <wp:positionV relativeFrom="page">
              <wp:align>top</wp:align>
            </wp:positionV>
            <wp:extent cx="7559675" cy="1069086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bookmarkEnd w:id="29"/>
      <w:bookmarkEnd w:id="30"/>
      <w:r w:rsidR="00E577A1" w:rsidRPr="00871656">
        <w:rPr>
          <w:rFonts w:asciiTheme="minorHAnsi" w:eastAsiaTheme="minorHAnsi" w:hAnsiTheme="minorHAnsi" w:cstheme="minorHAnsi"/>
          <w:b w:val="0"/>
          <w:bCs/>
          <w:color w:val="FFFFFF" w:themeColor="background1"/>
          <w:sz w:val="24"/>
          <w:szCs w:val="24"/>
        </w:rPr>
        <w:t xml:space="preserve"> to the</w:t>
      </w:r>
      <w:r w:rsidR="00773B68" w:rsidRPr="00871656">
        <w:rPr>
          <w:rFonts w:asciiTheme="minorHAnsi" w:eastAsiaTheme="minorHAnsi" w:hAnsiTheme="minorHAnsi" w:cstheme="minorHAnsi"/>
          <w:b w:val="0"/>
          <w:bCs/>
          <w:color w:val="FFFFFF" w:themeColor="background1"/>
          <w:sz w:val="24"/>
          <w:szCs w:val="24"/>
        </w:rPr>
        <w:t xml:space="preserve"> </w:t>
      </w:r>
      <w:bookmarkEnd w:id="31"/>
      <w:bookmarkEnd w:id="32"/>
      <w:bookmarkEnd w:id="33"/>
      <w:bookmarkEnd w:id="34"/>
      <w:bookmarkEnd w:id="35"/>
      <w:bookmarkEnd w:id="38"/>
      <w:bookmarkEnd w:id="39"/>
      <w:r w:rsidR="000006FE" w:rsidRPr="00871656">
        <w:rPr>
          <w:rFonts w:asciiTheme="minorHAnsi" w:eastAsiaTheme="minorHAnsi" w:hAnsiTheme="minorHAnsi" w:cstheme="minorHAnsi"/>
          <w:b w:val="0"/>
          <w:bCs/>
          <w:color w:val="FFFFFF" w:themeColor="background1"/>
          <w:sz w:val="24"/>
          <w:szCs w:val="24"/>
        </w:rPr>
        <w:t>NSW Law Reform Commission</w:t>
      </w:r>
      <w:r w:rsidR="00755E1A">
        <w:rPr>
          <w:rFonts w:asciiTheme="minorHAnsi" w:eastAsiaTheme="minorHAnsi" w:hAnsiTheme="minorHAnsi" w:cstheme="minorHAnsi"/>
          <w:b w:val="0"/>
          <w:bCs/>
          <w:color w:val="FFFFFF" w:themeColor="background1"/>
          <w:sz w:val="24"/>
          <w:szCs w:val="24"/>
        </w:rPr>
        <w:t>’s</w:t>
      </w:r>
      <w:r w:rsidR="000006FE" w:rsidRPr="00871656">
        <w:rPr>
          <w:rFonts w:asciiTheme="minorHAnsi" w:eastAsiaTheme="minorHAnsi" w:hAnsiTheme="minorHAnsi" w:cstheme="minorHAnsi"/>
          <w:b w:val="0"/>
          <w:bCs/>
          <w:color w:val="FFFFFF" w:themeColor="background1"/>
          <w:sz w:val="24"/>
          <w:szCs w:val="24"/>
        </w:rPr>
        <w:t xml:space="preserve"> review of the </w:t>
      </w:r>
      <w:r w:rsidR="000006FE" w:rsidRPr="00871656">
        <w:rPr>
          <w:rFonts w:asciiTheme="minorHAnsi" w:eastAsiaTheme="minorHAnsi" w:hAnsiTheme="minorHAnsi" w:cstheme="minorHAnsi"/>
          <w:b w:val="0"/>
          <w:bCs/>
          <w:i/>
          <w:iCs/>
          <w:color w:val="FFFFFF" w:themeColor="background1"/>
          <w:sz w:val="24"/>
          <w:szCs w:val="24"/>
        </w:rPr>
        <w:t>Anti-Discrimination Act 1977</w:t>
      </w:r>
      <w:r w:rsidR="000006FE" w:rsidRPr="00871656">
        <w:rPr>
          <w:rFonts w:asciiTheme="minorHAnsi" w:eastAsiaTheme="minorHAnsi" w:hAnsiTheme="minorHAnsi" w:cstheme="minorHAnsi"/>
          <w:b w:val="0"/>
          <w:bCs/>
          <w:color w:val="FFFFFF" w:themeColor="background1"/>
          <w:sz w:val="24"/>
          <w:szCs w:val="24"/>
        </w:rPr>
        <w:t xml:space="preserve"> (NSW)</w:t>
      </w:r>
      <w:bookmarkEnd w:id="40"/>
      <w:bookmarkEnd w:id="41"/>
      <w:bookmarkEnd w:id="42"/>
      <w:bookmarkEnd w:id="43"/>
      <w:bookmarkEnd w:id="44"/>
    </w:p>
    <w:p w14:paraId="7D601F01" w14:textId="187DBEA7" w:rsidR="002937C8" w:rsidRPr="00871656" w:rsidRDefault="006F4C6F" w:rsidP="00BA1B07">
      <w:pPr>
        <w:pStyle w:val="BodyText"/>
        <w:spacing w:line="336" w:lineRule="auto"/>
        <w:rPr>
          <w:rFonts w:asciiTheme="minorHAnsi" w:hAnsiTheme="minorHAnsi" w:cstheme="minorHAnsi"/>
        </w:rPr>
        <w:sectPr w:rsidR="002937C8" w:rsidRPr="00871656" w:rsidSect="007D215F">
          <w:footerReference w:type="default" r:id="rId12"/>
          <w:pgSz w:w="11906" w:h="16838" w:code="9"/>
          <w:pgMar w:top="8222" w:right="1134" w:bottom="1928" w:left="3686" w:header="284" w:footer="510" w:gutter="0"/>
          <w:cols w:space="708"/>
          <w:docGrid w:linePitch="360"/>
        </w:sectPr>
      </w:pPr>
      <w:r w:rsidRPr="00871656">
        <w:rPr>
          <w:rFonts w:asciiTheme="minorHAnsi" w:hAnsiTheme="minorHAnsi" w:cstheme="minorHAnsi"/>
          <w:noProof/>
          <w:sz w:val="56"/>
          <w:lang w:eastAsia="en-AU"/>
        </w:rPr>
        <mc:AlternateContent>
          <mc:Choice Requires="wps">
            <w:drawing>
              <wp:anchor distT="0" distB="0" distL="114300" distR="114300" simplePos="0" relativeHeight="251688960" behindDoc="0" locked="0" layoutInCell="1" allowOverlap="1" wp14:anchorId="3E5E88C6" wp14:editId="30939BDE">
                <wp:simplePos x="0" y="0"/>
                <wp:positionH relativeFrom="page">
                  <wp:posOffset>542128</wp:posOffset>
                </wp:positionH>
                <wp:positionV relativeFrom="page">
                  <wp:posOffset>9399152</wp:posOffset>
                </wp:positionV>
                <wp:extent cx="1296000" cy="1052423"/>
                <wp:effectExtent l="0" t="0" r="0" b="14605"/>
                <wp:wrapNone/>
                <wp:docPr id="6" name="Text Box 6"/>
                <wp:cNvGraphicFramePr/>
                <a:graphic xmlns:a="http://schemas.openxmlformats.org/drawingml/2006/main">
                  <a:graphicData uri="http://schemas.microsoft.com/office/word/2010/wordprocessingShape">
                    <wps:wsp>
                      <wps:cNvSpPr txBox="1"/>
                      <wps:spPr>
                        <a:xfrm>
                          <a:off x="0" y="0"/>
                          <a:ext cx="1296000" cy="1052423"/>
                        </a:xfrm>
                        <a:prstGeom prst="rect">
                          <a:avLst/>
                        </a:prstGeom>
                        <a:noFill/>
                        <a:ln w="6350">
                          <a:noFill/>
                        </a:ln>
                      </wps:spPr>
                      <wps:txbx>
                        <w:txbxContent>
                          <w:p w14:paraId="02790F45" w14:textId="1C973943" w:rsidR="006F4C6F" w:rsidRDefault="00F758A5" w:rsidP="006F4C6F">
                            <w:pPr>
                              <w:pStyle w:val="TitleDate"/>
                              <w:rPr>
                                <w:rFonts w:ascii="VAG Rounded" w:hAnsi="VAG Rounded"/>
                                <w:lang w:val="en-US"/>
                              </w:rPr>
                            </w:pPr>
                            <w:r>
                              <w:rPr>
                                <w:rFonts w:ascii="VAG Rounded" w:hAnsi="VAG Rounded"/>
                                <w:lang w:val="en-US"/>
                              </w:rPr>
                              <w:t>Sept</w:t>
                            </w:r>
                          </w:p>
                          <w:p w14:paraId="794B7526" w14:textId="55E2105E" w:rsidR="006F4C6F" w:rsidRPr="000A3A30" w:rsidRDefault="006F4C6F" w:rsidP="006F4C6F">
                            <w:pPr>
                              <w:pStyle w:val="TitleDate"/>
                              <w:rPr>
                                <w:rFonts w:ascii="VAG Rounded" w:hAnsi="VAG Rounded"/>
                                <w:lang w:val="en-US"/>
                              </w:rPr>
                            </w:pPr>
                            <w:r>
                              <w:rPr>
                                <w:rFonts w:ascii="VAG Rounded" w:hAnsi="VAG Rounded"/>
                                <w:lang w:val="en-US"/>
                              </w:rPr>
                              <w:t>202</w:t>
                            </w:r>
                            <w:r w:rsidR="00BB4F37">
                              <w:rPr>
                                <w:rFonts w:ascii="VAG Rounded" w:hAnsi="VAG Rounded"/>
                                <w:lang w:val="en-US"/>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E88C6" id="_x0000_t202" coordsize="21600,21600" o:spt="202" path="m,l,21600r21600,l21600,xe">
                <v:stroke joinstyle="miter"/>
                <v:path gradientshapeok="t" o:connecttype="rect"/>
              </v:shapetype>
              <v:shape id="Text Box 6" o:spid="_x0000_s1026" type="#_x0000_t202" style="position:absolute;margin-left:42.7pt;margin-top:740.1pt;width:102.05pt;height:82.8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" filled="f" stroked="f" strokeweight=".5pt">
                <v:textbox inset="0,0,0,0">
                  <w:txbxContent>
                    <w:p w14:paraId="02790F45" w14:textId="1C973943" w:rsidR="006F4C6F" w:rsidRDefault="00F758A5" w:rsidP="006F4C6F">
                      <w:pPr>
                        <w:pStyle w:val="TitleDate"/>
                        <w:rPr>
                          <w:rFonts w:ascii="VAG Rounded" w:hAnsi="VAG Rounded"/>
                          <w:lang w:val="en-US"/>
                        </w:rPr>
                      </w:pPr>
                      <w:r>
                        <w:rPr>
                          <w:rFonts w:ascii="VAG Rounded" w:hAnsi="VAG Rounded"/>
                          <w:lang w:val="en-US"/>
                        </w:rPr>
                        <w:t>Sept</w:t>
                      </w:r>
                    </w:p>
                    <w:p w14:paraId="794B7526" w14:textId="55E2105E" w:rsidR="006F4C6F" w:rsidRPr="000A3A30" w:rsidRDefault="006F4C6F" w:rsidP="006F4C6F">
                      <w:pPr>
                        <w:pStyle w:val="TitleDate"/>
                        <w:rPr>
                          <w:rFonts w:ascii="VAG Rounded" w:hAnsi="VAG Rounded"/>
                          <w:lang w:val="en-US"/>
                        </w:rPr>
                      </w:pPr>
                      <w:r>
                        <w:rPr>
                          <w:rFonts w:ascii="VAG Rounded" w:hAnsi="VAG Rounded"/>
                          <w:lang w:val="en-US"/>
                        </w:rPr>
                        <w:t>202</w:t>
                      </w:r>
                      <w:r w:rsidR="00BB4F37">
                        <w:rPr>
                          <w:rFonts w:ascii="VAG Rounded" w:hAnsi="VAG Rounded"/>
                          <w:lang w:val="en-US"/>
                        </w:rPr>
                        <w:t>3</w:t>
                      </w:r>
                    </w:p>
                  </w:txbxContent>
                </v:textbox>
                <w10:wrap anchorx="page" anchory="page"/>
              </v:shape>
            </w:pict>
          </mc:Fallback>
        </mc:AlternateContent>
      </w:r>
    </w:p>
    <w:p w14:paraId="6A4BBF03" w14:textId="229B5A94" w:rsidR="00755E1A" w:rsidRPr="008A3ECE" w:rsidRDefault="001818A8" w:rsidP="00BA1B07">
      <w:pPr>
        <w:pStyle w:val="Heading1"/>
        <w:spacing w:line="336" w:lineRule="auto"/>
        <w:rPr>
          <w:sz w:val="52"/>
          <w:szCs w:val="52"/>
        </w:rPr>
      </w:pPr>
      <w:bookmarkStart w:id="45" w:name="_Toc121904239"/>
      <w:bookmarkStart w:id="46" w:name="_Toc122010538"/>
      <w:bookmarkStart w:id="47" w:name="_Toc136542540"/>
      <w:bookmarkStart w:id="48" w:name="_Toc136544400"/>
      <w:bookmarkStart w:id="49" w:name="_Toc136805643"/>
      <w:bookmarkStart w:id="50" w:name="_Toc136867591"/>
      <w:bookmarkStart w:id="51" w:name="_Toc144736903"/>
      <w:bookmarkStart w:id="52" w:name="_Toc144737176"/>
      <w:bookmarkStart w:id="53" w:name="_Toc146291269"/>
      <w:bookmarkStart w:id="54" w:name="_Toc146809464"/>
      <w:bookmarkStart w:id="55" w:name="_Toc146877512"/>
      <w:bookmarkStart w:id="56" w:name="_Toc511064385"/>
      <w:r w:rsidRPr="008A3ECE">
        <w:rPr>
          <w:sz w:val="52"/>
          <w:szCs w:val="52"/>
        </w:rPr>
        <w:lastRenderedPageBreak/>
        <w:t>Copyright information</w:t>
      </w:r>
      <w:bookmarkStart w:id="57" w:name="_Hlk120864433"/>
      <w:bookmarkEnd w:id="45"/>
      <w:bookmarkEnd w:id="46"/>
      <w:bookmarkEnd w:id="47"/>
      <w:bookmarkEnd w:id="48"/>
      <w:bookmarkEnd w:id="49"/>
      <w:bookmarkEnd w:id="50"/>
      <w:bookmarkEnd w:id="51"/>
      <w:bookmarkEnd w:id="52"/>
      <w:bookmarkEnd w:id="53"/>
      <w:bookmarkEnd w:id="54"/>
      <w:bookmarkEnd w:id="55"/>
    </w:p>
    <w:p w14:paraId="2934F88C" w14:textId="08CD8B13" w:rsidR="00336BBA" w:rsidRPr="00871656" w:rsidRDefault="00492CA3" w:rsidP="00BA1B07">
      <w:pPr>
        <w:pStyle w:val="BodyText"/>
        <w:spacing w:before="0" w:after="0" w:line="240" w:lineRule="auto"/>
        <w:rPr>
          <w:rFonts w:asciiTheme="minorHAnsi" w:hAnsiTheme="minorHAnsi" w:cstheme="minorHAnsi"/>
          <w:i/>
          <w:iCs/>
          <w:lang w:val="en-AU"/>
        </w:rPr>
      </w:pPr>
      <w:r>
        <w:rPr>
          <w:rFonts w:asciiTheme="minorHAnsi" w:hAnsiTheme="minorHAnsi" w:cstheme="minorHAnsi"/>
          <w:i/>
          <w:iCs/>
        </w:rPr>
        <w:t xml:space="preserve">Making </w:t>
      </w:r>
      <w:r w:rsidR="000529ED">
        <w:rPr>
          <w:rFonts w:asciiTheme="minorHAnsi" w:hAnsiTheme="minorHAnsi" w:cstheme="minorHAnsi"/>
          <w:i/>
          <w:iCs/>
        </w:rPr>
        <w:t xml:space="preserve">NSW </w:t>
      </w:r>
      <w:r>
        <w:rPr>
          <w:rFonts w:asciiTheme="minorHAnsi" w:hAnsiTheme="minorHAnsi" w:cstheme="minorHAnsi"/>
          <w:i/>
          <w:iCs/>
        </w:rPr>
        <w:t>discrimination laws work for people with disability</w:t>
      </w:r>
      <w:r w:rsidR="009B4267" w:rsidRPr="00871656">
        <w:rPr>
          <w:rFonts w:asciiTheme="minorHAnsi" w:hAnsiTheme="minorHAnsi" w:cstheme="minorHAnsi"/>
          <w:i/>
          <w:iCs/>
        </w:rPr>
        <w:t xml:space="preserve"> – Submission to the </w:t>
      </w:r>
      <w:r w:rsidR="00820575" w:rsidRPr="00871656">
        <w:rPr>
          <w:rFonts w:asciiTheme="minorHAnsi" w:hAnsiTheme="minorHAnsi" w:cstheme="minorHAnsi"/>
          <w:i/>
          <w:iCs/>
        </w:rPr>
        <w:t>NSW Law Reform Commission review of the Anti-Discrimination Act 1977 (NSW).</w:t>
      </w:r>
    </w:p>
    <w:bookmarkEnd w:id="57"/>
    <w:p w14:paraId="702FE008" w14:textId="77777777" w:rsidR="00336BBA" w:rsidRPr="00871656" w:rsidRDefault="00336BBA" w:rsidP="00BA1B07">
      <w:pPr>
        <w:pStyle w:val="BodyText"/>
        <w:spacing w:before="0" w:after="0" w:line="240" w:lineRule="auto"/>
        <w:rPr>
          <w:rFonts w:asciiTheme="minorHAnsi" w:hAnsiTheme="minorHAnsi" w:cstheme="minorHAnsi"/>
          <w:i/>
          <w:iCs/>
        </w:rPr>
      </w:pPr>
    </w:p>
    <w:p w14:paraId="77B2968D" w14:textId="3F12C461" w:rsidR="00336BBA" w:rsidRPr="00871656" w:rsidRDefault="00336BBA" w:rsidP="00BA1B07">
      <w:pPr>
        <w:pStyle w:val="BodyText"/>
        <w:spacing w:before="0" w:after="0" w:line="240" w:lineRule="auto"/>
        <w:rPr>
          <w:rStyle w:val="Hyperlink"/>
          <w:rFonts w:asciiTheme="minorHAnsi" w:hAnsiTheme="minorHAnsi" w:cstheme="minorHAnsi"/>
          <w:bCs/>
        </w:rPr>
      </w:pPr>
      <w:r w:rsidRPr="00871656">
        <w:rPr>
          <w:rFonts w:asciiTheme="minorHAnsi" w:hAnsiTheme="minorHAnsi" w:cstheme="minorHAnsi"/>
        </w:rPr>
        <w:t>First published in 202</w:t>
      </w:r>
      <w:r w:rsidR="004F0489" w:rsidRPr="00871656">
        <w:rPr>
          <w:rFonts w:asciiTheme="minorHAnsi" w:hAnsiTheme="minorHAnsi" w:cstheme="minorHAnsi"/>
        </w:rPr>
        <w:t>3</w:t>
      </w:r>
      <w:r w:rsidRPr="00871656">
        <w:rPr>
          <w:rFonts w:asciiTheme="minorHAnsi" w:hAnsiTheme="minorHAnsi" w:cstheme="minorHAnsi"/>
        </w:rPr>
        <w:t xml:space="preserve"> by People with Disability Australia Ltd.</w:t>
      </w:r>
      <w:r w:rsidRPr="00871656">
        <w:rPr>
          <w:rFonts w:asciiTheme="minorHAnsi" w:hAnsiTheme="minorHAnsi" w:cstheme="minorHAnsi"/>
        </w:rPr>
        <w:br/>
        <w:t>Level 8, 418a Elizabeth Street, Surry Hills, New South Wales, Australia 2010</w:t>
      </w:r>
      <w:r w:rsidRPr="00871656">
        <w:rPr>
          <w:rFonts w:asciiTheme="minorHAnsi" w:hAnsiTheme="minorHAnsi" w:cstheme="minorHAnsi"/>
        </w:rPr>
        <w:br/>
        <w:t>Head office also in Sydney</w:t>
      </w:r>
      <w:r w:rsidRPr="00871656">
        <w:rPr>
          <w:rFonts w:asciiTheme="minorHAnsi" w:hAnsiTheme="minorHAnsi" w:cstheme="minorHAnsi"/>
        </w:rPr>
        <w:br/>
        <w:t>Email:</w:t>
      </w:r>
      <w:r w:rsidRPr="00871656">
        <w:rPr>
          <w:rFonts w:asciiTheme="minorHAnsi" w:hAnsiTheme="minorHAnsi" w:cstheme="minorHAnsi"/>
          <w:b/>
          <w:bCs/>
        </w:rPr>
        <w:t xml:space="preserve"> </w:t>
      </w:r>
      <w:hyperlink r:id="rId13" w:history="1">
        <w:r w:rsidR="00991E26" w:rsidRPr="00871656">
          <w:rPr>
            <w:rStyle w:val="Hyperlink"/>
            <w:rFonts w:asciiTheme="minorHAnsi" w:hAnsiTheme="minorHAnsi" w:cstheme="minorHAnsi"/>
            <w:bCs/>
          </w:rPr>
          <w:t>pwd@pwd.org.au</w:t>
        </w:r>
      </w:hyperlink>
      <w:r w:rsidRPr="00871656">
        <w:rPr>
          <w:rFonts w:asciiTheme="minorHAnsi" w:hAnsiTheme="minorHAnsi" w:cstheme="minorHAnsi"/>
        </w:rPr>
        <w:br/>
        <w:t>Phone: +61 2 9370 3100 Fax: +61 2 9318 1372</w:t>
      </w:r>
      <w:r w:rsidRPr="00871656">
        <w:rPr>
          <w:rFonts w:asciiTheme="minorHAnsi" w:hAnsiTheme="minorHAnsi" w:cstheme="minorHAnsi"/>
        </w:rPr>
        <w:br/>
        <w:t xml:space="preserve">URL: </w:t>
      </w:r>
      <w:hyperlink r:id="rId14" w:history="1">
        <w:r w:rsidRPr="00871656">
          <w:rPr>
            <w:rStyle w:val="Hyperlink"/>
            <w:rFonts w:asciiTheme="minorHAnsi" w:hAnsiTheme="minorHAnsi" w:cstheme="minorHAnsi"/>
            <w:bCs/>
          </w:rPr>
          <w:t>www.pwd.org.au</w:t>
        </w:r>
      </w:hyperlink>
    </w:p>
    <w:p w14:paraId="1946A4F9" w14:textId="77777777" w:rsidR="00336BBA" w:rsidRPr="00871656" w:rsidRDefault="00336BBA" w:rsidP="00BA1B07">
      <w:pPr>
        <w:pStyle w:val="BodyText"/>
        <w:spacing w:before="0" w:after="0" w:line="240" w:lineRule="auto"/>
        <w:rPr>
          <w:rFonts w:asciiTheme="minorHAnsi" w:hAnsiTheme="minorHAnsi" w:cstheme="minorHAnsi"/>
        </w:rPr>
      </w:pPr>
    </w:p>
    <w:p w14:paraId="4633A0C6" w14:textId="79F2B4E5" w:rsidR="00336BBA" w:rsidRPr="00871656" w:rsidRDefault="00336BBA" w:rsidP="00BA1B07">
      <w:pPr>
        <w:pStyle w:val="BodyText"/>
        <w:spacing w:before="0" w:after="0" w:line="240" w:lineRule="auto"/>
        <w:rPr>
          <w:rFonts w:asciiTheme="minorHAnsi" w:hAnsiTheme="minorHAnsi" w:cstheme="minorHAnsi"/>
        </w:rPr>
      </w:pPr>
      <w:r w:rsidRPr="00871656">
        <w:rPr>
          <w:rFonts w:asciiTheme="minorHAnsi" w:hAnsiTheme="minorHAnsi" w:cstheme="minorHAnsi"/>
        </w:rPr>
        <w:t xml:space="preserve">Typeset in Arial 12 and 14 pt and VAG Rounded </w:t>
      </w:r>
      <w:r w:rsidR="008A3ECE">
        <w:rPr>
          <w:rFonts w:asciiTheme="minorHAnsi" w:hAnsiTheme="minorHAnsi" w:cstheme="minorHAnsi"/>
        </w:rPr>
        <w:t xml:space="preserve">16 and </w:t>
      </w:r>
      <w:r w:rsidRPr="00871656">
        <w:rPr>
          <w:rFonts w:asciiTheme="minorHAnsi" w:hAnsiTheme="minorHAnsi" w:cstheme="minorHAnsi"/>
        </w:rPr>
        <w:t>26 pt</w:t>
      </w:r>
    </w:p>
    <w:p w14:paraId="45ABAE3C" w14:textId="77777777" w:rsidR="00336BBA" w:rsidRPr="00871656" w:rsidRDefault="00336BBA" w:rsidP="00BA1B07">
      <w:pPr>
        <w:pStyle w:val="BodyText"/>
        <w:spacing w:before="0" w:after="0" w:line="240" w:lineRule="auto"/>
        <w:rPr>
          <w:rFonts w:asciiTheme="minorHAnsi" w:hAnsiTheme="minorHAnsi" w:cstheme="minorHAnsi"/>
        </w:rPr>
      </w:pPr>
    </w:p>
    <w:p w14:paraId="6648199F" w14:textId="7707EFBF" w:rsidR="00336BBA" w:rsidRPr="00871656" w:rsidRDefault="00336BBA" w:rsidP="00BA1B07">
      <w:pPr>
        <w:pStyle w:val="BodyText"/>
        <w:spacing w:before="0" w:after="0" w:line="240" w:lineRule="auto"/>
        <w:rPr>
          <w:rFonts w:asciiTheme="minorHAnsi" w:hAnsiTheme="minorHAnsi" w:cstheme="minorHAnsi"/>
        </w:rPr>
      </w:pPr>
      <w:r w:rsidRPr="00871656">
        <w:rPr>
          <w:rFonts w:asciiTheme="minorHAnsi" w:hAnsiTheme="minorHAnsi" w:cstheme="minorHAnsi"/>
        </w:rPr>
        <w:t>© People with Disability Australia Ltd. 202</w:t>
      </w:r>
      <w:r w:rsidR="005D6A81" w:rsidRPr="00871656">
        <w:rPr>
          <w:rFonts w:asciiTheme="minorHAnsi" w:hAnsiTheme="minorHAnsi" w:cstheme="minorHAnsi"/>
        </w:rPr>
        <w:t>3</w:t>
      </w:r>
    </w:p>
    <w:p w14:paraId="770BE331" w14:textId="77777777" w:rsidR="00336BBA" w:rsidRPr="00871656" w:rsidRDefault="00336BBA" w:rsidP="00BA1B07">
      <w:pPr>
        <w:pStyle w:val="BodyText"/>
        <w:spacing w:before="0" w:after="0" w:line="240" w:lineRule="auto"/>
        <w:rPr>
          <w:rFonts w:asciiTheme="minorHAnsi" w:hAnsiTheme="minorHAnsi" w:cstheme="minorHAnsi"/>
        </w:rPr>
      </w:pPr>
    </w:p>
    <w:p w14:paraId="1E17C75D" w14:textId="77777777" w:rsidR="00336BBA" w:rsidRPr="00871656" w:rsidRDefault="00336BBA" w:rsidP="00BA1B07">
      <w:pPr>
        <w:pStyle w:val="BodyText"/>
        <w:spacing w:before="0" w:after="0" w:line="240" w:lineRule="auto"/>
        <w:rPr>
          <w:rFonts w:asciiTheme="minorHAnsi" w:hAnsiTheme="minorHAnsi" w:cstheme="minorHAnsi"/>
        </w:rPr>
      </w:pPr>
      <w:r w:rsidRPr="00871656">
        <w:rPr>
          <w:rFonts w:asciiTheme="minorHAnsi" w:hAnsiTheme="minorHAnsi" w:cstheme="minorHAnsi"/>
        </w:rPr>
        <w:t>The moral rights of the authors have been asserted</w:t>
      </w:r>
    </w:p>
    <w:p w14:paraId="1147F84E" w14:textId="77777777" w:rsidR="00336BBA" w:rsidRPr="00871656" w:rsidRDefault="00336BBA" w:rsidP="00BA1B07">
      <w:pPr>
        <w:pStyle w:val="BodyText"/>
        <w:spacing w:before="0" w:after="0" w:line="240" w:lineRule="auto"/>
        <w:rPr>
          <w:rFonts w:asciiTheme="minorHAnsi" w:hAnsiTheme="minorHAnsi" w:cstheme="minorHAnsi"/>
        </w:rPr>
      </w:pPr>
    </w:p>
    <w:p w14:paraId="110D80AF" w14:textId="77777777" w:rsidR="00336BBA" w:rsidRPr="00871656" w:rsidRDefault="00336BBA" w:rsidP="00BA1B07">
      <w:pPr>
        <w:pStyle w:val="BodyText"/>
        <w:spacing w:before="0" w:after="0" w:line="240" w:lineRule="auto"/>
        <w:rPr>
          <w:rFonts w:asciiTheme="minorHAnsi" w:hAnsiTheme="minorHAnsi" w:cstheme="minorHAnsi"/>
        </w:rPr>
      </w:pPr>
      <w:r w:rsidRPr="00871656">
        <w:rPr>
          <w:rFonts w:asciiTheme="minorHAnsi" w:hAnsiTheme="minorHAnsi" w:cstheme="minorHAnsi"/>
        </w:rPr>
        <w:t>National Library of Australia Cataloguing-in-Publication data:</w:t>
      </w:r>
    </w:p>
    <w:p w14:paraId="4E0E83D4" w14:textId="77777777" w:rsidR="00336BBA" w:rsidRPr="00871656" w:rsidRDefault="00336BBA" w:rsidP="00BA1B07">
      <w:pPr>
        <w:pStyle w:val="BodyText"/>
        <w:spacing w:before="0" w:after="0" w:line="240" w:lineRule="auto"/>
        <w:rPr>
          <w:rFonts w:asciiTheme="minorHAnsi" w:hAnsiTheme="minorHAnsi" w:cstheme="minorHAnsi"/>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215"/>
      </w:tblGrid>
      <w:tr w:rsidR="00336BBA" w:rsidRPr="00871656" w14:paraId="1E11E99A" w14:textId="77777777" w:rsidTr="009E0334">
        <w:tc>
          <w:tcPr>
            <w:tcW w:w="1413" w:type="dxa"/>
          </w:tcPr>
          <w:p w14:paraId="1DE43615" w14:textId="77777777" w:rsidR="00336BBA" w:rsidRPr="00871656" w:rsidRDefault="00336BBA" w:rsidP="00BA1B07">
            <w:pPr>
              <w:pStyle w:val="BodyText"/>
              <w:spacing w:before="0" w:after="0" w:line="240" w:lineRule="auto"/>
              <w:rPr>
                <w:rFonts w:asciiTheme="minorHAnsi" w:hAnsiTheme="minorHAnsi" w:cstheme="minorHAnsi"/>
              </w:rPr>
            </w:pPr>
          </w:p>
          <w:p w14:paraId="56FB83D7" w14:textId="77777777" w:rsidR="00336BBA" w:rsidRPr="00871656" w:rsidRDefault="00336BBA" w:rsidP="00BA1B07">
            <w:pPr>
              <w:pStyle w:val="BodyText"/>
              <w:spacing w:before="0" w:after="0" w:line="240" w:lineRule="auto"/>
              <w:rPr>
                <w:rFonts w:asciiTheme="minorHAnsi" w:hAnsiTheme="minorHAnsi" w:cstheme="minorHAnsi"/>
              </w:rPr>
            </w:pPr>
            <w:r w:rsidRPr="00871656">
              <w:rPr>
                <w:rFonts w:asciiTheme="minorHAnsi" w:hAnsiTheme="minorHAnsi" w:cstheme="minorHAnsi"/>
              </w:rPr>
              <w:t>Creator(s):</w:t>
            </w:r>
          </w:p>
        </w:tc>
        <w:tc>
          <w:tcPr>
            <w:tcW w:w="8215" w:type="dxa"/>
          </w:tcPr>
          <w:p w14:paraId="09FDC280" w14:textId="77777777" w:rsidR="00336BBA" w:rsidRPr="00871656" w:rsidRDefault="00336BBA" w:rsidP="00BA1B07">
            <w:pPr>
              <w:pStyle w:val="BodyText"/>
              <w:spacing w:before="0" w:after="0" w:line="240" w:lineRule="auto"/>
              <w:rPr>
                <w:rFonts w:asciiTheme="minorHAnsi" w:hAnsiTheme="minorHAnsi" w:cstheme="minorHAnsi"/>
              </w:rPr>
            </w:pPr>
          </w:p>
          <w:p w14:paraId="671B517C" w14:textId="6C84A29A" w:rsidR="00336BBA" w:rsidRPr="00871656" w:rsidRDefault="00C656A9" w:rsidP="00BA1B07">
            <w:pPr>
              <w:pStyle w:val="BodyText"/>
              <w:spacing w:before="0" w:after="0" w:line="240" w:lineRule="auto"/>
              <w:rPr>
                <w:rFonts w:asciiTheme="minorHAnsi" w:hAnsiTheme="minorHAnsi" w:cstheme="minorHAnsi"/>
              </w:rPr>
            </w:pPr>
            <w:r w:rsidRPr="00871656">
              <w:rPr>
                <w:rFonts w:asciiTheme="minorHAnsi" w:hAnsiTheme="minorHAnsi" w:cstheme="minorHAnsi"/>
              </w:rPr>
              <w:t>Julian Laurens</w:t>
            </w:r>
          </w:p>
        </w:tc>
      </w:tr>
      <w:tr w:rsidR="00336BBA" w:rsidRPr="00871656" w14:paraId="1BF63424" w14:textId="77777777" w:rsidTr="009E0334">
        <w:tc>
          <w:tcPr>
            <w:tcW w:w="1413" w:type="dxa"/>
          </w:tcPr>
          <w:p w14:paraId="303B6D79" w14:textId="77777777" w:rsidR="00336BBA" w:rsidRPr="00871656" w:rsidRDefault="00336BBA" w:rsidP="00BA1B07">
            <w:pPr>
              <w:pStyle w:val="BodyText"/>
              <w:spacing w:before="0" w:after="0" w:line="240" w:lineRule="auto"/>
              <w:rPr>
                <w:rFonts w:asciiTheme="minorHAnsi" w:hAnsiTheme="minorHAnsi" w:cstheme="minorHAnsi"/>
              </w:rPr>
            </w:pPr>
            <w:r w:rsidRPr="00871656">
              <w:rPr>
                <w:rFonts w:asciiTheme="minorHAnsi" w:hAnsiTheme="minorHAnsi" w:cstheme="minorHAnsi"/>
              </w:rPr>
              <w:t>Title:</w:t>
            </w:r>
          </w:p>
        </w:tc>
        <w:tc>
          <w:tcPr>
            <w:tcW w:w="8215" w:type="dxa"/>
          </w:tcPr>
          <w:p w14:paraId="549D47DC" w14:textId="3C79DEDD" w:rsidR="00492CA3" w:rsidRPr="00492CA3" w:rsidRDefault="00492CA3" w:rsidP="00492CA3">
            <w:pPr>
              <w:pStyle w:val="BodyText"/>
              <w:spacing w:before="0" w:after="0" w:line="240" w:lineRule="auto"/>
              <w:rPr>
                <w:rFonts w:asciiTheme="minorHAnsi" w:hAnsiTheme="minorHAnsi" w:cstheme="minorHAnsi"/>
                <w:lang w:val="en-AU"/>
              </w:rPr>
            </w:pPr>
            <w:r w:rsidRPr="00492CA3">
              <w:rPr>
                <w:rFonts w:asciiTheme="minorHAnsi" w:hAnsiTheme="minorHAnsi" w:cstheme="minorHAnsi"/>
              </w:rPr>
              <w:t xml:space="preserve">Making </w:t>
            </w:r>
            <w:r w:rsidR="00473CFE">
              <w:rPr>
                <w:rFonts w:asciiTheme="minorHAnsi" w:hAnsiTheme="minorHAnsi" w:cstheme="minorHAnsi"/>
              </w:rPr>
              <w:t xml:space="preserve">NSW </w:t>
            </w:r>
            <w:r w:rsidRPr="00492CA3">
              <w:rPr>
                <w:rFonts w:asciiTheme="minorHAnsi" w:hAnsiTheme="minorHAnsi" w:cstheme="minorHAnsi"/>
              </w:rPr>
              <w:t xml:space="preserve">discrimination laws work for people with disability – Submission to the NSW Law Reform Commission review of the </w:t>
            </w:r>
            <w:r w:rsidRPr="00492CA3">
              <w:rPr>
                <w:rFonts w:asciiTheme="minorHAnsi" w:hAnsiTheme="minorHAnsi" w:cstheme="minorHAnsi"/>
                <w:i/>
                <w:iCs/>
              </w:rPr>
              <w:t>Anti-Discrimination Act 1977</w:t>
            </w:r>
            <w:r w:rsidRPr="00492CA3">
              <w:rPr>
                <w:rFonts w:asciiTheme="minorHAnsi" w:hAnsiTheme="minorHAnsi" w:cstheme="minorHAnsi"/>
              </w:rPr>
              <w:t xml:space="preserve"> (NSW).</w:t>
            </w:r>
          </w:p>
          <w:p w14:paraId="72E37B18" w14:textId="66F6DE75" w:rsidR="00336BBA" w:rsidRPr="00871656" w:rsidRDefault="00336BBA" w:rsidP="00BA1B07">
            <w:pPr>
              <w:pStyle w:val="BodyText"/>
              <w:spacing w:before="0" w:after="0" w:line="240" w:lineRule="auto"/>
              <w:rPr>
                <w:rFonts w:asciiTheme="minorHAnsi" w:hAnsiTheme="minorHAnsi" w:cstheme="minorHAnsi"/>
                <w:highlight w:val="yellow"/>
              </w:rPr>
            </w:pPr>
          </w:p>
        </w:tc>
      </w:tr>
    </w:tbl>
    <w:p w14:paraId="4F3B1C9F" w14:textId="77777777" w:rsidR="00336BBA" w:rsidRPr="00871656" w:rsidRDefault="00336BBA" w:rsidP="00BA1B07">
      <w:pPr>
        <w:pStyle w:val="BodyText"/>
        <w:spacing w:before="0" w:after="0" w:line="240" w:lineRule="auto"/>
        <w:rPr>
          <w:rFonts w:asciiTheme="minorHAnsi" w:hAnsiTheme="minorHAnsi" w:cstheme="minorHAnsi"/>
        </w:rPr>
      </w:pPr>
    </w:p>
    <w:p w14:paraId="29C5EDE8" w14:textId="77777777" w:rsidR="00336BBA" w:rsidRPr="00871656" w:rsidRDefault="00336BBA" w:rsidP="00BA1B07">
      <w:pPr>
        <w:pStyle w:val="BodyText"/>
        <w:spacing w:before="0" w:after="0" w:line="240" w:lineRule="auto"/>
        <w:rPr>
          <w:rFonts w:asciiTheme="minorHAnsi" w:hAnsiTheme="minorHAnsi" w:cstheme="minorHAnsi"/>
        </w:rPr>
      </w:pPr>
      <w:r w:rsidRPr="00871656">
        <w:rPr>
          <w:rFonts w:asciiTheme="minorHAnsi" w:hAnsiTheme="minorHAnsi" w:cstheme="minorHAnsi"/>
        </w:rPr>
        <w:t xml:space="preserve">All rights reserved. Except as permitted with the </w:t>
      </w:r>
      <w:r w:rsidRPr="00871656">
        <w:rPr>
          <w:rFonts w:asciiTheme="minorHAnsi" w:hAnsiTheme="minorHAnsi" w:cstheme="minorHAnsi"/>
          <w:i/>
          <w:iCs/>
        </w:rPr>
        <w:t>Australian Copyright Act 1968</w:t>
      </w:r>
      <w:r w:rsidRPr="00871656">
        <w:rPr>
          <w:rFonts w:asciiTheme="minorHAnsi" w:hAnsiTheme="minorHAnsi" w:cstheme="minorHAnsi"/>
        </w:rPr>
        <w:t xml:space="preserve"> (for example, a fair dealing for the purposes of study, research, criticism or review), no part of this book may be reproduced, stored in a retrieval system, communication or transmitted in any form or by any means without prior written permission. All inquiries should be made to the publisher at the address above.</w:t>
      </w:r>
    </w:p>
    <w:p w14:paraId="2944B792" w14:textId="77777777" w:rsidR="00336BBA" w:rsidRPr="00871656" w:rsidRDefault="00336BBA" w:rsidP="00BA1B07">
      <w:pPr>
        <w:pStyle w:val="BodyText"/>
        <w:spacing w:before="0" w:after="0" w:line="240" w:lineRule="auto"/>
        <w:rPr>
          <w:rFonts w:asciiTheme="minorHAnsi" w:hAnsiTheme="minorHAnsi" w:cstheme="minorHAnsi"/>
        </w:rPr>
      </w:pPr>
    </w:p>
    <w:p w14:paraId="7C39FFCD" w14:textId="23652605" w:rsidR="00251B88" w:rsidRPr="00755E1A" w:rsidRDefault="00251B88" w:rsidP="00BA1B07">
      <w:pPr>
        <w:pStyle w:val="BodyText"/>
        <w:spacing w:before="0" w:after="0" w:line="240" w:lineRule="auto"/>
        <w:rPr>
          <w:rFonts w:asciiTheme="minorHAnsi" w:hAnsiTheme="minorHAnsi" w:cstheme="minorHAnsi"/>
        </w:rPr>
      </w:pPr>
      <w:r w:rsidRPr="00755E1A">
        <w:rPr>
          <w:rFonts w:asciiTheme="minorHAnsi" w:hAnsiTheme="minorHAnsi" w:cstheme="minorHAnsi"/>
        </w:rPr>
        <w:t>Suggested citation</w:t>
      </w:r>
      <w:r w:rsidR="00342589" w:rsidRPr="00755E1A">
        <w:rPr>
          <w:rFonts w:asciiTheme="minorHAnsi" w:hAnsiTheme="minorHAnsi" w:cstheme="minorHAnsi"/>
        </w:rPr>
        <w:t>:</w:t>
      </w:r>
      <w:r w:rsidR="00AD3F8A" w:rsidRPr="00755E1A">
        <w:rPr>
          <w:rFonts w:asciiTheme="minorHAnsi" w:hAnsiTheme="minorHAnsi" w:cstheme="minorHAnsi"/>
        </w:rPr>
        <w:t xml:space="preserve"> </w:t>
      </w:r>
    </w:p>
    <w:p w14:paraId="730762D6" w14:textId="77777777" w:rsidR="00251B88" w:rsidRPr="00871656" w:rsidRDefault="00251B88" w:rsidP="00BA1B07">
      <w:pPr>
        <w:pStyle w:val="BodyText"/>
        <w:spacing w:before="0" w:after="0" w:line="240" w:lineRule="auto"/>
        <w:rPr>
          <w:rFonts w:asciiTheme="minorHAnsi" w:hAnsiTheme="minorHAnsi" w:cstheme="minorHAnsi"/>
          <w:i/>
          <w:iCs/>
        </w:rPr>
      </w:pPr>
    </w:p>
    <w:p w14:paraId="4C433128" w14:textId="6B13044A" w:rsidR="00336BBA" w:rsidRPr="00871656" w:rsidRDefault="00060AC5" w:rsidP="00492CA3">
      <w:pPr>
        <w:pStyle w:val="BodyText"/>
        <w:spacing w:before="0" w:after="0" w:line="240" w:lineRule="auto"/>
        <w:ind w:left="720"/>
        <w:rPr>
          <w:rFonts w:asciiTheme="minorHAnsi" w:hAnsiTheme="minorHAnsi" w:cstheme="minorHAnsi"/>
          <w:i/>
          <w:iCs/>
          <w:lang w:val="en-AU"/>
        </w:rPr>
      </w:pPr>
      <w:r w:rsidRPr="00871656">
        <w:rPr>
          <w:rFonts w:asciiTheme="minorHAnsi" w:hAnsiTheme="minorHAnsi" w:cstheme="minorHAnsi"/>
        </w:rPr>
        <w:t>Laurens</w:t>
      </w:r>
      <w:r w:rsidR="00773B68" w:rsidRPr="00871656">
        <w:rPr>
          <w:rFonts w:asciiTheme="minorHAnsi" w:hAnsiTheme="minorHAnsi" w:cstheme="minorHAnsi"/>
        </w:rPr>
        <w:t xml:space="preserve">, </w:t>
      </w:r>
      <w:r w:rsidR="005D6A81" w:rsidRPr="00871656">
        <w:rPr>
          <w:rFonts w:asciiTheme="minorHAnsi" w:hAnsiTheme="minorHAnsi" w:cstheme="minorHAnsi"/>
        </w:rPr>
        <w:t>J</w:t>
      </w:r>
      <w:r w:rsidR="00336BBA" w:rsidRPr="00871656">
        <w:rPr>
          <w:rFonts w:asciiTheme="minorHAnsi" w:hAnsiTheme="minorHAnsi" w:cstheme="minorHAnsi"/>
        </w:rPr>
        <w:t>.</w:t>
      </w:r>
      <w:r w:rsidR="00C656A9" w:rsidRPr="00871656">
        <w:rPr>
          <w:rFonts w:asciiTheme="minorHAnsi" w:hAnsiTheme="minorHAnsi" w:cstheme="minorHAnsi"/>
        </w:rPr>
        <w:t xml:space="preserve">, </w:t>
      </w:r>
      <w:r w:rsidR="00492CA3">
        <w:rPr>
          <w:rFonts w:asciiTheme="minorHAnsi" w:hAnsiTheme="minorHAnsi" w:cstheme="minorHAnsi"/>
          <w:i/>
          <w:iCs/>
        </w:rPr>
        <w:t xml:space="preserve">Making </w:t>
      </w:r>
      <w:r w:rsidR="00473CFE">
        <w:rPr>
          <w:rFonts w:asciiTheme="minorHAnsi" w:hAnsiTheme="minorHAnsi" w:cstheme="minorHAnsi"/>
          <w:i/>
          <w:iCs/>
        </w:rPr>
        <w:t xml:space="preserve">NSW </w:t>
      </w:r>
      <w:r w:rsidR="00492CA3">
        <w:rPr>
          <w:rFonts w:asciiTheme="minorHAnsi" w:hAnsiTheme="minorHAnsi" w:cstheme="minorHAnsi"/>
          <w:i/>
          <w:iCs/>
        </w:rPr>
        <w:t>discrimination laws work for people with disability</w:t>
      </w:r>
      <w:r w:rsidR="00492CA3" w:rsidRPr="00871656">
        <w:rPr>
          <w:rFonts w:asciiTheme="minorHAnsi" w:hAnsiTheme="minorHAnsi" w:cstheme="minorHAnsi"/>
          <w:i/>
          <w:iCs/>
        </w:rPr>
        <w:t xml:space="preserve"> – Submission to the NSW Law Reform Commission review of the Anti-Discrimination Act 1977 (NSW)</w:t>
      </w:r>
      <w:r w:rsidR="00336BBA" w:rsidRPr="00871656">
        <w:rPr>
          <w:rFonts w:asciiTheme="minorHAnsi" w:hAnsiTheme="minorHAnsi" w:cstheme="minorHAnsi"/>
        </w:rPr>
        <w:t xml:space="preserve">, </w:t>
      </w:r>
      <w:r w:rsidR="00755E1A">
        <w:rPr>
          <w:rFonts w:asciiTheme="minorHAnsi" w:hAnsiTheme="minorHAnsi" w:cstheme="minorHAnsi"/>
        </w:rPr>
        <w:t>29 September</w:t>
      </w:r>
      <w:r w:rsidR="005D6A81" w:rsidRPr="00871656">
        <w:rPr>
          <w:rFonts w:asciiTheme="minorHAnsi" w:hAnsiTheme="minorHAnsi" w:cstheme="minorHAnsi"/>
        </w:rPr>
        <w:t xml:space="preserve"> 2023</w:t>
      </w:r>
      <w:r w:rsidR="00336BBA" w:rsidRPr="00871656">
        <w:rPr>
          <w:rFonts w:asciiTheme="minorHAnsi" w:hAnsiTheme="minorHAnsi" w:cstheme="minorHAnsi"/>
        </w:rPr>
        <w:t>, People with Disability Australia, Sydney</w:t>
      </w:r>
      <w:r w:rsidR="005536A0" w:rsidRPr="00871656">
        <w:rPr>
          <w:rFonts w:asciiTheme="minorHAnsi" w:hAnsiTheme="minorHAnsi" w:cstheme="minorHAnsi"/>
        </w:rPr>
        <w:t>.</w:t>
      </w:r>
    </w:p>
    <w:p w14:paraId="48C1B28F" w14:textId="77777777" w:rsidR="00336BBA" w:rsidRPr="00871656" w:rsidRDefault="00336BBA" w:rsidP="00BA1B07">
      <w:pPr>
        <w:spacing w:before="0" w:after="0" w:line="240" w:lineRule="auto"/>
        <w:rPr>
          <w:rFonts w:cstheme="minorHAnsi"/>
        </w:rPr>
      </w:pPr>
    </w:p>
    <w:p w14:paraId="5637BC20" w14:textId="63E0D932" w:rsidR="00CC2E73" w:rsidRPr="00871656" w:rsidRDefault="00336BBA" w:rsidP="00B572AB">
      <w:pPr>
        <w:spacing w:before="0" w:after="0" w:line="240" w:lineRule="auto"/>
        <w:rPr>
          <w:rStyle w:val="Hyperlink"/>
          <w:rFonts w:cstheme="minorHAnsi"/>
          <w:color w:val="auto"/>
          <w:u w:val="none"/>
          <w:shd w:val="clear" w:color="auto" w:fill="FFFFFF"/>
        </w:rPr>
      </w:pPr>
      <w:r w:rsidRPr="00871656">
        <w:rPr>
          <w:rFonts w:cstheme="minorHAnsi"/>
        </w:rPr>
        <w:t>ISBN</w:t>
      </w:r>
      <w:r w:rsidR="004F0489" w:rsidRPr="00871656">
        <w:rPr>
          <w:rFonts w:cstheme="minorHAnsi"/>
        </w:rPr>
        <w:t xml:space="preserve"> </w:t>
      </w:r>
      <w:hyperlink r:id="rId15" w:history="1">
        <w:r w:rsidR="00B572AB" w:rsidRPr="00B572AB">
          <w:rPr>
            <w:rStyle w:val="Hyperlink"/>
            <w:rFonts w:cstheme="minorHAnsi"/>
            <w:color w:val="auto"/>
            <w:u w:val="none"/>
            <w:shd w:val="clear" w:color="auto" w:fill="FFFFFF"/>
          </w:rPr>
          <w:t>978-0-6459325-1-5</w:t>
        </w:r>
      </w:hyperlink>
    </w:p>
    <w:p w14:paraId="620DB16D" w14:textId="77777777" w:rsidR="00821B84" w:rsidRDefault="00821B84" w:rsidP="00BA1B07">
      <w:pPr>
        <w:spacing w:before="0" w:after="0" w:line="336" w:lineRule="auto"/>
        <w:rPr>
          <w:rFonts w:cstheme="minorHAnsi"/>
        </w:rPr>
      </w:pPr>
    </w:p>
    <w:p w14:paraId="419A7984" w14:textId="77777777" w:rsidR="00821B84" w:rsidRPr="00871656" w:rsidRDefault="00821B84" w:rsidP="00BA1B07">
      <w:pPr>
        <w:spacing w:before="0" w:after="0" w:line="336" w:lineRule="auto"/>
        <w:rPr>
          <w:rFonts w:cstheme="minorHAnsi"/>
        </w:rPr>
      </w:pPr>
    </w:p>
    <w:bookmarkStart w:id="58" w:name="_Toc83718528" w:displacedByCustomXml="next"/>
    <w:bookmarkStart w:id="59" w:name="_Toc83717712" w:displacedByCustomXml="next"/>
    <w:sdt>
      <w:sdtPr>
        <w:rPr>
          <w:rFonts w:asciiTheme="minorHAnsi" w:eastAsiaTheme="minorHAnsi" w:hAnsiTheme="minorHAnsi" w:cstheme="minorHAnsi"/>
          <w:b w:val="0"/>
          <w:bCs/>
          <w:color w:val="auto"/>
          <w:sz w:val="24"/>
          <w:szCs w:val="24"/>
          <w:u w:val="single"/>
          <w:lang w:val="en-AU"/>
        </w:rPr>
        <w:id w:val="-2017298618"/>
        <w:docPartObj>
          <w:docPartGallery w:val="Table of Contents"/>
          <w:docPartUnique/>
        </w:docPartObj>
      </w:sdtPr>
      <w:sdtEndPr>
        <w:rPr>
          <w:rFonts w:eastAsiaTheme="minorEastAsia"/>
          <w:noProof/>
          <w:sz w:val="22"/>
          <w:szCs w:val="22"/>
        </w:rPr>
      </w:sdtEndPr>
      <w:sdtContent>
        <w:p w14:paraId="5770F2B6" w14:textId="77777777" w:rsidR="00B2769D" w:rsidRDefault="00B467AB" w:rsidP="00A820AD">
          <w:pPr>
            <w:pStyle w:val="TOCHeading"/>
            <w:spacing w:line="336" w:lineRule="auto"/>
            <w:rPr>
              <w:noProof/>
            </w:rPr>
          </w:pPr>
          <w:r w:rsidRPr="00940780">
            <w:rPr>
              <w:rFonts w:cstheme="minorHAnsi"/>
            </w:rPr>
            <w:t>Table of Contents</w:t>
          </w:r>
          <w:r w:rsidRPr="00940780">
            <w:rPr>
              <w:rFonts w:cstheme="minorHAnsi"/>
              <w:b w:val="0"/>
            </w:rPr>
            <w:fldChar w:fldCharType="begin"/>
          </w:r>
          <w:r w:rsidRPr="00940780">
            <w:rPr>
              <w:rFonts w:cstheme="minorHAnsi"/>
            </w:rPr>
            <w:instrText xml:space="preserve"> TOC \o "1-3" \h \z \u </w:instrText>
          </w:r>
          <w:r w:rsidRPr="00940780">
            <w:rPr>
              <w:rFonts w:cstheme="minorHAnsi"/>
              <w:b w:val="0"/>
            </w:rPr>
            <w:fldChar w:fldCharType="separate"/>
          </w:r>
        </w:p>
        <w:p w14:paraId="36959DD6" w14:textId="5BA0848E" w:rsidR="00B2769D" w:rsidRDefault="00000000">
          <w:pPr>
            <w:pStyle w:val="TOC1"/>
            <w:rPr>
              <w:rFonts w:eastAsiaTheme="minorEastAsia"/>
              <w:b w:val="0"/>
              <w:bCs w:val="0"/>
              <w:kern w:val="2"/>
              <w:sz w:val="22"/>
              <w:szCs w:val="22"/>
              <w:lang w:eastAsia="en-AU"/>
              <w14:ligatures w14:val="standardContextual"/>
            </w:rPr>
          </w:pPr>
          <w:hyperlink w:anchor="_Toc146877514" w:history="1">
            <w:r w:rsidR="00B2769D" w:rsidRPr="009A694E">
              <w:rPr>
                <w:rStyle w:val="Hyperlink"/>
              </w:rPr>
              <w:t>Introduction</w:t>
            </w:r>
            <w:r w:rsidR="00B2769D">
              <w:rPr>
                <w:webHidden/>
              </w:rPr>
              <w:tab/>
            </w:r>
            <w:r w:rsidR="00B2769D">
              <w:rPr>
                <w:webHidden/>
              </w:rPr>
              <w:fldChar w:fldCharType="begin"/>
            </w:r>
            <w:r w:rsidR="00B2769D">
              <w:rPr>
                <w:webHidden/>
              </w:rPr>
              <w:instrText xml:space="preserve"> PAGEREF _Toc146877514 \h </w:instrText>
            </w:r>
            <w:r w:rsidR="00B2769D">
              <w:rPr>
                <w:webHidden/>
              </w:rPr>
            </w:r>
            <w:r w:rsidR="00B2769D">
              <w:rPr>
                <w:webHidden/>
              </w:rPr>
              <w:fldChar w:fldCharType="separate"/>
            </w:r>
            <w:r w:rsidR="000C7C2F">
              <w:rPr>
                <w:webHidden/>
              </w:rPr>
              <w:t>5</w:t>
            </w:r>
            <w:r w:rsidR="00B2769D">
              <w:rPr>
                <w:webHidden/>
              </w:rPr>
              <w:fldChar w:fldCharType="end"/>
            </w:r>
          </w:hyperlink>
        </w:p>
        <w:p w14:paraId="24D4FD33" w14:textId="7915238A" w:rsidR="00B2769D" w:rsidRDefault="00000000">
          <w:pPr>
            <w:pStyle w:val="TOC3"/>
            <w:rPr>
              <w:rFonts w:cstheme="minorBidi"/>
              <w:bCs w:val="0"/>
              <w:noProof/>
              <w:kern w:val="2"/>
              <w:lang w:eastAsia="en-AU"/>
              <w14:ligatures w14:val="standardContextual"/>
            </w:rPr>
          </w:pPr>
          <w:hyperlink w:anchor="_Toc146877515" w:history="1">
            <w:r w:rsidR="00B2769D" w:rsidRPr="009A694E">
              <w:rPr>
                <w:rStyle w:val="Hyperlink"/>
                <w:noProof/>
              </w:rPr>
              <w:t>The experience of PWDA individual advocates</w:t>
            </w:r>
            <w:r w:rsidR="00B2769D">
              <w:rPr>
                <w:noProof/>
                <w:webHidden/>
              </w:rPr>
              <w:tab/>
            </w:r>
            <w:r w:rsidR="00B2769D">
              <w:rPr>
                <w:noProof/>
                <w:webHidden/>
              </w:rPr>
              <w:fldChar w:fldCharType="begin"/>
            </w:r>
            <w:r w:rsidR="00B2769D">
              <w:rPr>
                <w:noProof/>
                <w:webHidden/>
              </w:rPr>
              <w:instrText xml:space="preserve"> PAGEREF _Toc146877515 \h </w:instrText>
            </w:r>
            <w:r w:rsidR="00B2769D">
              <w:rPr>
                <w:noProof/>
                <w:webHidden/>
              </w:rPr>
            </w:r>
            <w:r w:rsidR="00B2769D">
              <w:rPr>
                <w:noProof/>
                <w:webHidden/>
              </w:rPr>
              <w:fldChar w:fldCharType="separate"/>
            </w:r>
            <w:r w:rsidR="000C7C2F">
              <w:rPr>
                <w:noProof/>
                <w:webHidden/>
              </w:rPr>
              <w:t>6</w:t>
            </w:r>
            <w:r w:rsidR="00B2769D">
              <w:rPr>
                <w:noProof/>
                <w:webHidden/>
              </w:rPr>
              <w:fldChar w:fldCharType="end"/>
            </w:r>
          </w:hyperlink>
        </w:p>
        <w:p w14:paraId="1A025AEE" w14:textId="3C9CC864" w:rsidR="00B2769D" w:rsidRDefault="00000000">
          <w:pPr>
            <w:pStyle w:val="TOC3"/>
            <w:rPr>
              <w:rFonts w:cstheme="minorBidi"/>
              <w:bCs w:val="0"/>
              <w:noProof/>
              <w:kern w:val="2"/>
              <w:lang w:eastAsia="en-AU"/>
              <w14:ligatures w14:val="standardContextual"/>
            </w:rPr>
          </w:pPr>
          <w:hyperlink w:anchor="_Toc146877516" w:history="1">
            <w:r w:rsidR="00B2769D" w:rsidRPr="009A694E">
              <w:rPr>
                <w:rStyle w:val="Hyperlink"/>
                <w:noProof/>
              </w:rPr>
              <w:t>Submission structure</w:t>
            </w:r>
            <w:r w:rsidR="00B2769D">
              <w:rPr>
                <w:noProof/>
                <w:webHidden/>
              </w:rPr>
              <w:tab/>
            </w:r>
            <w:r w:rsidR="00B2769D">
              <w:rPr>
                <w:noProof/>
                <w:webHidden/>
              </w:rPr>
              <w:fldChar w:fldCharType="begin"/>
            </w:r>
            <w:r w:rsidR="00B2769D">
              <w:rPr>
                <w:noProof/>
                <w:webHidden/>
              </w:rPr>
              <w:instrText xml:space="preserve"> PAGEREF _Toc146877516 \h </w:instrText>
            </w:r>
            <w:r w:rsidR="00B2769D">
              <w:rPr>
                <w:noProof/>
                <w:webHidden/>
              </w:rPr>
            </w:r>
            <w:r w:rsidR="00B2769D">
              <w:rPr>
                <w:noProof/>
                <w:webHidden/>
              </w:rPr>
              <w:fldChar w:fldCharType="separate"/>
            </w:r>
            <w:r w:rsidR="000C7C2F">
              <w:rPr>
                <w:noProof/>
                <w:webHidden/>
              </w:rPr>
              <w:t>8</w:t>
            </w:r>
            <w:r w:rsidR="00B2769D">
              <w:rPr>
                <w:noProof/>
                <w:webHidden/>
              </w:rPr>
              <w:fldChar w:fldCharType="end"/>
            </w:r>
          </w:hyperlink>
        </w:p>
        <w:p w14:paraId="67672849" w14:textId="233C7A3D" w:rsidR="00B2769D" w:rsidRDefault="00000000">
          <w:pPr>
            <w:pStyle w:val="TOC1"/>
            <w:rPr>
              <w:rFonts w:eastAsiaTheme="minorEastAsia"/>
              <w:b w:val="0"/>
              <w:bCs w:val="0"/>
              <w:kern w:val="2"/>
              <w:sz w:val="22"/>
              <w:szCs w:val="22"/>
              <w:lang w:eastAsia="en-AU"/>
              <w14:ligatures w14:val="standardContextual"/>
            </w:rPr>
          </w:pPr>
          <w:hyperlink w:anchor="_Toc146877517" w:history="1">
            <w:r w:rsidR="00B2769D" w:rsidRPr="009A694E">
              <w:rPr>
                <w:rStyle w:val="Hyperlink"/>
              </w:rPr>
              <w:t>Summary of Recommendations</w:t>
            </w:r>
            <w:r w:rsidR="00B2769D">
              <w:rPr>
                <w:webHidden/>
              </w:rPr>
              <w:tab/>
            </w:r>
            <w:r w:rsidR="00B2769D">
              <w:rPr>
                <w:webHidden/>
              </w:rPr>
              <w:fldChar w:fldCharType="begin"/>
            </w:r>
            <w:r w:rsidR="00B2769D">
              <w:rPr>
                <w:webHidden/>
              </w:rPr>
              <w:instrText xml:space="preserve"> PAGEREF _Toc146877517 \h </w:instrText>
            </w:r>
            <w:r w:rsidR="00B2769D">
              <w:rPr>
                <w:webHidden/>
              </w:rPr>
            </w:r>
            <w:r w:rsidR="00B2769D">
              <w:rPr>
                <w:webHidden/>
              </w:rPr>
              <w:fldChar w:fldCharType="separate"/>
            </w:r>
            <w:r w:rsidR="000C7C2F">
              <w:rPr>
                <w:webHidden/>
              </w:rPr>
              <w:t>10</w:t>
            </w:r>
            <w:r w:rsidR="00B2769D">
              <w:rPr>
                <w:webHidden/>
              </w:rPr>
              <w:fldChar w:fldCharType="end"/>
            </w:r>
          </w:hyperlink>
        </w:p>
        <w:p w14:paraId="7B8171D3" w14:textId="06E53FE2" w:rsidR="00B2769D" w:rsidRDefault="00000000">
          <w:pPr>
            <w:pStyle w:val="TOC3"/>
            <w:rPr>
              <w:rFonts w:cstheme="minorBidi"/>
              <w:bCs w:val="0"/>
              <w:noProof/>
              <w:kern w:val="2"/>
              <w:lang w:eastAsia="en-AU"/>
              <w14:ligatures w14:val="standardContextual"/>
            </w:rPr>
          </w:pPr>
          <w:hyperlink w:anchor="_Toc146877518" w:history="1">
            <w:r w:rsidR="00B2769D" w:rsidRPr="009A694E">
              <w:rPr>
                <w:rStyle w:val="Hyperlink"/>
                <w:noProof/>
              </w:rPr>
              <w:t>Eliminating systemic discrimination</w:t>
            </w:r>
            <w:r w:rsidR="00B2769D">
              <w:rPr>
                <w:noProof/>
                <w:webHidden/>
              </w:rPr>
              <w:tab/>
            </w:r>
            <w:r w:rsidR="00B2769D">
              <w:rPr>
                <w:noProof/>
                <w:webHidden/>
              </w:rPr>
              <w:fldChar w:fldCharType="begin"/>
            </w:r>
            <w:r w:rsidR="00B2769D">
              <w:rPr>
                <w:noProof/>
                <w:webHidden/>
              </w:rPr>
              <w:instrText xml:space="preserve"> PAGEREF _Toc146877518 \h </w:instrText>
            </w:r>
            <w:r w:rsidR="00B2769D">
              <w:rPr>
                <w:noProof/>
                <w:webHidden/>
              </w:rPr>
            </w:r>
            <w:r w:rsidR="00B2769D">
              <w:rPr>
                <w:noProof/>
                <w:webHidden/>
              </w:rPr>
              <w:fldChar w:fldCharType="separate"/>
            </w:r>
            <w:r w:rsidR="000C7C2F">
              <w:rPr>
                <w:noProof/>
                <w:webHidden/>
              </w:rPr>
              <w:t>10</w:t>
            </w:r>
            <w:r w:rsidR="00B2769D">
              <w:rPr>
                <w:noProof/>
                <w:webHidden/>
              </w:rPr>
              <w:fldChar w:fldCharType="end"/>
            </w:r>
          </w:hyperlink>
        </w:p>
        <w:p w14:paraId="2FF8AEC7" w14:textId="0D1E1A13" w:rsidR="00B2769D" w:rsidRDefault="00000000">
          <w:pPr>
            <w:pStyle w:val="TOC3"/>
            <w:rPr>
              <w:rFonts w:cstheme="minorBidi"/>
              <w:bCs w:val="0"/>
              <w:noProof/>
              <w:kern w:val="2"/>
              <w:lang w:eastAsia="en-AU"/>
              <w14:ligatures w14:val="standardContextual"/>
            </w:rPr>
          </w:pPr>
          <w:hyperlink w:anchor="_Toc146877519" w:history="1">
            <w:r w:rsidR="00B2769D" w:rsidRPr="009A694E">
              <w:rPr>
                <w:rStyle w:val="Hyperlink"/>
                <w:noProof/>
              </w:rPr>
              <w:t>Positive duties: reasonable adjustments and preventing discrimination</w:t>
            </w:r>
            <w:r w:rsidR="00B2769D">
              <w:rPr>
                <w:noProof/>
                <w:webHidden/>
              </w:rPr>
              <w:tab/>
            </w:r>
            <w:r w:rsidR="00B2769D">
              <w:rPr>
                <w:noProof/>
                <w:webHidden/>
              </w:rPr>
              <w:fldChar w:fldCharType="begin"/>
            </w:r>
            <w:r w:rsidR="00B2769D">
              <w:rPr>
                <w:noProof/>
                <w:webHidden/>
              </w:rPr>
              <w:instrText xml:space="preserve"> PAGEREF _Toc146877519 \h </w:instrText>
            </w:r>
            <w:r w:rsidR="00B2769D">
              <w:rPr>
                <w:noProof/>
                <w:webHidden/>
              </w:rPr>
            </w:r>
            <w:r w:rsidR="00B2769D">
              <w:rPr>
                <w:noProof/>
                <w:webHidden/>
              </w:rPr>
              <w:fldChar w:fldCharType="separate"/>
            </w:r>
            <w:r w:rsidR="000C7C2F">
              <w:rPr>
                <w:noProof/>
                <w:webHidden/>
              </w:rPr>
              <w:t>10</w:t>
            </w:r>
            <w:r w:rsidR="00B2769D">
              <w:rPr>
                <w:noProof/>
                <w:webHidden/>
              </w:rPr>
              <w:fldChar w:fldCharType="end"/>
            </w:r>
          </w:hyperlink>
        </w:p>
        <w:p w14:paraId="7255DD55" w14:textId="29244F02" w:rsidR="00B2769D" w:rsidRDefault="00000000">
          <w:pPr>
            <w:pStyle w:val="TOC3"/>
            <w:rPr>
              <w:rFonts w:cstheme="minorBidi"/>
              <w:bCs w:val="0"/>
              <w:noProof/>
              <w:kern w:val="2"/>
              <w:lang w:eastAsia="en-AU"/>
              <w14:ligatures w14:val="standardContextual"/>
            </w:rPr>
          </w:pPr>
          <w:hyperlink w:anchor="_Toc146877520" w:history="1">
            <w:r w:rsidR="00B2769D" w:rsidRPr="009A694E">
              <w:rPr>
                <w:rStyle w:val="Hyperlink"/>
                <w:noProof/>
              </w:rPr>
              <w:t>Improving access to justice</w:t>
            </w:r>
            <w:r w:rsidR="00B2769D">
              <w:rPr>
                <w:noProof/>
                <w:webHidden/>
              </w:rPr>
              <w:tab/>
            </w:r>
            <w:r w:rsidR="00B2769D">
              <w:rPr>
                <w:noProof/>
                <w:webHidden/>
              </w:rPr>
              <w:fldChar w:fldCharType="begin"/>
            </w:r>
            <w:r w:rsidR="00B2769D">
              <w:rPr>
                <w:noProof/>
                <w:webHidden/>
              </w:rPr>
              <w:instrText xml:space="preserve"> PAGEREF _Toc146877520 \h </w:instrText>
            </w:r>
            <w:r w:rsidR="00B2769D">
              <w:rPr>
                <w:noProof/>
                <w:webHidden/>
              </w:rPr>
            </w:r>
            <w:r w:rsidR="00B2769D">
              <w:rPr>
                <w:noProof/>
                <w:webHidden/>
              </w:rPr>
              <w:fldChar w:fldCharType="separate"/>
            </w:r>
            <w:r w:rsidR="000C7C2F">
              <w:rPr>
                <w:noProof/>
                <w:webHidden/>
              </w:rPr>
              <w:t>11</w:t>
            </w:r>
            <w:r w:rsidR="00B2769D">
              <w:rPr>
                <w:noProof/>
                <w:webHidden/>
              </w:rPr>
              <w:fldChar w:fldCharType="end"/>
            </w:r>
          </w:hyperlink>
        </w:p>
        <w:p w14:paraId="63190C4C" w14:textId="6DA4D564" w:rsidR="00B2769D" w:rsidRDefault="00000000">
          <w:pPr>
            <w:pStyle w:val="TOC1"/>
            <w:rPr>
              <w:rFonts w:eastAsiaTheme="minorEastAsia"/>
              <w:b w:val="0"/>
              <w:bCs w:val="0"/>
              <w:kern w:val="2"/>
              <w:sz w:val="22"/>
              <w:szCs w:val="22"/>
              <w:lang w:eastAsia="en-AU"/>
              <w14:ligatures w14:val="standardContextual"/>
            </w:rPr>
          </w:pPr>
          <w:hyperlink w:anchor="_Toc146877521" w:history="1">
            <w:r w:rsidR="00B2769D" w:rsidRPr="009A694E">
              <w:rPr>
                <w:rStyle w:val="Hyperlink"/>
              </w:rPr>
              <w:t>Part 1 - Context</w:t>
            </w:r>
            <w:r w:rsidR="00B2769D">
              <w:rPr>
                <w:webHidden/>
              </w:rPr>
              <w:tab/>
            </w:r>
            <w:r w:rsidR="00B2769D">
              <w:rPr>
                <w:webHidden/>
              </w:rPr>
              <w:fldChar w:fldCharType="begin"/>
            </w:r>
            <w:r w:rsidR="00B2769D">
              <w:rPr>
                <w:webHidden/>
              </w:rPr>
              <w:instrText xml:space="preserve"> PAGEREF _Toc146877521 \h </w:instrText>
            </w:r>
            <w:r w:rsidR="00B2769D">
              <w:rPr>
                <w:webHidden/>
              </w:rPr>
            </w:r>
            <w:r w:rsidR="00B2769D">
              <w:rPr>
                <w:webHidden/>
              </w:rPr>
              <w:fldChar w:fldCharType="separate"/>
            </w:r>
            <w:r w:rsidR="000C7C2F">
              <w:rPr>
                <w:webHidden/>
              </w:rPr>
              <w:t>12</w:t>
            </w:r>
            <w:r w:rsidR="00B2769D">
              <w:rPr>
                <w:webHidden/>
              </w:rPr>
              <w:fldChar w:fldCharType="end"/>
            </w:r>
          </w:hyperlink>
        </w:p>
        <w:p w14:paraId="52F9BAB7" w14:textId="4C4F13F3" w:rsidR="00B2769D" w:rsidRDefault="00000000">
          <w:pPr>
            <w:pStyle w:val="TOC3"/>
            <w:rPr>
              <w:rFonts w:cstheme="minorBidi"/>
              <w:bCs w:val="0"/>
              <w:noProof/>
              <w:kern w:val="2"/>
              <w:lang w:eastAsia="en-AU"/>
              <w14:ligatures w14:val="standardContextual"/>
            </w:rPr>
          </w:pPr>
          <w:hyperlink w:anchor="_Toc146877522" w:history="1">
            <w:r w:rsidR="00B2769D" w:rsidRPr="009A694E">
              <w:rPr>
                <w:rStyle w:val="Hyperlink"/>
                <w:rFonts w:cstheme="minorHAnsi"/>
                <w:noProof/>
              </w:rPr>
              <w:t>Human rights</w:t>
            </w:r>
            <w:r w:rsidR="00B2769D">
              <w:rPr>
                <w:noProof/>
                <w:webHidden/>
              </w:rPr>
              <w:tab/>
            </w:r>
            <w:r w:rsidR="00B2769D">
              <w:rPr>
                <w:noProof/>
                <w:webHidden/>
              </w:rPr>
              <w:fldChar w:fldCharType="begin"/>
            </w:r>
            <w:r w:rsidR="00B2769D">
              <w:rPr>
                <w:noProof/>
                <w:webHidden/>
              </w:rPr>
              <w:instrText xml:space="preserve"> PAGEREF _Toc146877522 \h </w:instrText>
            </w:r>
            <w:r w:rsidR="00B2769D">
              <w:rPr>
                <w:noProof/>
                <w:webHidden/>
              </w:rPr>
            </w:r>
            <w:r w:rsidR="00B2769D">
              <w:rPr>
                <w:noProof/>
                <w:webHidden/>
              </w:rPr>
              <w:fldChar w:fldCharType="separate"/>
            </w:r>
            <w:r w:rsidR="000C7C2F">
              <w:rPr>
                <w:noProof/>
                <w:webHidden/>
              </w:rPr>
              <w:t>12</w:t>
            </w:r>
            <w:r w:rsidR="00B2769D">
              <w:rPr>
                <w:noProof/>
                <w:webHidden/>
              </w:rPr>
              <w:fldChar w:fldCharType="end"/>
            </w:r>
          </w:hyperlink>
        </w:p>
        <w:p w14:paraId="517CE907" w14:textId="43CD13D7" w:rsidR="00B2769D" w:rsidRDefault="00000000">
          <w:pPr>
            <w:pStyle w:val="TOC3"/>
            <w:rPr>
              <w:rFonts w:cstheme="minorBidi"/>
              <w:bCs w:val="0"/>
              <w:noProof/>
              <w:kern w:val="2"/>
              <w:lang w:eastAsia="en-AU"/>
              <w14:ligatures w14:val="standardContextual"/>
            </w:rPr>
          </w:pPr>
          <w:hyperlink w:anchor="_Toc146877523" w:history="1">
            <w:r w:rsidR="00B2769D" w:rsidRPr="009A694E">
              <w:rPr>
                <w:rStyle w:val="Hyperlink"/>
                <w:noProof/>
              </w:rPr>
              <w:t>Intersectionality</w:t>
            </w:r>
            <w:r w:rsidR="00B2769D">
              <w:rPr>
                <w:noProof/>
                <w:webHidden/>
              </w:rPr>
              <w:tab/>
            </w:r>
            <w:r w:rsidR="00B2769D">
              <w:rPr>
                <w:noProof/>
                <w:webHidden/>
              </w:rPr>
              <w:fldChar w:fldCharType="begin"/>
            </w:r>
            <w:r w:rsidR="00B2769D">
              <w:rPr>
                <w:noProof/>
                <w:webHidden/>
              </w:rPr>
              <w:instrText xml:space="preserve"> PAGEREF _Toc146877523 \h </w:instrText>
            </w:r>
            <w:r w:rsidR="00B2769D">
              <w:rPr>
                <w:noProof/>
                <w:webHidden/>
              </w:rPr>
            </w:r>
            <w:r w:rsidR="00B2769D">
              <w:rPr>
                <w:noProof/>
                <w:webHidden/>
              </w:rPr>
              <w:fldChar w:fldCharType="separate"/>
            </w:r>
            <w:r w:rsidR="000C7C2F">
              <w:rPr>
                <w:noProof/>
                <w:webHidden/>
              </w:rPr>
              <w:t>13</w:t>
            </w:r>
            <w:r w:rsidR="00B2769D">
              <w:rPr>
                <w:noProof/>
                <w:webHidden/>
              </w:rPr>
              <w:fldChar w:fldCharType="end"/>
            </w:r>
          </w:hyperlink>
        </w:p>
        <w:p w14:paraId="4004969F" w14:textId="78722C7E" w:rsidR="00B2769D" w:rsidRDefault="00000000">
          <w:pPr>
            <w:pStyle w:val="TOC3"/>
            <w:rPr>
              <w:rFonts w:cstheme="minorBidi"/>
              <w:bCs w:val="0"/>
              <w:noProof/>
              <w:kern w:val="2"/>
              <w:lang w:eastAsia="en-AU"/>
              <w14:ligatures w14:val="standardContextual"/>
            </w:rPr>
          </w:pPr>
          <w:hyperlink w:anchor="_Toc146877524" w:history="1">
            <w:r w:rsidR="00B2769D" w:rsidRPr="009A694E">
              <w:rPr>
                <w:rStyle w:val="Hyperlink"/>
                <w:rFonts w:eastAsia="Calibri"/>
                <w:noProof/>
              </w:rPr>
              <w:t>Other legal and policy considerations</w:t>
            </w:r>
            <w:r w:rsidR="00B2769D">
              <w:rPr>
                <w:noProof/>
                <w:webHidden/>
              </w:rPr>
              <w:tab/>
            </w:r>
            <w:r w:rsidR="00B2769D">
              <w:rPr>
                <w:noProof/>
                <w:webHidden/>
              </w:rPr>
              <w:fldChar w:fldCharType="begin"/>
            </w:r>
            <w:r w:rsidR="00B2769D">
              <w:rPr>
                <w:noProof/>
                <w:webHidden/>
              </w:rPr>
              <w:instrText xml:space="preserve"> PAGEREF _Toc146877524 \h </w:instrText>
            </w:r>
            <w:r w:rsidR="00B2769D">
              <w:rPr>
                <w:noProof/>
                <w:webHidden/>
              </w:rPr>
            </w:r>
            <w:r w:rsidR="00B2769D">
              <w:rPr>
                <w:noProof/>
                <w:webHidden/>
              </w:rPr>
              <w:fldChar w:fldCharType="separate"/>
            </w:r>
            <w:r w:rsidR="000C7C2F">
              <w:rPr>
                <w:noProof/>
                <w:webHidden/>
              </w:rPr>
              <w:t>14</w:t>
            </w:r>
            <w:r w:rsidR="00B2769D">
              <w:rPr>
                <w:noProof/>
                <w:webHidden/>
              </w:rPr>
              <w:fldChar w:fldCharType="end"/>
            </w:r>
          </w:hyperlink>
        </w:p>
        <w:p w14:paraId="0B132CE1" w14:textId="5F5C4804" w:rsidR="00B2769D" w:rsidRDefault="00000000">
          <w:pPr>
            <w:pStyle w:val="TOC3"/>
            <w:rPr>
              <w:rFonts w:cstheme="minorBidi"/>
              <w:bCs w:val="0"/>
              <w:noProof/>
              <w:kern w:val="2"/>
              <w:lang w:eastAsia="en-AU"/>
              <w14:ligatures w14:val="standardContextual"/>
            </w:rPr>
          </w:pPr>
          <w:hyperlink w:anchor="_Toc146877525" w:history="1">
            <w:r w:rsidR="00B2769D" w:rsidRPr="009A694E">
              <w:rPr>
                <w:rStyle w:val="Hyperlink"/>
                <w:noProof/>
              </w:rPr>
              <w:t>Recommendations</w:t>
            </w:r>
            <w:r w:rsidR="00B2769D">
              <w:rPr>
                <w:noProof/>
                <w:webHidden/>
              </w:rPr>
              <w:tab/>
            </w:r>
            <w:r w:rsidR="00B2769D">
              <w:rPr>
                <w:noProof/>
                <w:webHidden/>
              </w:rPr>
              <w:fldChar w:fldCharType="begin"/>
            </w:r>
            <w:r w:rsidR="00B2769D">
              <w:rPr>
                <w:noProof/>
                <w:webHidden/>
              </w:rPr>
              <w:instrText xml:space="preserve"> PAGEREF _Toc146877525 \h </w:instrText>
            </w:r>
            <w:r w:rsidR="00B2769D">
              <w:rPr>
                <w:noProof/>
                <w:webHidden/>
              </w:rPr>
            </w:r>
            <w:r w:rsidR="00B2769D">
              <w:rPr>
                <w:noProof/>
                <w:webHidden/>
              </w:rPr>
              <w:fldChar w:fldCharType="separate"/>
            </w:r>
            <w:r w:rsidR="000C7C2F">
              <w:rPr>
                <w:noProof/>
                <w:webHidden/>
              </w:rPr>
              <w:t>16</w:t>
            </w:r>
            <w:r w:rsidR="00B2769D">
              <w:rPr>
                <w:noProof/>
                <w:webHidden/>
              </w:rPr>
              <w:fldChar w:fldCharType="end"/>
            </w:r>
          </w:hyperlink>
        </w:p>
        <w:p w14:paraId="79AD626A" w14:textId="264A8230" w:rsidR="00B2769D" w:rsidRDefault="00000000">
          <w:pPr>
            <w:pStyle w:val="TOC1"/>
            <w:rPr>
              <w:rFonts w:eastAsiaTheme="minorEastAsia"/>
              <w:b w:val="0"/>
              <w:bCs w:val="0"/>
              <w:kern w:val="2"/>
              <w:sz w:val="22"/>
              <w:szCs w:val="22"/>
              <w:lang w:eastAsia="en-AU"/>
              <w14:ligatures w14:val="standardContextual"/>
            </w:rPr>
          </w:pPr>
          <w:hyperlink w:anchor="_Toc146877526" w:history="1">
            <w:r w:rsidR="00B2769D" w:rsidRPr="009A694E">
              <w:rPr>
                <w:rStyle w:val="Hyperlink"/>
              </w:rPr>
              <w:t>Part 2 - Towards substantive equality and eliminating systemic discrimination</w:t>
            </w:r>
            <w:r w:rsidR="00B2769D">
              <w:rPr>
                <w:webHidden/>
              </w:rPr>
              <w:tab/>
            </w:r>
            <w:r w:rsidR="00B2769D">
              <w:rPr>
                <w:webHidden/>
              </w:rPr>
              <w:fldChar w:fldCharType="begin"/>
            </w:r>
            <w:r w:rsidR="00B2769D">
              <w:rPr>
                <w:webHidden/>
              </w:rPr>
              <w:instrText xml:space="preserve"> PAGEREF _Toc146877526 \h </w:instrText>
            </w:r>
            <w:r w:rsidR="00B2769D">
              <w:rPr>
                <w:webHidden/>
              </w:rPr>
            </w:r>
            <w:r w:rsidR="00B2769D">
              <w:rPr>
                <w:webHidden/>
              </w:rPr>
              <w:fldChar w:fldCharType="separate"/>
            </w:r>
            <w:r w:rsidR="000C7C2F">
              <w:rPr>
                <w:webHidden/>
              </w:rPr>
              <w:t>17</w:t>
            </w:r>
            <w:r w:rsidR="00B2769D">
              <w:rPr>
                <w:webHidden/>
              </w:rPr>
              <w:fldChar w:fldCharType="end"/>
            </w:r>
          </w:hyperlink>
        </w:p>
        <w:p w14:paraId="0BA582EF" w14:textId="78CF653E" w:rsidR="00B2769D" w:rsidRDefault="00000000">
          <w:pPr>
            <w:pStyle w:val="TOC3"/>
            <w:rPr>
              <w:rFonts w:cstheme="minorBidi"/>
              <w:bCs w:val="0"/>
              <w:noProof/>
              <w:kern w:val="2"/>
              <w:lang w:eastAsia="en-AU"/>
              <w14:ligatures w14:val="standardContextual"/>
            </w:rPr>
          </w:pPr>
          <w:hyperlink w:anchor="_Toc146877527" w:history="1">
            <w:r w:rsidR="00B2769D" w:rsidRPr="009A694E">
              <w:rPr>
                <w:rStyle w:val="Hyperlink"/>
                <w:noProof/>
              </w:rPr>
              <w:t>The example of Victoria, the ACT, and the United Kingdom</w:t>
            </w:r>
            <w:r w:rsidR="00B2769D">
              <w:rPr>
                <w:noProof/>
                <w:webHidden/>
              </w:rPr>
              <w:tab/>
            </w:r>
            <w:r w:rsidR="00B2769D">
              <w:rPr>
                <w:noProof/>
                <w:webHidden/>
              </w:rPr>
              <w:fldChar w:fldCharType="begin"/>
            </w:r>
            <w:r w:rsidR="00B2769D">
              <w:rPr>
                <w:noProof/>
                <w:webHidden/>
              </w:rPr>
              <w:instrText xml:space="preserve"> PAGEREF _Toc146877527 \h </w:instrText>
            </w:r>
            <w:r w:rsidR="00B2769D">
              <w:rPr>
                <w:noProof/>
                <w:webHidden/>
              </w:rPr>
            </w:r>
            <w:r w:rsidR="00B2769D">
              <w:rPr>
                <w:noProof/>
                <w:webHidden/>
              </w:rPr>
              <w:fldChar w:fldCharType="separate"/>
            </w:r>
            <w:r w:rsidR="000C7C2F">
              <w:rPr>
                <w:noProof/>
                <w:webHidden/>
              </w:rPr>
              <w:t>18</w:t>
            </w:r>
            <w:r w:rsidR="00B2769D">
              <w:rPr>
                <w:noProof/>
                <w:webHidden/>
              </w:rPr>
              <w:fldChar w:fldCharType="end"/>
            </w:r>
          </w:hyperlink>
        </w:p>
        <w:p w14:paraId="679CB934" w14:textId="12157DCE" w:rsidR="00B2769D" w:rsidRDefault="00000000">
          <w:pPr>
            <w:pStyle w:val="TOC3"/>
            <w:rPr>
              <w:rFonts w:cstheme="minorBidi"/>
              <w:bCs w:val="0"/>
              <w:noProof/>
              <w:kern w:val="2"/>
              <w:lang w:eastAsia="en-AU"/>
              <w14:ligatures w14:val="standardContextual"/>
            </w:rPr>
          </w:pPr>
          <w:hyperlink w:anchor="_Toc146877528" w:history="1">
            <w:r w:rsidR="00B2769D" w:rsidRPr="009A694E">
              <w:rPr>
                <w:rStyle w:val="Hyperlink"/>
                <w:noProof/>
              </w:rPr>
              <w:t>Recommendation</w:t>
            </w:r>
            <w:r w:rsidR="00B2769D">
              <w:rPr>
                <w:noProof/>
                <w:webHidden/>
              </w:rPr>
              <w:tab/>
            </w:r>
            <w:r w:rsidR="00B2769D">
              <w:rPr>
                <w:noProof/>
                <w:webHidden/>
              </w:rPr>
              <w:fldChar w:fldCharType="begin"/>
            </w:r>
            <w:r w:rsidR="00B2769D">
              <w:rPr>
                <w:noProof/>
                <w:webHidden/>
              </w:rPr>
              <w:instrText xml:space="preserve"> PAGEREF _Toc146877528 \h </w:instrText>
            </w:r>
            <w:r w:rsidR="00B2769D">
              <w:rPr>
                <w:noProof/>
                <w:webHidden/>
              </w:rPr>
            </w:r>
            <w:r w:rsidR="00B2769D">
              <w:rPr>
                <w:noProof/>
                <w:webHidden/>
              </w:rPr>
              <w:fldChar w:fldCharType="separate"/>
            </w:r>
            <w:r w:rsidR="000C7C2F">
              <w:rPr>
                <w:noProof/>
                <w:webHidden/>
              </w:rPr>
              <w:t>19</w:t>
            </w:r>
            <w:r w:rsidR="00B2769D">
              <w:rPr>
                <w:noProof/>
                <w:webHidden/>
              </w:rPr>
              <w:fldChar w:fldCharType="end"/>
            </w:r>
          </w:hyperlink>
        </w:p>
        <w:p w14:paraId="0279EA71" w14:textId="488F71E5" w:rsidR="00B2769D" w:rsidRDefault="00000000">
          <w:pPr>
            <w:pStyle w:val="TOC1"/>
            <w:rPr>
              <w:rFonts w:eastAsiaTheme="minorEastAsia"/>
              <w:b w:val="0"/>
              <w:bCs w:val="0"/>
              <w:kern w:val="2"/>
              <w:sz w:val="22"/>
              <w:szCs w:val="22"/>
              <w:lang w:eastAsia="en-AU"/>
              <w14:ligatures w14:val="standardContextual"/>
            </w:rPr>
          </w:pPr>
          <w:hyperlink w:anchor="_Toc146877529" w:history="1">
            <w:r w:rsidR="00B2769D" w:rsidRPr="009A694E">
              <w:rPr>
                <w:rStyle w:val="Hyperlink"/>
              </w:rPr>
              <w:t>Part 3 - Reasonable adjustments and preventing discrimination as positive duties</w:t>
            </w:r>
            <w:r w:rsidR="00B2769D">
              <w:rPr>
                <w:webHidden/>
              </w:rPr>
              <w:tab/>
            </w:r>
            <w:r w:rsidR="00B2769D">
              <w:rPr>
                <w:webHidden/>
              </w:rPr>
              <w:fldChar w:fldCharType="begin"/>
            </w:r>
            <w:r w:rsidR="00B2769D">
              <w:rPr>
                <w:webHidden/>
              </w:rPr>
              <w:instrText xml:space="preserve"> PAGEREF _Toc146877529 \h </w:instrText>
            </w:r>
            <w:r w:rsidR="00B2769D">
              <w:rPr>
                <w:webHidden/>
              </w:rPr>
            </w:r>
            <w:r w:rsidR="00B2769D">
              <w:rPr>
                <w:webHidden/>
              </w:rPr>
              <w:fldChar w:fldCharType="separate"/>
            </w:r>
            <w:r w:rsidR="000C7C2F">
              <w:rPr>
                <w:webHidden/>
              </w:rPr>
              <w:t>20</w:t>
            </w:r>
            <w:r w:rsidR="00B2769D">
              <w:rPr>
                <w:webHidden/>
              </w:rPr>
              <w:fldChar w:fldCharType="end"/>
            </w:r>
          </w:hyperlink>
        </w:p>
        <w:p w14:paraId="1A23AFC5" w14:textId="2729D8E7" w:rsidR="00B2769D" w:rsidRDefault="00000000">
          <w:pPr>
            <w:pStyle w:val="TOC3"/>
            <w:rPr>
              <w:rFonts w:cstheme="minorBidi"/>
              <w:bCs w:val="0"/>
              <w:noProof/>
              <w:kern w:val="2"/>
              <w:lang w:eastAsia="en-AU"/>
              <w14:ligatures w14:val="standardContextual"/>
            </w:rPr>
          </w:pPr>
          <w:hyperlink w:anchor="_Toc146877530" w:history="1">
            <w:r w:rsidR="00B2769D" w:rsidRPr="009A694E">
              <w:rPr>
                <w:rStyle w:val="Hyperlink"/>
                <w:noProof/>
              </w:rPr>
              <w:t>The example of the United Kingdom and Victoria</w:t>
            </w:r>
            <w:r w:rsidR="00B2769D">
              <w:rPr>
                <w:noProof/>
                <w:webHidden/>
              </w:rPr>
              <w:tab/>
            </w:r>
            <w:r w:rsidR="00B2769D">
              <w:rPr>
                <w:noProof/>
                <w:webHidden/>
              </w:rPr>
              <w:fldChar w:fldCharType="begin"/>
            </w:r>
            <w:r w:rsidR="00B2769D">
              <w:rPr>
                <w:noProof/>
                <w:webHidden/>
              </w:rPr>
              <w:instrText xml:space="preserve"> PAGEREF _Toc146877530 \h </w:instrText>
            </w:r>
            <w:r w:rsidR="00B2769D">
              <w:rPr>
                <w:noProof/>
                <w:webHidden/>
              </w:rPr>
            </w:r>
            <w:r w:rsidR="00B2769D">
              <w:rPr>
                <w:noProof/>
                <w:webHidden/>
              </w:rPr>
              <w:fldChar w:fldCharType="separate"/>
            </w:r>
            <w:r w:rsidR="000C7C2F">
              <w:rPr>
                <w:noProof/>
                <w:webHidden/>
              </w:rPr>
              <w:t>21</w:t>
            </w:r>
            <w:r w:rsidR="00B2769D">
              <w:rPr>
                <w:noProof/>
                <w:webHidden/>
              </w:rPr>
              <w:fldChar w:fldCharType="end"/>
            </w:r>
          </w:hyperlink>
        </w:p>
        <w:p w14:paraId="661ACD51" w14:textId="5098F75A" w:rsidR="00B2769D" w:rsidRDefault="00000000">
          <w:pPr>
            <w:pStyle w:val="TOC3"/>
            <w:rPr>
              <w:rFonts w:cstheme="minorBidi"/>
              <w:bCs w:val="0"/>
              <w:noProof/>
              <w:kern w:val="2"/>
              <w:lang w:eastAsia="en-AU"/>
              <w14:ligatures w14:val="standardContextual"/>
            </w:rPr>
          </w:pPr>
          <w:hyperlink w:anchor="_Toc146877531" w:history="1">
            <w:r w:rsidR="00B2769D" w:rsidRPr="009A694E">
              <w:rPr>
                <w:rStyle w:val="Hyperlink"/>
                <w:noProof/>
              </w:rPr>
              <w:t>Recommendations</w:t>
            </w:r>
            <w:r w:rsidR="00B2769D">
              <w:rPr>
                <w:noProof/>
                <w:webHidden/>
              </w:rPr>
              <w:tab/>
            </w:r>
            <w:r w:rsidR="00B2769D">
              <w:rPr>
                <w:noProof/>
                <w:webHidden/>
              </w:rPr>
              <w:fldChar w:fldCharType="begin"/>
            </w:r>
            <w:r w:rsidR="00B2769D">
              <w:rPr>
                <w:noProof/>
                <w:webHidden/>
              </w:rPr>
              <w:instrText xml:space="preserve"> PAGEREF _Toc146877531 \h </w:instrText>
            </w:r>
            <w:r w:rsidR="00B2769D">
              <w:rPr>
                <w:noProof/>
                <w:webHidden/>
              </w:rPr>
            </w:r>
            <w:r w:rsidR="00B2769D">
              <w:rPr>
                <w:noProof/>
                <w:webHidden/>
              </w:rPr>
              <w:fldChar w:fldCharType="separate"/>
            </w:r>
            <w:r w:rsidR="000C7C2F">
              <w:rPr>
                <w:noProof/>
                <w:webHidden/>
              </w:rPr>
              <w:t>24</w:t>
            </w:r>
            <w:r w:rsidR="00B2769D">
              <w:rPr>
                <w:noProof/>
                <w:webHidden/>
              </w:rPr>
              <w:fldChar w:fldCharType="end"/>
            </w:r>
          </w:hyperlink>
        </w:p>
        <w:p w14:paraId="2D438879" w14:textId="5A6777E6" w:rsidR="00B2769D" w:rsidRDefault="00000000">
          <w:pPr>
            <w:pStyle w:val="TOC1"/>
            <w:rPr>
              <w:rFonts w:eastAsiaTheme="minorEastAsia"/>
              <w:b w:val="0"/>
              <w:bCs w:val="0"/>
              <w:kern w:val="2"/>
              <w:sz w:val="22"/>
              <w:szCs w:val="22"/>
              <w:lang w:eastAsia="en-AU"/>
              <w14:ligatures w14:val="standardContextual"/>
            </w:rPr>
          </w:pPr>
          <w:hyperlink w:anchor="_Toc146877532" w:history="1">
            <w:r w:rsidR="00B2769D" w:rsidRPr="009A694E">
              <w:rPr>
                <w:rStyle w:val="Hyperlink"/>
              </w:rPr>
              <w:t>Part 4 - Access to justice: decision support services and strengthening Anti-Discrimination NSW</w:t>
            </w:r>
            <w:r w:rsidR="00B2769D">
              <w:rPr>
                <w:webHidden/>
              </w:rPr>
              <w:tab/>
            </w:r>
            <w:r w:rsidR="00B2769D">
              <w:rPr>
                <w:webHidden/>
              </w:rPr>
              <w:fldChar w:fldCharType="begin"/>
            </w:r>
            <w:r w:rsidR="00B2769D">
              <w:rPr>
                <w:webHidden/>
              </w:rPr>
              <w:instrText xml:space="preserve"> PAGEREF _Toc146877532 \h </w:instrText>
            </w:r>
            <w:r w:rsidR="00B2769D">
              <w:rPr>
                <w:webHidden/>
              </w:rPr>
            </w:r>
            <w:r w:rsidR="00B2769D">
              <w:rPr>
                <w:webHidden/>
              </w:rPr>
              <w:fldChar w:fldCharType="separate"/>
            </w:r>
            <w:r w:rsidR="000C7C2F">
              <w:rPr>
                <w:webHidden/>
              </w:rPr>
              <w:t>25</w:t>
            </w:r>
            <w:r w:rsidR="00B2769D">
              <w:rPr>
                <w:webHidden/>
              </w:rPr>
              <w:fldChar w:fldCharType="end"/>
            </w:r>
          </w:hyperlink>
        </w:p>
        <w:p w14:paraId="12D760F4" w14:textId="2B3B4FE7" w:rsidR="00B2769D" w:rsidRDefault="00000000">
          <w:pPr>
            <w:pStyle w:val="TOC3"/>
            <w:rPr>
              <w:rFonts w:cstheme="minorBidi"/>
              <w:bCs w:val="0"/>
              <w:noProof/>
              <w:kern w:val="2"/>
              <w:lang w:eastAsia="en-AU"/>
              <w14:ligatures w14:val="standardContextual"/>
            </w:rPr>
          </w:pPr>
          <w:hyperlink w:anchor="_Toc146877533" w:history="1">
            <w:r w:rsidR="00B2769D" w:rsidRPr="009A694E">
              <w:rPr>
                <w:rStyle w:val="Hyperlink"/>
                <w:noProof/>
              </w:rPr>
              <w:t>Capacity and decision support services</w:t>
            </w:r>
            <w:r w:rsidR="00B2769D">
              <w:rPr>
                <w:noProof/>
                <w:webHidden/>
              </w:rPr>
              <w:tab/>
            </w:r>
            <w:r w:rsidR="00B2769D">
              <w:rPr>
                <w:noProof/>
                <w:webHidden/>
              </w:rPr>
              <w:fldChar w:fldCharType="begin"/>
            </w:r>
            <w:r w:rsidR="00B2769D">
              <w:rPr>
                <w:noProof/>
                <w:webHidden/>
              </w:rPr>
              <w:instrText xml:space="preserve"> PAGEREF _Toc146877533 \h </w:instrText>
            </w:r>
            <w:r w:rsidR="00B2769D">
              <w:rPr>
                <w:noProof/>
                <w:webHidden/>
              </w:rPr>
            </w:r>
            <w:r w:rsidR="00B2769D">
              <w:rPr>
                <w:noProof/>
                <w:webHidden/>
              </w:rPr>
              <w:fldChar w:fldCharType="separate"/>
            </w:r>
            <w:r w:rsidR="000C7C2F">
              <w:rPr>
                <w:noProof/>
                <w:webHidden/>
              </w:rPr>
              <w:t>25</w:t>
            </w:r>
            <w:r w:rsidR="00B2769D">
              <w:rPr>
                <w:noProof/>
                <w:webHidden/>
              </w:rPr>
              <w:fldChar w:fldCharType="end"/>
            </w:r>
          </w:hyperlink>
        </w:p>
        <w:p w14:paraId="6BAF1FB1" w14:textId="331B8478" w:rsidR="00B2769D" w:rsidRDefault="00000000">
          <w:pPr>
            <w:pStyle w:val="TOC3"/>
            <w:rPr>
              <w:rFonts w:cstheme="minorBidi"/>
              <w:bCs w:val="0"/>
              <w:noProof/>
              <w:kern w:val="2"/>
              <w:lang w:eastAsia="en-AU"/>
              <w14:ligatures w14:val="standardContextual"/>
            </w:rPr>
          </w:pPr>
          <w:hyperlink w:anchor="_Toc146877534" w:history="1">
            <w:r w:rsidR="00B2769D" w:rsidRPr="009A694E">
              <w:rPr>
                <w:rStyle w:val="Hyperlink"/>
                <w:noProof/>
              </w:rPr>
              <w:t>Strengthening Anti-Discrimination NSW</w:t>
            </w:r>
            <w:r w:rsidR="00B2769D">
              <w:rPr>
                <w:noProof/>
                <w:webHidden/>
              </w:rPr>
              <w:tab/>
            </w:r>
            <w:r w:rsidR="00B2769D">
              <w:rPr>
                <w:noProof/>
                <w:webHidden/>
              </w:rPr>
              <w:fldChar w:fldCharType="begin"/>
            </w:r>
            <w:r w:rsidR="00B2769D">
              <w:rPr>
                <w:noProof/>
                <w:webHidden/>
              </w:rPr>
              <w:instrText xml:space="preserve"> PAGEREF _Toc146877534 \h </w:instrText>
            </w:r>
            <w:r w:rsidR="00B2769D">
              <w:rPr>
                <w:noProof/>
                <w:webHidden/>
              </w:rPr>
            </w:r>
            <w:r w:rsidR="00B2769D">
              <w:rPr>
                <w:noProof/>
                <w:webHidden/>
              </w:rPr>
              <w:fldChar w:fldCharType="separate"/>
            </w:r>
            <w:r w:rsidR="000C7C2F">
              <w:rPr>
                <w:noProof/>
                <w:webHidden/>
              </w:rPr>
              <w:t>26</w:t>
            </w:r>
            <w:r w:rsidR="00B2769D">
              <w:rPr>
                <w:noProof/>
                <w:webHidden/>
              </w:rPr>
              <w:fldChar w:fldCharType="end"/>
            </w:r>
          </w:hyperlink>
        </w:p>
        <w:p w14:paraId="385FCC34" w14:textId="73A4B406" w:rsidR="00B2769D" w:rsidRDefault="00000000">
          <w:pPr>
            <w:pStyle w:val="TOC3"/>
            <w:rPr>
              <w:rFonts w:cstheme="minorBidi"/>
              <w:bCs w:val="0"/>
              <w:noProof/>
              <w:kern w:val="2"/>
              <w:lang w:eastAsia="en-AU"/>
              <w14:ligatures w14:val="standardContextual"/>
            </w:rPr>
          </w:pPr>
          <w:hyperlink w:anchor="_Toc146877535" w:history="1">
            <w:r w:rsidR="00B2769D" w:rsidRPr="009A694E">
              <w:rPr>
                <w:rStyle w:val="Hyperlink"/>
                <w:noProof/>
              </w:rPr>
              <w:t>Recommendations</w:t>
            </w:r>
            <w:r w:rsidR="00B2769D">
              <w:rPr>
                <w:noProof/>
                <w:webHidden/>
              </w:rPr>
              <w:tab/>
            </w:r>
            <w:r w:rsidR="00B2769D">
              <w:rPr>
                <w:noProof/>
                <w:webHidden/>
              </w:rPr>
              <w:fldChar w:fldCharType="begin"/>
            </w:r>
            <w:r w:rsidR="00B2769D">
              <w:rPr>
                <w:noProof/>
                <w:webHidden/>
              </w:rPr>
              <w:instrText xml:space="preserve"> PAGEREF _Toc146877535 \h </w:instrText>
            </w:r>
            <w:r w:rsidR="00B2769D">
              <w:rPr>
                <w:noProof/>
                <w:webHidden/>
              </w:rPr>
            </w:r>
            <w:r w:rsidR="00B2769D">
              <w:rPr>
                <w:noProof/>
                <w:webHidden/>
              </w:rPr>
              <w:fldChar w:fldCharType="separate"/>
            </w:r>
            <w:r w:rsidR="000C7C2F">
              <w:rPr>
                <w:noProof/>
                <w:webHidden/>
              </w:rPr>
              <w:t>27</w:t>
            </w:r>
            <w:r w:rsidR="00B2769D">
              <w:rPr>
                <w:noProof/>
                <w:webHidden/>
              </w:rPr>
              <w:fldChar w:fldCharType="end"/>
            </w:r>
          </w:hyperlink>
        </w:p>
        <w:p w14:paraId="4E29A6F4" w14:textId="2D486864" w:rsidR="00B2769D" w:rsidRDefault="00000000">
          <w:pPr>
            <w:pStyle w:val="TOC1"/>
            <w:rPr>
              <w:rFonts w:eastAsiaTheme="minorEastAsia"/>
              <w:b w:val="0"/>
              <w:bCs w:val="0"/>
              <w:kern w:val="2"/>
              <w:sz w:val="22"/>
              <w:szCs w:val="22"/>
              <w:lang w:eastAsia="en-AU"/>
              <w14:ligatures w14:val="standardContextual"/>
            </w:rPr>
          </w:pPr>
          <w:hyperlink w:anchor="_Toc146877536" w:history="1">
            <w:r w:rsidR="00B2769D" w:rsidRPr="009A694E">
              <w:rPr>
                <w:rStyle w:val="Hyperlink"/>
              </w:rPr>
              <w:t>Conclusion</w:t>
            </w:r>
            <w:r w:rsidR="00B2769D">
              <w:rPr>
                <w:webHidden/>
              </w:rPr>
              <w:tab/>
            </w:r>
            <w:r w:rsidR="00B2769D">
              <w:rPr>
                <w:webHidden/>
              </w:rPr>
              <w:fldChar w:fldCharType="begin"/>
            </w:r>
            <w:r w:rsidR="00B2769D">
              <w:rPr>
                <w:webHidden/>
              </w:rPr>
              <w:instrText xml:space="preserve"> PAGEREF _Toc146877536 \h </w:instrText>
            </w:r>
            <w:r w:rsidR="00B2769D">
              <w:rPr>
                <w:webHidden/>
              </w:rPr>
            </w:r>
            <w:r w:rsidR="00B2769D">
              <w:rPr>
                <w:webHidden/>
              </w:rPr>
              <w:fldChar w:fldCharType="separate"/>
            </w:r>
            <w:r w:rsidR="000C7C2F">
              <w:rPr>
                <w:webHidden/>
              </w:rPr>
              <w:t>29</w:t>
            </w:r>
            <w:r w:rsidR="00B2769D">
              <w:rPr>
                <w:webHidden/>
              </w:rPr>
              <w:fldChar w:fldCharType="end"/>
            </w:r>
          </w:hyperlink>
        </w:p>
        <w:p w14:paraId="6773201B" w14:textId="51178128" w:rsidR="0097670E" w:rsidRPr="008A3ECE" w:rsidRDefault="00B467AB" w:rsidP="008A3ECE">
          <w:pPr>
            <w:pStyle w:val="TOC3"/>
            <w:spacing w:line="336" w:lineRule="auto"/>
            <w:ind w:left="1440"/>
            <w:rPr>
              <w:rFonts w:cstheme="minorHAnsi"/>
            </w:rPr>
          </w:pPr>
          <w:r w:rsidRPr="00940780">
            <w:rPr>
              <w:rFonts w:ascii="VAG Rounded" w:hAnsi="VAG Rounded" w:cstheme="minorHAnsi"/>
              <w:b/>
              <w:bCs w:val="0"/>
              <w:noProof/>
            </w:rPr>
            <w:fldChar w:fldCharType="end"/>
          </w:r>
        </w:p>
      </w:sdtContent>
    </w:sdt>
    <w:bookmarkStart w:id="60" w:name="_Toc146291270" w:displacedByCustomXml="prev"/>
    <w:bookmarkStart w:id="61" w:name="_Toc136867592" w:displacedByCustomXml="prev"/>
    <w:bookmarkStart w:id="62" w:name="_Toc136805644" w:displacedByCustomXml="prev"/>
    <w:bookmarkStart w:id="63" w:name="_Toc136544401" w:displacedByCustomXml="prev"/>
    <w:bookmarkStart w:id="64" w:name="_Toc136542541" w:displacedByCustomXml="prev"/>
    <w:bookmarkStart w:id="65" w:name="_Toc122010539" w:displacedByCustomXml="prev"/>
    <w:bookmarkStart w:id="66" w:name="_Toc121904240" w:displacedByCustomXml="prev"/>
    <w:bookmarkStart w:id="67" w:name="_Toc119605127" w:displacedByCustomXml="prev"/>
    <w:bookmarkStart w:id="68" w:name="_Toc117749735" w:displacedByCustomXml="prev"/>
    <w:p w14:paraId="51A549CE" w14:textId="750B8C31" w:rsidR="005657A2" w:rsidRPr="008A3ECE" w:rsidRDefault="005657A2" w:rsidP="00BA1B07">
      <w:pPr>
        <w:pStyle w:val="Heading1"/>
        <w:spacing w:line="312" w:lineRule="auto"/>
        <w:rPr>
          <w:sz w:val="52"/>
          <w:szCs w:val="52"/>
        </w:rPr>
      </w:pPr>
      <w:bookmarkStart w:id="69" w:name="_Toc146877513"/>
      <w:r w:rsidRPr="008A3ECE">
        <w:rPr>
          <w:sz w:val="52"/>
          <w:szCs w:val="52"/>
        </w:rPr>
        <w:lastRenderedPageBreak/>
        <w:t>About PWDA</w:t>
      </w:r>
      <w:bookmarkEnd w:id="68"/>
      <w:bookmarkEnd w:id="67"/>
      <w:bookmarkEnd w:id="66"/>
      <w:bookmarkEnd w:id="65"/>
      <w:bookmarkEnd w:id="64"/>
      <w:bookmarkEnd w:id="63"/>
      <w:bookmarkEnd w:id="62"/>
      <w:bookmarkEnd w:id="61"/>
      <w:bookmarkEnd w:id="60"/>
      <w:bookmarkEnd w:id="69"/>
    </w:p>
    <w:p w14:paraId="4D0D49D0" w14:textId="77777777" w:rsidR="005657A2" w:rsidRPr="00871656" w:rsidRDefault="005657A2" w:rsidP="008A3ECE">
      <w:pPr>
        <w:spacing w:line="312" w:lineRule="auto"/>
        <w:rPr>
          <w:rFonts w:cstheme="minorHAnsi"/>
        </w:rPr>
      </w:pPr>
      <w:r w:rsidRPr="00871656">
        <w:rPr>
          <w:rFonts w:cstheme="minorHAnsi"/>
        </w:rPr>
        <w:t>People with Disability Australia (PWDA) is a national disability rights and advocacy organisation made up of, and led by, people with disability.</w:t>
      </w:r>
    </w:p>
    <w:p w14:paraId="11D59292" w14:textId="77777777" w:rsidR="005657A2" w:rsidRPr="00871656" w:rsidRDefault="005657A2" w:rsidP="008A3ECE">
      <w:pPr>
        <w:spacing w:line="312" w:lineRule="auto"/>
        <w:rPr>
          <w:rFonts w:cstheme="minorHAnsi"/>
        </w:rPr>
      </w:pPr>
      <w:r w:rsidRPr="00871656">
        <w:rPr>
          <w:rFonts w:cstheme="minorHAnsi"/>
        </w:rPr>
        <w:t>We have a vision of a socially just, accessible and inclusive community in which the contribution, potential and diversity of people with disability are not only recognised and respected but also celebrated.</w:t>
      </w:r>
    </w:p>
    <w:p w14:paraId="4964B4FE" w14:textId="77777777" w:rsidR="005657A2" w:rsidRPr="00871656" w:rsidRDefault="005657A2" w:rsidP="008A3ECE">
      <w:pPr>
        <w:spacing w:line="312" w:lineRule="auto"/>
        <w:rPr>
          <w:rFonts w:cstheme="minorHAnsi"/>
        </w:rPr>
      </w:pPr>
      <w:r w:rsidRPr="00871656">
        <w:rPr>
          <w:rFonts w:cstheme="minorHAnsi"/>
        </w:rPr>
        <w:t xml:space="preserve">PWDA was established in 1981, during the International Year of Disabled Persons. </w:t>
      </w:r>
    </w:p>
    <w:p w14:paraId="378058D4" w14:textId="77777777" w:rsidR="005657A2" w:rsidRPr="00871656" w:rsidRDefault="005657A2" w:rsidP="008A3ECE">
      <w:pPr>
        <w:spacing w:line="312" w:lineRule="auto"/>
        <w:rPr>
          <w:rFonts w:cstheme="minorHAnsi"/>
        </w:rPr>
      </w:pPr>
      <w:r w:rsidRPr="00871656">
        <w:rPr>
          <w:rFonts w:cstheme="minorHAnsi"/>
        </w:rPr>
        <w:t>We are a peak, non-profit, non-government organisation that represents the interests of people with all kinds of disability.</w:t>
      </w:r>
    </w:p>
    <w:p w14:paraId="51DC8DB6" w14:textId="77777777" w:rsidR="005657A2" w:rsidRPr="00871656" w:rsidRDefault="005657A2" w:rsidP="008A3ECE">
      <w:pPr>
        <w:spacing w:line="312" w:lineRule="auto"/>
        <w:rPr>
          <w:rFonts w:cstheme="minorHAnsi"/>
        </w:rPr>
      </w:pPr>
      <w:r w:rsidRPr="00871656">
        <w:rPr>
          <w:rFonts w:cstheme="minorHAnsi"/>
        </w:rPr>
        <w:t>We also represent people with disability at the United Nations, particularly in relation to the United Nations Convention on the Rights of Persons with Disabilities (CRPD).</w:t>
      </w:r>
    </w:p>
    <w:p w14:paraId="15357103" w14:textId="77777777" w:rsidR="005657A2" w:rsidRPr="00871656" w:rsidRDefault="005657A2" w:rsidP="008A3ECE">
      <w:pPr>
        <w:spacing w:line="312" w:lineRule="auto"/>
        <w:rPr>
          <w:rFonts w:cstheme="minorHAnsi"/>
        </w:rPr>
      </w:pPr>
      <w:r w:rsidRPr="00871656">
        <w:rPr>
          <w:rFonts w:cstheme="minorHAnsi"/>
        </w:rPr>
        <w:t>Our work is grounded in a human rights framework that recognises the CRPD and related mechanisms as fundamental tools for advancing the rights of people with disability.</w:t>
      </w:r>
    </w:p>
    <w:p w14:paraId="3E3D372A" w14:textId="77777777" w:rsidR="005657A2" w:rsidRPr="00871656" w:rsidRDefault="005657A2" w:rsidP="008A3ECE">
      <w:pPr>
        <w:spacing w:line="312" w:lineRule="auto"/>
        <w:rPr>
          <w:rFonts w:cstheme="minorHAnsi"/>
        </w:rPr>
      </w:pPr>
      <w:r w:rsidRPr="00871656">
        <w:rPr>
          <w:rFonts w:cstheme="minorHAnsi"/>
        </w:rPr>
        <w:t>PWDA is a member of Disabled People’s Organisations Australia (DPO Australia), along with the First People’s Disability Network, National Ethnic Disability Alliance, and Women with Disabilities Australia.</w:t>
      </w:r>
    </w:p>
    <w:p w14:paraId="4D7A0D24" w14:textId="77777777" w:rsidR="005657A2" w:rsidRPr="00871656" w:rsidRDefault="005657A2" w:rsidP="008A3ECE">
      <w:pPr>
        <w:spacing w:line="312" w:lineRule="auto"/>
        <w:rPr>
          <w:rFonts w:cstheme="minorHAnsi"/>
        </w:rPr>
      </w:pPr>
      <w:r w:rsidRPr="00871656">
        <w:rPr>
          <w:rFonts w:cstheme="minorHAnsi"/>
        </w:rPr>
        <w:t>DPOs collectively form a disability rights movement that places people with disability at the centre of decision-making in all aspects of our lives.</w:t>
      </w:r>
    </w:p>
    <w:p w14:paraId="6BDE7E6F" w14:textId="2E91A36E" w:rsidR="005657A2" w:rsidRPr="00871656" w:rsidRDefault="005657A2" w:rsidP="008A3ECE">
      <w:pPr>
        <w:spacing w:line="312" w:lineRule="auto"/>
        <w:rPr>
          <w:rFonts w:cstheme="minorHAnsi"/>
        </w:rPr>
      </w:pPr>
      <w:r w:rsidRPr="00871656">
        <w:rPr>
          <w:rFonts w:cstheme="minorHAnsi"/>
        </w:rPr>
        <w:t>The work of PWDA embraces the ‘Nothing About Us, Without Us’ motto of the international disability community and Disabled Peoples’ International, the international organisation representing national organisations of people with disability in over 130 countries.</w:t>
      </w:r>
    </w:p>
    <w:p w14:paraId="7E223311" w14:textId="77777777" w:rsidR="005657A2" w:rsidRPr="00871656" w:rsidRDefault="005657A2" w:rsidP="008A3ECE">
      <w:pPr>
        <w:spacing w:line="312" w:lineRule="auto"/>
        <w:rPr>
          <w:rFonts w:cstheme="minorHAnsi"/>
        </w:rPr>
      </w:pPr>
    </w:p>
    <w:p w14:paraId="15A82F5D" w14:textId="77777777" w:rsidR="005657A2" w:rsidRPr="00871656" w:rsidRDefault="005657A2" w:rsidP="008A3ECE">
      <w:pPr>
        <w:spacing w:line="312" w:lineRule="auto"/>
        <w:rPr>
          <w:rFonts w:cstheme="minorHAnsi"/>
        </w:rPr>
      </w:pPr>
    </w:p>
    <w:p w14:paraId="6163C627" w14:textId="40E35271" w:rsidR="00E566BA" w:rsidRPr="008A3ECE" w:rsidRDefault="00A43A35" w:rsidP="008A3ECE">
      <w:pPr>
        <w:pStyle w:val="Heading1"/>
        <w:spacing w:line="312" w:lineRule="auto"/>
        <w:rPr>
          <w:sz w:val="52"/>
          <w:szCs w:val="52"/>
        </w:rPr>
      </w:pPr>
      <w:bookmarkStart w:id="70" w:name="_Toc146877514"/>
      <w:r w:rsidRPr="008A3ECE">
        <w:rPr>
          <w:sz w:val="52"/>
          <w:szCs w:val="52"/>
        </w:rPr>
        <w:lastRenderedPageBreak/>
        <w:t>Introduction</w:t>
      </w:r>
      <w:bookmarkEnd w:id="70"/>
      <w:r w:rsidRPr="008A3ECE">
        <w:rPr>
          <w:sz w:val="52"/>
          <w:szCs w:val="52"/>
        </w:rPr>
        <w:t xml:space="preserve"> </w:t>
      </w:r>
    </w:p>
    <w:p w14:paraId="23D74E0E" w14:textId="66302F56" w:rsidR="00AD3F8A" w:rsidRPr="00871656" w:rsidRDefault="00EF03DD" w:rsidP="008A3ECE">
      <w:pPr>
        <w:pStyle w:val="BodyText"/>
        <w:spacing w:line="312" w:lineRule="auto"/>
        <w:rPr>
          <w:rFonts w:asciiTheme="minorHAnsi" w:hAnsiTheme="minorHAnsi" w:cstheme="minorHAnsi"/>
          <w:color w:val="auto"/>
        </w:rPr>
      </w:pPr>
      <w:r w:rsidRPr="00871656">
        <w:rPr>
          <w:rFonts w:asciiTheme="minorHAnsi" w:hAnsiTheme="minorHAnsi" w:cstheme="minorHAnsi"/>
        </w:rPr>
        <w:t xml:space="preserve">PWDA welcomes the opportunity to </w:t>
      </w:r>
      <w:r w:rsidR="00051330">
        <w:rPr>
          <w:rFonts w:asciiTheme="minorHAnsi" w:hAnsiTheme="minorHAnsi" w:cstheme="minorHAnsi"/>
        </w:rPr>
        <w:t xml:space="preserve">provide preliminary </w:t>
      </w:r>
      <w:r w:rsidRPr="00871656">
        <w:rPr>
          <w:rFonts w:asciiTheme="minorHAnsi" w:hAnsiTheme="minorHAnsi" w:cstheme="minorHAnsi"/>
        </w:rPr>
        <w:t>comment</w:t>
      </w:r>
      <w:r w:rsidR="00051330">
        <w:rPr>
          <w:rFonts w:asciiTheme="minorHAnsi" w:hAnsiTheme="minorHAnsi" w:cstheme="minorHAnsi"/>
        </w:rPr>
        <w:t>s</w:t>
      </w:r>
      <w:r w:rsidRPr="00871656">
        <w:rPr>
          <w:rFonts w:asciiTheme="minorHAnsi" w:hAnsiTheme="minorHAnsi" w:cstheme="minorHAnsi"/>
        </w:rPr>
        <w:t xml:space="preserve"> on the </w:t>
      </w:r>
      <w:r w:rsidR="000C47EF" w:rsidRPr="00871656">
        <w:rPr>
          <w:rFonts w:asciiTheme="minorHAnsi" w:hAnsiTheme="minorHAnsi" w:cstheme="minorHAnsi"/>
          <w:color w:val="auto"/>
        </w:rPr>
        <w:t>N</w:t>
      </w:r>
      <w:r w:rsidR="004262BB" w:rsidRPr="00871656">
        <w:rPr>
          <w:rFonts w:asciiTheme="minorHAnsi" w:hAnsiTheme="minorHAnsi" w:cstheme="minorHAnsi"/>
          <w:color w:val="auto"/>
        </w:rPr>
        <w:t xml:space="preserve">ew </w:t>
      </w:r>
      <w:r w:rsidR="000C47EF" w:rsidRPr="00871656">
        <w:rPr>
          <w:rFonts w:asciiTheme="minorHAnsi" w:hAnsiTheme="minorHAnsi" w:cstheme="minorHAnsi"/>
          <w:color w:val="auto"/>
        </w:rPr>
        <w:t>S</w:t>
      </w:r>
      <w:r w:rsidR="004262BB" w:rsidRPr="00871656">
        <w:rPr>
          <w:rFonts w:asciiTheme="minorHAnsi" w:hAnsiTheme="minorHAnsi" w:cstheme="minorHAnsi"/>
          <w:color w:val="auto"/>
        </w:rPr>
        <w:t xml:space="preserve">outh </w:t>
      </w:r>
      <w:r w:rsidR="000C47EF" w:rsidRPr="00871656">
        <w:rPr>
          <w:rFonts w:asciiTheme="minorHAnsi" w:hAnsiTheme="minorHAnsi" w:cstheme="minorHAnsi"/>
          <w:color w:val="auto"/>
        </w:rPr>
        <w:t>W</w:t>
      </w:r>
      <w:r w:rsidR="004262BB" w:rsidRPr="00871656">
        <w:rPr>
          <w:rFonts w:asciiTheme="minorHAnsi" w:hAnsiTheme="minorHAnsi" w:cstheme="minorHAnsi"/>
          <w:color w:val="auto"/>
        </w:rPr>
        <w:t>ales</w:t>
      </w:r>
      <w:r w:rsidR="000C47EF" w:rsidRPr="00871656">
        <w:rPr>
          <w:rFonts w:asciiTheme="minorHAnsi" w:hAnsiTheme="minorHAnsi" w:cstheme="minorHAnsi"/>
          <w:color w:val="auto"/>
        </w:rPr>
        <w:t xml:space="preserve"> Law Reform Commission</w:t>
      </w:r>
      <w:r w:rsidR="00755E1A">
        <w:rPr>
          <w:rFonts w:asciiTheme="minorHAnsi" w:hAnsiTheme="minorHAnsi" w:cstheme="minorHAnsi"/>
          <w:color w:val="auto"/>
        </w:rPr>
        <w:t>’s</w:t>
      </w:r>
      <w:r w:rsidR="004262BB" w:rsidRPr="00871656">
        <w:rPr>
          <w:rFonts w:asciiTheme="minorHAnsi" w:hAnsiTheme="minorHAnsi" w:cstheme="minorHAnsi"/>
          <w:color w:val="auto"/>
        </w:rPr>
        <w:t xml:space="preserve"> (NSWLRC)</w:t>
      </w:r>
      <w:r w:rsidR="000C47EF" w:rsidRPr="00871656">
        <w:rPr>
          <w:rFonts w:asciiTheme="minorHAnsi" w:hAnsiTheme="minorHAnsi" w:cstheme="minorHAnsi"/>
          <w:color w:val="auto"/>
        </w:rPr>
        <w:t xml:space="preserve"> review of the </w:t>
      </w:r>
      <w:r w:rsidR="000C47EF" w:rsidRPr="00871656">
        <w:rPr>
          <w:rFonts w:asciiTheme="minorHAnsi" w:hAnsiTheme="minorHAnsi" w:cstheme="minorHAnsi"/>
          <w:i/>
          <w:iCs/>
          <w:color w:val="auto"/>
        </w:rPr>
        <w:t>Anti-Discrimination Act 1977</w:t>
      </w:r>
      <w:r w:rsidR="000C47EF" w:rsidRPr="00871656">
        <w:rPr>
          <w:rFonts w:asciiTheme="minorHAnsi" w:hAnsiTheme="minorHAnsi" w:cstheme="minorHAnsi"/>
          <w:color w:val="auto"/>
        </w:rPr>
        <w:t xml:space="preserve"> (NSW)</w:t>
      </w:r>
      <w:r w:rsidR="00D617E4" w:rsidRPr="00871656">
        <w:rPr>
          <w:rFonts w:asciiTheme="minorHAnsi" w:hAnsiTheme="minorHAnsi" w:cstheme="minorHAnsi"/>
          <w:color w:val="auto"/>
        </w:rPr>
        <w:t xml:space="preserve"> (ADA)</w:t>
      </w:r>
      <w:r w:rsidR="000C47EF" w:rsidRPr="00871656">
        <w:rPr>
          <w:rFonts w:asciiTheme="minorHAnsi" w:hAnsiTheme="minorHAnsi" w:cstheme="minorHAnsi"/>
          <w:color w:val="auto"/>
        </w:rPr>
        <w:t>.</w:t>
      </w:r>
    </w:p>
    <w:p w14:paraId="03B5813F" w14:textId="784C912D" w:rsidR="00931AC9" w:rsidRPr="00871656" w:rsidRDefault="00991E26" w:rsidP="008A3ECE">
      <w:pPr>
        <w:spacing w:before="1" w:line="312" w:lineRule="auto"/>
        <w:ind w:right="277"/>
        <w:rPr>
          <w:rFonts w:eastAsia="Arial" w:cstheme="minorHAnsi"/>
        </w:rPr>
      </w:pPr>
      <w:r w:rsidRPr="00755E1A">
        <w:rPr>
          <w:rFonts w:cstheme="minorHAnsi"/>
        </w:rPr>
        <w:t xml:space="preserve">PWDA is Australia’s peak cross-disability Disability Representative Organisation and is also funded to provide cross-disability systemic advocacy on behalf of people with disability in New South Wales under the Department of Communities and Justice’s </w:t>
      </w:r>
      <w:r w:rsidRPr="00755E1A">
        <w:rPr>
          <w:rFonts w:cstheme="minorHAnsi"/>
          <w:i/>
          <w:iCs/>
        </w:rPr>
        <w:t>Disability Advocacy Futures Program</w:t>
      </w:r>
      <w:r w:rsidRPr="00755E1A">
        <w:rPr>
          <w:rFonts w:cstheme="minorHAnsi"/>
        </w:rPr>
        <w:t xml:space="preserve">. </w:t>
      </w:r>
      <w:r w:rsidR="00931AC9" w:rsidRPr="00871656">
        <w:rPr>
          <w:rFonts w:eastAsia="Arial" w:cstheme="minorHAnsi"/>
          <w:color w:val="000000"/>
          <w:lang w:val="en-US"/>
        </w:rPr>
        <w:t xml:space="preserve">Nationally 4.4 million Australians have a disability, </w:t>
      </w:r>
      <w:r w:rsidR="00ED45F9" w:rsidRPr="00871656">
        <w:rPr>
          <w:rFonts w:eastAsia="Arial" w:cstheme="minorHAnsi"/>
          <w:color w:val="000000"/>
          <w:lang w:val="en-US"/>
        </w:rPr>
        <w:t>around</w:t>
      </w:r>
      <w:r w:rsidR="00931AC9" w:rsidRPr="00871656">
        <w:rPr>
          <w:rFonts w:eastAsia="Arial" w:cstheme="minorHAnsi"/>
          <w:color w:val="000000"/>
          <w:lang w:val="en-US"/>
        </w:rPr>
        <w:t xml:space="preserve"> 1</w:t>
      </w:r>
      <w:r w:rsidR="00ED45F9" w:rsidRPr="00871656">
        <w:rPr>
          <w:rFonts w:eastAsia="Arial" w:cstheme="minorHAnsi"/>
          <w:color w:val="000000"/>
          <w:lang w:val="en-US"/>
        </w:rPr>
        <w:t>7.7</w:t>
      </w:r>
      <w:r w:rsidR="00931AC9" w:rsidRPr="00871656">
        <w:rPr>
          <w:rFonts w:eastAsia="Arial" w:cstheme="minorHAnsi"/>
          <w:color w:val="000000"/>
          <w:lang w:val="en-US"/>
        </w:rPr>
        <w:t>% of the population.</w:t>
      </w:r>
      <w:r w:rsidR="00931AC9" w:rsidRPr="00871656">
        <w:rPr>
          <w:rFonts w:eastAsia="Arial" w:cstheme="minorHAnsi"/>
          <w:color w:val="000000"/>
          <w:vertAlign w:val="superscript"/>
          <w:lang w:val="en-US"/>
        </w:rPr>
        <w:footnoteReference w:id="2"/>
      </w:r>
      <w:r w:rsidR="00931AC9" w:rsidRPr="00871656">
        <w:rPr>
          <w:rFonts w:eastAsia="Arial" w:cstheme="minorHAnsi"/>
          <w:color w:val="000000"/>
          <w:lang w:val="en-US"/>
        </w:rPr>
        <w:t xml:space="preserve"> </w:t>
      </w:r>
      <w:r w:rsidR="002B44C6" w:rsidRPr="00871656">
        <w:rPr>
          <w:rFonts w:eastAsia="Arial" w:cstheme="minorHAnsi"/>
          <w:color w:val="000000"/>
          <w:lang w:val="en-US"/>
        </w:rPr>
        <w:t xml:space="preserve">The most recent data shows </w:t>
      </w:r>
      <w:r w:rsidR="004262BB" w:rsidRPr="00871656">
        <w:rPr>
          <w:rFonts w:eastAsia="Arial" w:cstheme="minorHAnsi"/>
          <w:color w:val="000000"/>
          <w:lang w:val="en-US"/>
        </w:rPr>
        <w:t>that</w:t>
      </w:r>
      <w:r w:rsidR="00931AC9" w:rsidRPr="00871656">
        <w:rPr>
          <w:rFonts w:eastAsia="Arial" w:cstheme="minorHAnsi"/>
          <w:color w:val="000000"/>
          <w:lang w:val="en-US"/>
        </w:rPr>
        <w:t xml:space="preserve"> </w:t>
      </w:r>
      <w:r w:rsidR="004262BB" w:rsidRPr="00871656">
        <w:rPr>
          <w:rFonts w:eastAsia="Arial" w:cstheme="minorHAnsi"/>
          <w:color w:val="000000"/>
          <w:lang w:val="en-US"/>
        </w:rPr>
        <w:t>16.9</w:t>
      </w:r>
      <w:r w:rsidR="00931AC9" w:rsidRPr="00871656">
        <w:rPr>
          <w:rFonts w:eastAsia="Arial" w:cstheme="minorHAnsi"/>
          <w:color w:val="000000"/>
          <w:lang w:val="en-US"/>
        </w:rPr>
        <w:t xml:space="preserve">% of the </w:t>
      </w:r>
      <w:r w:rsidR="004262BB" w:rsidRPr="00871656">
        <w:rPr>
          <w:rFonts w:eastAsia="Arial" w:cstheme="minorHAnsi"/>
          <w:color w:val="000000"/>
          <w:lang w:val="en-US"/>
        </w:rPr>
        <w:t xml:space="preserve">NSW </w:t>
      </w:r>
      <w:r w:rsidR="00931AC9" w:rsidRPr="00871656">
        <w:rPr>
          <w:rFonts w:eastAsia="Arial" w:cstheme="minorHAnsi"/>
          <w:color w:val="000000"/>
          <w:lang w:val="en-US"/>
        </w:rPr>
        <w:t>population have a disability, equivalent to 1,3</w:t>
      </w:r>
      <w:r w:rsidR="004262BB" w:rsidRPr="00871656">
        <w:rPr>
          <w:rFonts w:eastAsia="Arial" w:cstheme="minorHAnsi"/>
          <w:color w:val="000000"/>
          <w:lang w:val="en-US"/>
        </w:rPr>
        <w:t>46</w:t>
      </w:r>
      <w:r w:rsidR="00931AC9" w:rsidRPr="00871656">
        <w:rPr>
          <w:rFonts w:eastAsia="Arial" w:cstheme="minorHAnsi"/>
          <w:color w:val="000000"/>
          <w:lang w:val="en-US"/>
        </w:rPr>
        <w:t>,</w:t>
      </w:r>
      <w:r w:rsidR="004262BB" w:rsidRPr="00871656">
        <w:rPr>
          <w:rFonts w:eastAsia="Arial" w:cstheme="minorHAnsi"/>
          <w:color w:val="000000"/>
          <w:lang w:val="en-US"/>
        </w:rPr>
        <w:t>2</w:t>
      </w:r>
      <w:r w:rsidR="00931AC9" w:rsidRPr="00871656">
        <w:rPr>
          <w:rFonts w:eastAsia="Arial" w:cstheme="minorHAnsi"/>
          <w:color w:val="000000"/>
          <w:lang w:val="en-US"/>
        </w:rPr>
        <w:t>00 residents.</w:t>
      </w:r>
      <w:r w:rsidR="00931AC9" w:rsidRPr="00871656">
        <w:rPr>
          <w:rFonts w:eastAsia="Arial" w:cstheme="minorHAnsi"/>
          <w:color w:val="000000"/>
          <w:vertAlign w:val="superscript"/>
          <w:lang w:val="en-US"/>
        </w:rPr>
        <w:footnoteReference w:id="3"/>
      </w:r>
    </w:p>
    <w:p w14:paraId="512618B8" w14:textId="5B018F96" w:rsidR="00E00CE1" w:rsidRPr="00871656" w:rsidRDefault="00CE0D40" w:rsidP="008A3ECE">
      <w:pPr>
        <w:pStyle w:val="BodyText"/>
        <w:spacing w:line="312" w:lineRule="auto"/>
        <w:rPr>
          <w:rFonts w:asciiTheme="minorHAnsi" w:hAnsiTheme="minorHAnsi" w:cstheme="minorHAnsi"/>
          <w:color w:val="auto"/>
        </w:rPr>
      </w:pPr>
      <w:r w:rsidRPr="00871656">
        <w:rPr>
          <w:rFonts w:asciiTheme="minorHAnsi" w:hAnsiTheme="minorHAnsi" w:cstheme="minorHAnsi"/>
        </w:rPr>
        <w:t>When compared with people without disability, p</w:t>
      </w:r>
      <w:r w:rsidR="00931AC9" w:rsidRPr="00871656">
        <w:rPr>
          <w:rFonts w:asciiTheme="minorHAnsi" w:hAnsiTheme="minorHAnsi" w:cstheme="minorHAnsi"/>
        </w:rPr>
        <w:t xml:space="preserve">eople with disability </w:t>
      </w:r>
      <w:r w:rsidRPr="00871656">
        <w:rPr>
          <w:rFonts w:asciiTheme="minorHAnsi" w:hAnsiTheme="minorHAnsi" w:cstheme="minorHAnsi"/>
        </w:rPr>
        <w:t xml:space="preserve">continue to </w:t>
      </w:r>
      <w:r w:rsidR="00931AC9" w:rsidRPr="00871656">
        <w:rPr>
          <w:rFonts w:asciiTheme="minorHAnsi" w:hAnsiTheme="minorHAnsi" w:cstheme="minorHAnsi"/>
        </w:rPr>
        <w:t>experience discrimination and poorer life outcomes across all life domains.</w:t>
      </w:r>
      <w:r w:rsidR="00931AC9" w:rsidRPr="00871656">
        <w:rPr>
          <w:rFonts w:asciiTheme="minorHAnsi" w:hAnsiTheme="minorHAnsi" w:cstheme="minorHAnsi"/>
          <w:vertAlign w:val="superscript"/>
        </w:rPr>
        <w:footnoteReference w:id="4"/>
      </w:r>
      <w:r w:rsidR="00931AC9" w:rsidRPr="00871656">
        <w:rPr>
          <w:rFonts w:asciiTheme="minorHAnsi" w:hAnsiTheme="minorHAnsi" w:cstheme="minorHAnsi"/>
        </w:rPr>
        <w:t xml:space="preserve"> </w:t>
      </w:r>
      <w:r w:rsidR="000F10EF" w:rsidRPr="00871656">
        <w:rPr>
          <w:rFonts w:asciiTheme="minorHAnsi" w:hAnsiTheme="minorHAnsi" w:cstheme="minorHAnsi"/>
        </w:rPr>
        <w:t xml:space="preserve">It is estimated that </w:t>
      </w:r>
      <w:r w:rsidR="00AE5F60" w:rsidRPr="00871656">
        <w:rPr>
          <w:rFonts w:asciiTheme="minorHAnsi" w:hAnsiTheme="minorHAnsi" w:cstheme="minorHAnsi"/>
        </w:rPr>
        <w:t xml:space="preserve">22% of people aged over 15 with </w:t>
      </w:r>
      <w:r w:rsidR="00DE4C68" w:rsidRPr="00871656">
        <w:rPr>
          <w:rFonts w:asciiTheme="minorHAnsi" w:hAnsiTheme="minorHAnsi" w:cstheme="minorHAnsi"/>
        </w:rPr>
        <w:t>disability</w:t>
      </w:r>
      <w:r w:rsidR="00AE5F60" w:rsidRPr="00871656">
        <w:rPr>
          <w:rFonts w:asciiTheme="minorHAnsi" w:hAnsiTheme="minorHAnsi" w:cstheme="minorHAnsi"/>
        </w:rPr>
        <w:t xml:space="preserve"> </w:t>
      </w:r>
      <w:r w:rsidR="007B543F" w:rsidRPr="00871656">
        <w:rPr>
          <w:rFonts w:asciiTheme="minorHAnsi" w:hAnsiTheme="minorHAnsi" w:cstheme="minorHAnsi"/>
        </w:rPr>
        <w:t xml:space="preserve">in Australia </w:t>
      </w:r>
      <w:r w:rsidR="00AE5F60" w:rsidRPr="00871656">
        <w:rPr>
          <w:rFonts w:asciiTheme="minorHAnsi" w:hAnsiTheme="minorHAnsi" w:cstheme="minorHAnsi"/>
        </w:rPr>
        <w:t>have experienced some form of discrimination</w:t>
      </w:r>
      <w:r w:rsidR="00427E49" w:rsidRPr="00871656">
        <w:rPr>
          <w:rFonts w:asciiTheme="minorHAnsi" w:hAnsiTheme="minorHAnsi" w:cstheme="minorHAnsi"/>
        </w:rPr>
        <w:t xml:space="preserve"> compared with 15% of those without disability.</w:t>
      </w:r>
      <w:r w:rsidR="007B543F" w:rsidRPr="00871656">
        <w:rPr>
          <w:rStyle w:val="FootnoteReference"/>
          <w:rFonts w:asciiTheme="minorHAnsi" w:hAnsiTheme="minorHAnsi" w:cstheme="minorHAnsi"/>
        </w:rPr>
        <w:footnoteReference w:id="5"/>
      </w:r>
      <w:r w:rsidR="00427E49" w:rsidRPr="00871656">
        <w:rPr>
          <w:rFonts w:asciiTheme="minorHAnsi" w:hAnsiTheme="minorHAnsi" w:cstheme="minorHAnsi"/>
        </w:rPr>
        <w:t xml:space="preserve"> Disability </w:t>
      </w:r>
      <w:r w:rsidR="005F033C" w:rsidRPr="00871656">
        <w:rPr>
          <w:rFonts w:asciiTheme="minorHAnsi" w:hAnsiTheme="minorHAnsi" w:cstheme="minorHAnsi"/>
        </w:rPr>
        <w:t xml:space="preserve">discrimination </w:t>
      </w:r>
      <w:r w:rsidR="00D35722" w:rsidRPr="00871656">
        <w:rPr>
          <w:rFonts w:asciiTheme="minorHAnsi" w:hAnsiTheme="minorHAnsi" w:cstheme="minorHAnsi"/>
        </w:rPr>
        <w:t xml:space="preserve">is </w:t>
      </w:r>
      <w:r w:rsidR="00427E49" w:rsidRPr="00871656">
        <w:rPr>
          <w:rFonts w:asciiTheme="minorHAnsi" w:hAnsiTheme="minorHAnsi" w:cstheme="minorHAnsi"/>
        </w:rPr>
        <w:t xml:space="preserve">the largest ground of complaint to </w:t>
      </w:r>
      <w:r w:rsidR="005F033C" w:rsidRPr="00871656">
        <w:rPr>
          <w:rFonts w:asciiTheme="minorHAnsi" w:hAnsiTheme="minorHAnsi" w:cstheme="minorHAnsi"/>
        </w:rPr>
        <w:t>Anti-Discrimination NSW</w:t>
      </w:r>
      <w:r w:rsidR="00F26351" w:rsidRPr="00871656">
        <w:rPr>
          <w:rFonts w:asciiTheme="minorHAnsi" w:hAnsiTheme="minorHAnsi" w:cstheme="minorHAnsi"/>
        </w:rPr>
        <w:t xml:space="preserve"> (ADNSW)</w:t>
      </w:r>
      <w:r w:rsidR="005F033C" w:rsidRPr="00871656">
        <w:rPr>
          <w:rStyle w:val="FootnoteReference"/>
          <w:rFonts w:asciiTheme="minorHAnsi" w:hAnsiTheme="minorHAnsi" w:cstheme="minorHAnsi"/>
        </w:rPr>
        <w:footnoteReference w:id="6"/>
      </w:r>
      <w:r w:rsidR="005F033C" w:rsidRPr="00871656">
        <w:rPr>
          <w:rFonts w:asciiTheme="minorHAnsi" w:hAnsiTheme="minorHAnsi" w:cstheme="minorHAnsi"/>
        </w:rPr>
        <w:t xml:space="preserve"> </w:t>
      </w:r>
      <w:r w:rsidR="00806EFB" w:rsidRPr="00871656">
        <w:rPr>
          <w:rFonts w:asciiTheme="minorHAnsi" w:hAnsiTheme="minorHAnsi" w:cstheme="minorHAnsi"/>
        </w:rPr>
        <w:t xml:space="preserve">and </w:t>
      </w:r>
      <w:r w:rsidR="005F033C" w:rsidRPr="00871656">
        <w:rPr>
          <w:rFonts w:asciiTheme="minorHAnsi" w:hAnsiTheme="minorHAnsi" w:cstheme="minorHAnsi"/>
        </w:rPr>
        <w:t xml:space="preserve">the </w:t>
      </w:r>
      <w:r w:rsidR="00DE4C68" w:rsidRPr="00871656">
        <w:rPr>
          <w:rFonts w:asciiTheme="minorHAnsi" w:hAnsiTheme="minorHAnsi" w:cstheme="minorHAnsi"/>
        </w:rPr>
        <w:t>Australian</w:t>
      </w:r>
      <w:r w:rsidR="00427E49" w:rsidRPr="00871656">
        <w:rPr>
          <w:rFonts w:asciiTheme="minorHAnsi" w:hAnsiTheme="minorHAnsi" w:cstheme="minorHAnsi"/>
        </w:rPr>
        <w:t xml:space="preserve"> Human Rights Commission</w:t>
      </w:r>
      <w:r w:rsidR="00DE4C68" w:rsidRPr="00871656">
        <w:rPr>
          <w:rFonts w:asciiTheme="minorHAnsi" w:hAnsiTheme="minorHAnsi" w:cstheme="minorHAnsi"/>
        </w:rPr>
        <w:t xml:space="preserve"> (AHRC)</w:t>
      </w:r>
      <w:r w:rsidR="005F033C" w:rsidRPr="00871656">
        <w:rPr>
          <w:rFonts w:asciiTheme="minorHAnsi" w:hAnsiTheme="minorHAnsi" w:cstheme="minorHAnsi"/>
        </w:rPr>
        <w:t>.</w:t>
      </w:r>
      <w:r w:rsidR="00192B0A" w:rsidRPr="00871656">
        <w:rPr>
          <w:rStyle w:val="FootnoteReference"/>
          <w:rFonts w:asciiTheme="minorHAnsi" w:hAnsiTheme="minorHAnsi" w:cstheme="minorHAnsi"/>
        </w:rPr>
        <w:footnoteReference w:id="7"/>
      </w:r>
      <w:r w:rsidR="009B0C26" w:rsidRPr="00871656">
        <w:rPr>
          <w:rFonts w:asciiTheme="minorHAnsi" w:hAnsiTheme="minorHAnsi" w:cstheme="minorHAnsi"/>
        </w:rPr>
        <w:t xml:space="preserve"> </w:t>
      </w:r>
      <w:r w:rsidR="00A1619D">
        <w:rPr>
          <w:rFonts w:asciiTheme="minorHAnsi" w:hAnsiTheme="minorHAnsi" w:cstheme="minorHAnsi"/>
        </w:rPr>
        <w:t>D</w:t>
      </w:r>
      <w:r w:rsidR="009B0C26" w:rsidRPr="00871656">
        <w:rPr>
          <w:rFonts w:asciiTheme="minorHAnsi" w:hAnsiTheme="minorHAnsi" w:cstheme="minorHAnsi"/>
        </w:rPr>
        <w:t xml:space="preserve">iscrimination </w:t>
      </w:r>
      <w:r w:rsidR="00A1619D">
        <w:rPr>
          <w:rFonts w:asciiTheme="minorHAnsi" w:hAnsiTheme="minorHAnsi" w:cstheme="minorHAnsi"/>
        </w:rPr>
        <w:t xml:space="preserve">against people with disability </w:t>
      </w:r>
      <w:r w:rsidR="009B0C26" w:rsidRPr="00871656">
        <w:rPr>
          <w:rFonts w:asciiTheme="minorHAnsi" w:hAnsiTheme="minorHAnsi" w:cstheme="minorHAnsi"/>
        </w:rPr>
        <w:t>appears deeply entrenched across systems.</w:t>
      </w:r>
    </w:p>
    <w:p w14:paraId="3C86D741" w14:textId="753E53AD" w:rsidR="00E00CE1" w:rsidRDefault="00B91F73" w:rsidP="008A3ECE">
      <w:pPr>
        <w:pStyle w:val="BodyText"/>
        <w:spacing w:line="312" w:lineRule="auto"/>
        <w:rPr>
          <w:rFonts w:asciiTheme="minorHAnsi" w:hAnsiTheme="minorHAnsi" w:cstheme="minorHAnsi"/>
          <w:color w:val="auto"/>
        </w:rPr>
      </w:pPr>
      <w:r w:rsidRPr="00871656">
        <w:rPr>
          <w:rFonts w:asciiTheme="minorHAnsi" w:eastAsia="Calibri" w:hAnsiTheme="minorHAnsi" w:cstheme="minorHAnsi"/>
          <w:color w:val="auto"/>
          <w:kern w:val="2"/>
          <w14:ligatures w14:val="standardContextual"/>
        </w:rPr>
        <w:t>Governments have an obligation to respect, protect and fulfil human rights.</w:t>
      </w:r>
      <w:r w:rsidRPr="00871656">
        <w:rPr>
          <w:rStyle w:val="FootnoteReference"/>
          <w:rFonts w:asciiTheme="minorHAnsi" w:eastAsia="Calibri" w:hAnsiTheme="minorHAnsi" w:cstheme="minorHAnsi"/>
          <w:color w:val="auto"/>
          <w:kern w:val="2"/>
          <w14:ligatures w14:val="standardContextual"/>
        </w:rPr>
        <w:footnoteReference w:id="8"/>
      </w:r>
      <w:r w:rsidRPr="00871656">
        <w:rPr>
          <w:rFonts w:asciiTheme="minorHAnsi" w:eastAsia="Calibri" w:hAnsiTheme="minorHAnsi" w:cstheme="minorHAnsi"/>
          <w:color w:val="auto"/>
          <w:kern w:val="2"/>
          <w14:ligatures w14:val="standardContextual"/>
        </w:rPr>
        <w:t xml:space="preserve"> </w:t>
      </w:r>
      <w:r w:rsidR="00E94377" w:rsidRPr="00871656">
        <w:rPr>
          <w:rFonts w:asciiTheme="minorHAnsi" w:eastAsia="Calibri" w:hAnsiTheme="minorHAnsi" w:cstheme="minorHAnsi"/>
          <w:color w:val="auto"/>
          <w:kern w:val="2"/>
          <w14:ligatures w14:val="standardContextual"/>
        </w:rPr>
        <w:t xml:space="preserve">Disability Rights are Human Rights. </w:t>
      </w:r>
      <w:r w:rsidR="00F47287" w:rsidRPr="00871656">
        <w:rPr>
          <w:rFonts w:asciiTheme="minorHAnsi" w:hAnsiTheme="minorHAnsi" w:cstheme="minorHAnsi"/>
          <w:color w:val="auto"/>
        </w:rPr>
        <w:t>However, t</w:t>
      </w:r>
      <w:r w:rsidR="00E90422" w:rsidRPr="00871656">
        <w:rPr>
          <w:rFonts w:asciiTheme="minorHAnsi" w:hAnsiTheme="minorHAnsi" w:cstheme="minorHAnsi"/>
          <w:color w:val="auto"/>
        </w:rPr>
        <w:t>he</w:t>
      </w:r>
      <w:r w:rsidR="00D14A4A" w:rsidRPr="00871656">
        <w:rPr>
          <w:rFonts w:asciiTheme="minorHAnsi" w:hAnsiTheme="minorHAnsi" w:cstheme="minorHAnsi"/>
          <w:color w:val="auto"/>
        </w:rPr>
        <w:t xml:space="preserve"> ADA is</w:t>
      </w:r>
      <w:r w:rsidR="00E90422" w:rsidRPr="00871656">
        <w:rPr>
          <w:rFonts w:asciiTheme="minorHAnsi" w:hAnsiTheme="minorHAnsi" w:cstheme="minorHAnsi"/>
          <w:color w:val="auto"/>
        </w:rPr>
        <w:t xml:space="preserve"> </w:t>
      </w:r>
      <w:r w:rsidRPr="00871656">
        <w:rPr>
          <w:rFonts w:asciiTheme="minorHAnsi" w:hAnsiTheme="minorHAnsi" w:cstheme="minorHAnsi"/>
          <w:color w:val="auto"/>
        </w:rPr>
        <w:t xml:space="preserve">now </w:t>
      </w:r>
      <w:r w:rsidR="00F47287" w:rsidRPr="00871656">
        <w:rPr>
          <w:rFonts w:asciiTheme="minorHAnsi" w:hAnsiTheme="minorHAnsi" w:cstheme="minorHAnsi"/>
          <w:color w:val="auto"/>
        </w:rPr>
        <w:t xml:space="preserve">regarded as </w:t>
      </w:r>
      <w:r w:rsidR="0051585A" w:rsidRPr="00871656">
        <w:rPr>
          <w:rFonts w:asciiTheme="minorHAnsi" w:hAnsiTheme="minorHAnsi" w:cstheme="minorHAnsi"/>
          <w:color w:val="auto"/>
        </w:rPr>
        <w:t>‘</w:t>
      </w:r>
      <w:r w:rsidR="00E90422" w:rsidRPr="00871656">
        <w:rPr>
          <w:rFonts w:asciiTheme="minorHAnsi" w:hAnsiTheme="minorHAnsi" w:cstheme="minorHAnsi"/>
          <w:color w:val="auto"/>
        </w:rPr>
        <w:t>out of step with</w:t>
      </w:r>
      <w:r w:rsidR="00E26783">
        <w:rPr>
          <w:rFonts w:asciiTheme="minorHAnsi" w:hAnsiTheme="minorHAnsi" w:cstheme="minorHAnsi"/>
          <w:color w:val="auto"/>
        </w:rPr>
        <w:t xml:space="preserve"> </w:t>
      </w:r>
      <w:r w:rsidR="00E90422" w:rsidRPr="00871656">
        <w:rPr>
          <w:rFonts w:asciiTheme="minorHAnsi" w:hAnsiTheme="minorHAnsi" w:cstheme="minorHAnsi"/>
          <w:color w:val="auto"/>
        </w:rPr>
        <w:t>community standards and expectations</w:t>
      </w:r>
      <w:r w:rsidR="0051585A" w:rsidRPr="00871656">
        <w:rPr>
          <w:rFonts w:asciiTheme="minorHAnsi" w:hAnsiTheme="minorHAnsi" w:cstheme="minorHAnsi"/>
          <w:color w:val="auto"/>
        </w:rPr>
        <w:t>’</w:t>
      </w:r>
      <w:r w:rsidR="00E90422" w:rsidRPr="00871656">
        <w:rPr>
          <w:rStyle w:val="FootnoteReference"/>
          <w:rFonts w:asciiTheme="minorHAnsi" w:hAnsiTheme="minorHAnsi" w:cstheme="minorHAnsi"/>
          <w:color w:val="auto"/>
        </w:rPr>
        <w:footnoteReference w:id="9"/>
      </w:r>
      <w:r w:rsidR="00E90422" w:rsidRPr="00871656">
        <w:rPr>
          <w:rFonts w:asciiTheme="minorHAnsi" w:hAnsiTheme="minorHAnsi" w:cstheme="minorHAnsi"/>
          <w:color w:val="auto"/>
        </w:rPr>
        <w:t xml:space="preserve"> </w:t>
      </w:r>
      <w:r w:rsidR="00D14A4A" w:rsidRPr="00871656">
        <w:rPr>
          <w:rFonts w:asciiTheme="minorHAnsi" w:hAnsiTheme="minorHAnsi" w:cstheme="minorHAnsi"/>
          <w:color w:val="auto"/>
        </w:rPr>
        <w:t>an</w:t>
      </w:r>
      <w:r w:rsidR="00E90422" w:rsidRPr="00871656">
        <w:rPr>
          <w:rFonts w:asciiTheme="minorHAnsi" w:hAnsiTheme="minorHAnsi" w:cstheme="minorHAnsi"/>
          <w:color w:val="auto"/>
        </w:rPr>
        <w:t>d no longer an</w:t>
      </w:r>
      <w:r w:rsidR="00D14A4A" w:rsidRPr="00871656">
        <w:rPr>
          <w:rFonts w:asciiTheme="minorHAnsi" w:hAnsiTheme="minorHAnsi" w:cstheme="minorHAnsi"/>
          <w:color w:val="auto"/>
        </w:rPr>
        <w:t xml:space="preserve"> example </w:t>
      </w:r>
      <w:r w:rsidR="00C80A51" w:rsidRPr="00871656">
        <w:rPr>
          <w:rFonts w:asciiTheme="minorHAnsi" w:hAnsiTheme="minorHAnsi" w:cstheme="minorHAnsi"/>
          <w:color w:val="auto"/>
        </w:rPr>
        <w:t xml:space="preserve">of </w:t>
      </w:r>
      <w:r w:rsidR="00D14A4A" w:rsidRPr="00871656">
        <w:rPr>
          <w:rFonts w:asciiTheme="minorHAnsi" w:hAnsiTheme="minorHAnsi" w:cstheme="minorHAnsi"/>
          <w:color w:val="auto"/>
        </w:rPr>
        <w:t>best practice anti-discrimination legislation</w:t>
      </w:r>
      <w:r w:rsidR="00E90422" w:rsidRPr="00871656">
        <w:rPr>
          <w:rFonts w:asciiTheme="minorHAnsi" w:hAnsiTheme="minorHAnsi" w:cstheme="minorHAnsi"/>
          <w:color w:val="auto"/>
        </w:rPr>
        <w:t>.</w:t>
      </w:r>
      <w:r w:rsidR="002163B4" w:rsidRPr="00871656">
        <w:rPr>
          <w:rStyle w:val="FootnoteReference"/>
          <w:rFonts w:asciiTheme="minorHAnsi" w:hAnsiTheme="minorHAnsi" w:cstheme="minorHAnsi"/>
          <w:color w:val="auto"/>
        </w:rPr>
        <w:footnoteReference w:id="10"/>
      </w:r>
    </w:p>
    <w:p w14:paraId="4E468B3C" w14:textId="087D2475" w:rsidR="00CD1EB0" w:rsidRDefault="00CD1EB0" w:rsidP="008A3ECE">
      <w:pPr>
        <w:pStyle w:val="BodyText"/>
        <w:spacing w:line="312" w:lineRule="auto"/>
        <w:rPr>
          <w:rFonts w:asciiTheme="minorHAnsi" w:hAnsiTheme="minorHAnsi" w:cstheme="minorHAnsi"/>
          <w:color w:val="auto"/>
        </w:rPr>
      </w:pPr>
      <w:r w:rsidRPr="00871656">
        <w:rPr>
          <w:rFonts w:asciiTheme="minorHAnsi" w:hAnsiTheme="minorHAnsi" w:cstheme="minorHAnsi"/>
          <w:color w:val="auto"/>
        </w:rPr>
        <w:lastRenderedPageBreak/>
        <w:t xml:space="preserve">The overarching theme of this preliminary submission is that the ADA </w:t>
      </w:r>
      <w:r w:rsidR="00700ACC">
        <w:rPr>
          <w:rFonts w:asciiTheme="minorHAnsi" w:hAnsiTheme="minorHAnsi" w:cstheme="minorHAnsi"/>
          <w:color w:val="auto"/>
        </w:rPr>
        <w:t>must</w:t>
      </w:r>
      <w:r w:rsidR="00700ACC" w:rsidRPr="00871656">
        <w:rPr>
          <w:rFonts w:asciiTheme="minorHAnsi" w:hAnsiTheme="minorHAnsi" w:cstheme="minorHAnsi"/>
          <w:color w:val="auto"/>
        </w:rPr>
        <w:t xml:space="preserve"> </w:t>
      </w:r>
      <w:r w:rsidR="00C175F5">
        <w:rPr>
          <w:rFonts w:asciiTheme="minorHAnsi" w:hAnsiTheme="minorHAnsi" w:cstheme="minorHAnsi"/>
          <w:color w:val="auto"/>
        </w:rPr>
        <w:t>support</w:t>
      </w:r>
      <w:r w:rsidR="002205F9">
        <w:rPr>
          <w:rFonts w:asciiTheme="minorHAnsi" w:hAnsiTheme="minorHAnsi" w:cstheme="minorHAnsi"/>
          <w:color w:val="auto"/>
        </w:rPr>
        <w:t xml:space="preserve"> the </w:t>
      </w:r>
      <w:r w:rsidR="002A793A">
        <w:rPr>
          <w:rFonts w:asciiTheme="minorHAnsi" w:hAnsiTheme="minorHAnsi" w:cstheme="minorHAnsi"/>
          <w:color w:val="auto"/>
        </w:rPr>
        <w:t xml:space="preserve">achievement </w:t>
      </w:r>
      <w:r w:rsidR="00E42408">
        <w:rPr>
          <w:rFonts w:asciiTheme="minorHAnsi" w:hAnsiTheme="minorHAnsi" w:cstheme="minorHAnsi"/>
          <w:color w:val="auto"/>
        </w:rPr>
        <w:t xml:space="preserve">of </w:t>
      </w:r>
      <w:r w:rsidR="00E42408" w:rsidRPr="00871656">
        <w:rPr>
          <w:rFonts w:asciiTheme="minorHAnsi" w:hAnsiTheme="minorHAnsi" w:cstheme="minorHAnsi"/>
          <w:color w:val="auto"/>
        </w:rPr>
        <w:t>substantive</w:t>
      </w:r>
      <w:r w:rsidRPr="00871656">
        <w:rPr>
          <w:rFonts w:asciiTheme="minorHAnsi" w:hAnsiTheme="minorHAnsi" w:cstheme="minorHAnsi"/>
          <w:color w:val="auto"/>
        </w:rPr>
        <w:t xml:space="preserve"> equality</w:t>
      </w:r>
      <w:r w:rsidR="00A1619D">
        <w:rPr>
          <w:rFonts w:asciiTheme="minorHAnsi" w:hAnsiTheme="minorHAnsi" w:cstheme="minorHAnsi"/>
          <w:color w:val="auto"/>
        </w:rPr>
        <w:t xml:space="preserve">, and this can </w:t>
      </w:r>
      <w:r w:rsidR="00FA0614">
        <w:rPr>
          <w:rFonts w:asciiTheme="minorHAnsi" w:hAnsiTheme="minorHAnsi" w:cstheme="minorHAnsi"/>
          <w:color w:val="auto"/>
        </w:rPr>
        <w:t>be assisted</w:t>
      </w:r>
      <w:r w:rsidR="00A1619D">
        <w:rPr>
          <w:rFonts w:asciiTheme="minorHAnsi" w:hAnsiTheme="minorHAnsi" w:cstheme="minorHAnsi"/>
          <w:color w:val="auto"/>
        </w:rPr>
        <w:t xml:space="preserve"> </w:t>
      </w:r>
      <w:r w:rsidR="00700ACC">
        <w:rPr>
          <w:rFonts w:asciiTheme="minorHAnsi" w:hAnsiTheme="minorHAnsi" w:cstheme="minorHAnsi"/>
          <w:color w:val="auto"/>
        </w:rPr>
        <w:t>with the introduction of positive duties to provide reasonable adjustment and prevent discrimination.</w:t>
      </w:r>
      <w:r w:rsidR="00421F6F">
        <w:rPr>
          <w:rStyle w:val="FootnoteReference"/>
          <w:rFonts w:asciiTheme="minorHAnsi" w:hAnsiTheme="minorHAnsi" w:cstheme="minorHAnsi"/>
          <w:color w:val="auto"/>
        </w:rPr>
        <w:footnoteReference w:id="11"/>
      </w:r>
    </w:p>
    <w:p w14:paraId="27F57327" w14:textId="651FA79C" w:rsidR="00A47B7F" w:rsidRDefault="00A31D71" w:rsidP="008A3ECE">
      <w:pPr>
        <w:pStyle w:val="BodyText"/>
        <w:spacing w:line="312" w:lineRule="auto"/>
        <w:rPr>
          <w:rFonts w:asciiTheme="minorHAnsi" w:hAnsiTheme="minorHAnsi" w:cstheme="minorHAnsi"/>
          <w:color w:val="auto"/>
        </w:rPr>
      </w:pPr>
      <w:r>
        <w:rPr>
          <w:rFonts w:asciiTheme="minorHAnsi" w:hAnsiTheme="minorHAnsi" w:cstheme="minorHAnsi"/>
          <w:color w:val="auto"/>
        </w:rPr>
        <w:t xml:space="preserve">PWDA believes the goal of substantive equality is to ensure the full equal inclusion and participation </w:t>
      </w:r>
      <w:r w:rsidRPr="00921A0F">
        <w:rPr>
          <w:rFonts w:asciiTheme="minorHAnsi" w:hAnsiTheme="minorHAnsi" w:cstheme="minorHAnsi"/>
          <w:color w:val="auto"/>
        </w:rPr>
        <w:t xml:space="preserve">of </w:t>
      </w:r>
      <w:r>
        <w:rPr>
          <w:rFonts w:asciiTheme="minorHAnsi" w:hAnsiTheme="minorHAnsi" w:cstheme="minorHAnsi"/>
          <w:color w:val="auto"/>
        </w:rPr>
        <w:t xml:space="preserve">all people across all </w:t>
      </w:r>
      <w:r w:rsidRPr="00A1685D">
        <w:rPr>
          <w:rFonts w:asciiTheme="minorHAnsi" w:hAnsiTheme="minorHAnsi" w:cstheme="minorHAnsi"/>
          <w:color w:val="auto"/>
        </w:rPr>
        <w:t>social, community, political and economic domains</w:t>
      </w:r>
      <w:r w:rsidR="002E31F8">
        <w:rPr>
          <w:rFonts w:asciiTheme="minorHAnsi" w:hAnsiTheme="minorHAnsi" w:cstheme="minorHAnsi"/>
          <w:color w:val="auto"/>
        </w:rPr>
        <w:t>. T</w:t>
      </w:r>
      <w:r w:rsidR="00674C15">
        <w:rPr>
          <w:rFonts w:asciiTheme="minorHAnsi" w:hAnsiTheme="minorHAnsi" w:cstheme="minorHAnsi"/>
          <w:color w:val="auto"/>
        </w:rPr>
        <w:t xml:space="preserve">he concept of substantive equality </w:t>
      </w:r>
      <w:r>
        <w:rPr>
          <w:rFonts w:asciiTheme="minorHAnsi" w:hAnsiTheme="minorHAnsi" w:cstheme="minorHAnsi"/>
          <w:color w:val="auto"/>
        </w:rPr>
        <w:t>‘resists capture by a single principle’</w:t>
      </w:r>
      <w:r w:rsidR="00F97B83">
        <w:rPr>
          <w:rFonts w:asciiTheme="minorHAnsi" w:hAnsiTheme="minorHAnsi" w:cstheme="minorHAnsi"/>
          <w:color w:val="auto"/>
        </w:rPr>
        <w:t>.</w:t>
      </w:r>
      <w:r w:rsidR="00097197">
        <w:rPr>
          <w:rStyle w:val="FootnoteReference"/>
          <w:rFonts w:asciiTheme="minorHAnsi" w:hAnsiTheme="minorHAnsi" w:cstheme="minorHAnsi"/>
          <w:color w:val="auto"/>
        </w:rPr>
        <w:footnoteReference w:id="12"/>
      </w:r>
      <w:r w:rsidR="005A0CC0">
        <w:rPr>
          <w:rFonts w:asciiTheme="minorHAnsi" w:hAnsiTheme="minorHAnsi" w:cstheme="minorHAnsi"/>
          <w:color w:val="auto"/>
        </w:rPr>
        <w:t xml:space="preserve"> </w:t>
      </w:r>
      <w:r w:rsidR="00B1746D">
        <w:rPr>
          <w:rFonts w:asciiTheme="minorHAnsi" w:hAnsiTheme="minorHAnsi" w:cstheme="minorHAnsi"/>
          <w:color w:val="auto"/>
        </w:rPr>
        <w:t>C</w:t>
      </w:r>
      <w:r w:rsidR="008B658D">
        <w:rPr>
          <w:rFonts w:asciiTheme="minorHAnsi" w:hAnsiTheme="minorHAnsi" w:cstheme="minorHAnsi"/>
          <w:color w:val="auto"/>
        </w:rPr>
        <w:t>entral to</w:t>
      </w:r>
      <w:r w:rsidR="001C2FF0">
        <w:rPr>
          <w:rFonts w:asciiTheme="minorHAnsi" w:hAnsiTheme="minorHAnsi" w:cstheme="minorHAnsi"/>
          <w:color w:val="auto"/>
        </w:rPr>
        <w:t xml:space="preserve"> </w:t>
      </w:r>
      <w:r w:rsidR="008B658D">
        <w:rPr>
          <w:rFonts w:asciiTheme="minorHAnsi" w:hAnsiTheme="minorHAnsi" w:cstheme="minorHAnsi"/>
          <w:color w:val="auto"/>
        </w:rPr>
        <w:t xml:space="preserve">our conception of </w:t>
      </w:r>
      <w:r w:rsidR="00F97B83">
        <w:rPr>
          <w:rFonts w:asciiTheme="minorHAnsi" w:hAnsiTheme="minorHAnsi" w:cstheme="minorHAnsi"/>
          <w:color w:val="auto"/>
        </w:rPr>
        <w:t xml:space="preserve">substantive equality </w:t>
      </w:r>
      <w:r w:rsidR="001C2FF0">
        <w:rPr>
          <w:rFonts w:asciiTheme="minorHAnsi" w:hAnsiTheme="minorHAnsi" w:cstheme="minorHAnsi"/>
          <w:color w:val="auto"/>
        </w:rPr>
        <w:t>is</w:t>
      </w:r>
      <w:r w:rsidR="00C175F5">
        <w:rPr>
          <w:rFonts w:asciiTheme="minorHAnsi" w:hAnsiTheme="minorHAnsi" w:cstheme="minorHAnsi"/>
          <w:color w:val="auto"/>
        </w:rPr>
        <w:t>:</w:t>
      </w:r>
    </w:p>
    <w:p w14:paraId="1D1C8319" w14:textId="7ED1DA22" w:rsidR="00A47B7F" w:rsidRDefault="00F97B83" w:rsidP="008A3ECE">
      <w:pPr>
        <w:pStyle w:val="BodyText"/>
        <w:numPr>
          <w:ilvl w:val="0"/>
          <w:numId w:val="28"/>
        </w:numPr>
        <w:spacing w:line="312" w:lineRule="auto"/>
        <w:rPr>
          <w:rFonts w:asciiTheme="minorHAnsi" w:hAnsiTheme="minorHAnsi" w:cstheme="minorHAnsi"/>
          <w:color w:val="auto"/>
        </w:rPr>
      </w:pPr>
      <w:r>
        <w:rPr>
          <w:rFonts w:asciiTheme="minorHAnsi" w:hAnsiTheme="minorHAnsi" w:cstheme="minorHAnsi"/>
          <w:color w:val="auto"/>
        </w:rPr>
        <w:t xml:space="preserve">a </w:t>
      </w:r>
      <w:r w:rsidR="00EE2896">
        <w:rPr>
          <w:rFonts w:asciiTheme="minorHAnsi" w:hAnsiTheme="minorHAnsi" w:cstheme="minorHAnsi"/>
          <w:color w:val="auto"/>
        </w:rPr>
        <w:t xml:space="preserve">celebration and </w:t>
      </w:r>
      <w:r w:rsidR="00067E9A">
        <w:rPr>
          <w:rFonts w:asciiTheme="minorHAnsi" w:hAnsiTheme="minorHAnsi" w:cstheme="minorHAnsi"/>
          <w:color w:val="auto"/>
        </w:rPr>
        <w:t xml:space="preserve">respect for human diversity and </w:t>
      </w:r>
      <w:r w:rsidR="000776F9">
        <w:rPr>
          <w:rFonts w:asciiTheme="minorHAnsi" w:hAnsiTheme="minorHAnsi" w:cstheme="minorHAnsi"/>
          <w:color w:val="auto"/>
        </w:rPr>
        <w:t xml:space="preserve">human dignity </w:t>
      </w:r>
      <w:r w:rsidR="00EE2896">
        <w:rPr>
          <w:rFonts w:asciiTheme="minorHAnsi" w:hAnsiTheme="minorHAnsi" w:cstheme="minorHAnsi"/>
          <w:color w:val="auto"/>
        </w:rPr>
        <w:t>reflected in</w:t>
      </w:r>
      <w:r w:rsidR="000776F9">
        <w:rPr>
          <w:rFonts w:asciiTheme="minorHAnsi" w:hAnsiTheme="minorHAnsi" w:cstheme="minorHAnsi"/>
          <w:color w:val="auto"/>
        </w:rPr>
        <w:t xml:space="preserve"> all decision-making</w:t>
      </w:r>
    </w:p>
    <w:p w14:paraId="118B2E93" w14:textId="012C58C0" w:rsidR="00816433" w:rsidRDefault="00EE2896" w:rsidP="008A3ECE">
      <w:pPr>
        <w:pStyle w:val="BodyText"/>
        <w:numPr>
          <w:ilvl w:val="0"/>
          <w:numId w:val="28"/>
        </w:numPr>
        <w:spacing w:line="312" w:lineRule="auto"/>
        <w:rPr>
          <w:rFonts w:asciiTheme="minorHAnsi" w:hAnsiTheme="minorHAnsi" w:cstheme="minorHAnsi"/>
          <w:color w:val="auto"/>
        </w:rPr>
      </w:pPr>
      <w:r>
        <w:rPr>
          <w:rFonts w:asciiTheme="minorHAnsi" w:hAnsiTheme="minorHAnsi" w:cstheme="minorHAnsi"/>
          <w:color w:val="auto"/>
        </w:rPr>
        <w:t xml:space="preserve">a consideration of </w:t>
      </w:r>
      <w:r w:rsidR="002510E2">
        <w:rPr>
          <w:rFonts w:asciiTheme="minorHAnsi" w:hAnsiTheme="minorHAnsi" w:cstheme="minorHAnsi"/>
          <w:color w:val="auto"/>
        </w:rPr>
        <w:t xml:space="preserve">a person’s existing </w:t>
      </w:r>
      <w:r w:rsidR="00DF365D">
        <w:rPr>
          <w:rFonts w:asciiTheme="minorHAnsi" w:hAnsiTheme="minorHAnsi" w:cstheme="minorHAnsi"/>
          <w:color w:val="auto"/>
        </w:rPr>
        <w:t>individual circumstances</w:t>
      </w:r>
      <w:r w:rsidR="00772D4F">
        <w:rPr>
          <w:rFonts w:asciiTheme="minorHAnsi" w:hAnsiTheme="minorHAnsi" w:cstheme="minorHAnsi"/>
          <w:color w:val="auto"/>
        </w:rPr>
        <w:t xml:space="preserve"> </w:t>
      </w:r>
      <w:r w:rsidR="00C95D12">
        <w:rPr>
          <w:rFonts w:asciiTheme="minorHAnsi" w:hAnsiTheme="minorHAnsi" w:cstheme="minorHAnsi"/>
          <w:color w:val="auto"/>
        </w:rPr>
        <w:t xml:space="preserve">and experiences </w:t>
      </w:r>
      <w:r w:rsidR="002510E2">
        <w:rPr>
          <w:rFonts w:asciiTheme="minorHAnsi" w:hAnsiTheme="minorHAnsi" w:cstheme="minorHAnsi"/>
          <w:color w:val="auto"/>
        </w:rPr>
        <w:t>when they</w:t>
      </w:r>
      <w:r w:rsidR="00772D4F">
        <w:rPr>
          <w:rFonts w:asciiTheme="minorHAnsi" w:hAnsiTheme="minorHAnsi" w:cstheme="minorHAnsi"/>
          <w:color w:val="auto"/>
        </w:rPr>
        <w:t xml:space="preserve"> interact </w:t>
      </w:r>
      <w:r w:rsidR="002510E2">
        <w:rPr>
          <w:rFonts w:asciiTheme="minorHAnsi" w:hAnsiTheme="minorHAnsi" w:cstheme="minorHAnsi"/>
          <w:color w:val="auto"/>
        </w:rPr>
        <w:t>with</w:t>
      </w:r>
      <w:r w:rsidR="00772D4F">
        <w:rPr>
          <w:rFonts w:asciiTheme="minorHAnsi" w:hAnsiTheme="minorHAnsi" w:cstheme="minorHAnsi"/>
          <w:color w:val="auto"/>
        </w:rPr>
        <w:t xml:space="preserve"> systems </w:t>
      </w:r>
      <w:r w:rsidR="002858D4">
        <w:rPr>
          <w:rFonts w:asciiTheme="minorHAnsi" w:hAnsiTheme="minorHAnsi" w:cstheme="minorHAnsi"/>
          <w:color w:val="auto"/>
        </w:rPr>
        <w:t>so</w:t>
      </w:r>
      <w:r w:rsidR="000E74E4">
        <w:rPr>
          <w:rFonts w:asciiTheme="minorHAnsi" w:hAnsiTheme="minorHAnsi" w:cstheme="minorHAnsi"/>
          <w:color w:val="auto"/>
        </w:rPr>
        <w:t xml:space="preserve"> that where necessary measures can be put in place to provide </w:t>
      </w:r>
      <w:r w:rsidR="002858D4">
        <w:rPr>
          <w:rFonts w:asciiTheme="minorHAnsi" w:hAnsiTheme="minorHAnsi" w:cstheme="minorHAnsi"/>
          <w:color w:val="auto"/>
        </w:rPr>
        <w:t>equality</w:t>
      </w:r>
      <w:r w:rsidR="000E74E4">
        <w:rPr>
          <w:rFonts w:asciiTheme="minorHAnsi" w:hAnsiTheme="minorHAnsi" w:cstheme="minorHAnsi"/>
          <w:color w:val="auto"/>
        </w:rPr>
        <w:t xml:space="preserve"> of opportunity</w:t>
      </w:r>
      <w:r w:rsidR="006B3A2F">
        <w:rPr>
          <w:rFonts w:asciiTheme="minorHAnsi" w:hAnsiTheme="minorHAnsi" w:cstheme="minorHAnsi"/>
          <w:color w:val="auto"/>
        </w:rPr>
        <w:t xml:space="preserve"> </w:t>
      </w:r>
      <w:r w:rsidR="006B3A2F" w:rsidRPr="004D6C8A">
        <w:rPr>
          <w:rFonts w:asciiTheme="minorHAnsi" w:hAnsiTheme="minorHAnsi" w:cstheme="minorHAnsi"/>
          <w:i/>
          <w:iCs/>
          <w:color w:val="auto"/>
        </w:rPr>
        <w:t>and</w:t>
      </w:r>
      <w:r w:rsidR="006B3A2F">
        <w:rPr>
          <w:rFonts w:asciiTheme="minorHAnsi" w:hAnsiTheme="minorHAnsi" w:cstheme="minorHAnsi"/>
          <w:color w:val="auto"/>
        </w:rPr>
        <w:t xml:space="preserve"> </w:t>
      </w:r>
      <w:r w:rsidR="002858D4">
        <w:rPr>
          <w:rFonts w:asciiTheme="minorHAnsi" w:hAnsiTheme="minorHAnsi" w:cstheme="minorHAnsi"/>
          <w:color w:val="auto"/>
        </w:rPr>
        <w:t xml:space="preserve">equality of </w:t>
      </w:r>
      <w:r w:rsidR="00C107F7">
        <w:rPr>
          <w:rFonts w:asciiTheme="minorHAnsi" w:hAnsiTheme="minorHAnsi" w:cstheme="minorHAnsi"/>
          <w:color w:val="auto"/>
        </w:rPr>
        <w:t>outcomes</w:t>
      </w:r>
      <w:r w:rsidR="007C71D2">
        <w:rPr>
          <w:rFonts w:asciiTheme="minorHAnsi" w:hAnsiTheme="minorHAnsi" w:cstheme="minorHAnsi"/>
          <w:color w:val="auto"/>
        </w:rPr>
        <w:t>;</w:t>
      </w:r>
      <w:r w:rsidR="00FC74E3">
        <w:rPr>
          <w:rFonts w:asciiTheme="minorHAnsi" w:hAnsiTheme="minorHAnsi" w:cstheme="minorHAnsi"/>
          <w:color w:val="auto"/>
        </w:rPr>
        <w:t xml:space="preserve"> and</w:t>
      </w:r>
    </w:p>
    <w:p w14:paraId="5F4AB1A9" w14:textId="64FCA1FA" w:rsidR="00086537" w:rsidRDefault="008E3EA5" w:rsidP="008A3ECE">
      <w:pPr>
        <w:pStyle w:val="BodyText"/>
        <w:numPr>
          <w:ilvl w:val="0"/>
          <w:numId w:val="28"/>
        </w:numPr>
        <w:spacing w:line="312" w:lineRule="auto"/>
        <w:rPr>
          <w:rFonts w:asciiTheme="minorHAnsi" w:hAnsiTheme="minorHAnsi" w:cstheme="minorHAnsi"/>
          <w:color w:val="auto"/>
        </w:rPr>
      </w:pPr>
      <w:r>
        <w:rPr>
          <w:rFonts w:asciiTheme="minorHAnsi" w:hAnsiTheme="minorHAnsi" w:cstheme="minorHAnsi"/>
          <w:color w:val="auto"/>
        </w:rPr>
        <w:t xml:space="preserve">the </w:t>
      </w:r>
      <w:r w:rsidR="00B21876">
        <w:rPr>
          <w:rFonts w:asciiTheme="minorHAnsi" w:hAnsiTheme="minorHAnsi" w:cstheme="minorHAnsi"/>
          <w:color w:val="auto"/>
        </w:rPr>
        <w:t xml:space="preserve">building of </w:t>
      </w:r>
      <w:r w:rsidR="00220053">
        <w:rPr>
          <w:rFonts w:asciiTheme="minorHAnsi" w:hAnsiTheme="minorHAnsi" w:cstheme="minorHAnsi"/>
          <w:color w:val="auto"/>
        </w:rPr>
        <w:t xml:space="preserve">inclusive </w:t>
      </w:r>
      <w:r w:rsidR="00B21876">
        <w:rPr>
          <w:rFonts w:asciiTheme="minorHAnsi" w:hAnsiTheme="minorHAnsi" w:cstheme="minorHAnsi"/>
          <w:color w:val="auto"/>
        </w:rPr>
        <w:t>framework</w:t>
      </w:r>
      <w:r w:rsidR="007861D3">
        <w:rPr>
          <w:rFonts w:asciiTheme="minorHAnsi" w:hAnsiTheme="minorHAnsi" w:cstheme="minorHAnsi"/>
          <w:color w:val="auto"/>
        </w:rPr>
        <w:t>s</w:t>
      </w:r>
      <w:r w:rsidR="00B21876">
        <w:rPr>
          <w:rFonts w:asciiTheme="minorHAnsi" w:hAnsiTheme="minorHAnsi" w:cstheme="minorHAnsi"/>
          <w:color w:val="auto"/>
        </w:rPr>
        <w:t xml:space="preserve"> </w:t>
      </w:r>
      <w:r w:rsidR="00B80B69">
        <w:rPr>
          <w:rFonts w:asciiTheme="minorHAnsi" w:hAnsiTheme="minorHAnsi" w:cstheme="minorHAnsi"/>
          <w:color w:val="auto"/>
        </w:rPr>
        <w:t xml:space="preserve">across systems </w:t>
      </w:r>
      <w:r w:rsidR="00B21876">
        <w:rPr>
          <w:rFonts w:asciiTheme="minorHAnsi" w:hAnsiTheme="minorHAnsi" w:cstheme="minorHAnsi"/>
          <w:color w:val="auto"/>
        </w:rPr>
        <w:t xml:space="preserve">in which </w:t>
      </w:r>
      <w:r w:rsidR="00724BAC">
        <w:rPr>
          <w:rFonts w:asciiTheme="minorHAnsi" w:hAnsiTheme="minorHAnsi" w:cstheme="minorHAnsi"/>
          <w:color w:val="auto"/>
        </w:rPr>
        <w:t xml:space="preserve">accessibility is </w:t>
      </w:r>
      <w:r w:rsidR="00D30386">
        <w:rPr>
          <w:rFonts w:asciiTheme="minorHAnsi" w:hAnsiTheme="minorHAnsi" w:cstheme="minorHAnsi"/>
          <w:color w:val="auto"/>
        </w:rPr>
        <w:t xml:space="preserve">factored in from the beginning and </w:t>
      </w:r>
      <w:r w:rsidR="00B21876">
        <w:rPr>
          <w:rFonts w:asciiTheme="minorHAnsi" w:hAnsiTheme="minorHAnsi" w:cstheme="minorHAnsi"/>
          <w:color w:val="auto"/>
        </w:rPr>
        <w:t>discrimination is challenged at its roots</w:t>
      </w:r>
      <w:r w:rsidR="00B80B69">
        <w:rPr>
          <w:rFonts w:asciiTheme="minorHAnsi" w:hAnsiTheme="minorHAnsi" w:cstheme="minorHAnsi"/>
          <w:color w:val="auto"/>
        </w:rPr>
        <w:t>.</w:t>
      </w:r>
    </w:p>
    <w:p w14:paraId="263D0A59" w14:textId="59E51CCF" w:rsidR="00051330" w:rsidRDefault="00F26E89" w:rsidP="008A3ECE">
      <w:pPr>
        <w:pStyle w:val="BodyText"/>
        <w:spacing w:line="312" w:lineRule="auto"/>
      </w:pPr>
      <w:r>
        <w:t xml:space="preserve">This is </w:t>
      </w:r>
      <w:r w:rsidR="0066321A">
        <w:t>contrasted</w:t>
      </w:r>
      <w:r>
        <w:t xml:space="preserve"> with the </w:t>
      </w:r>
      <w:r w:rsidR="0066321A">
        <w:t>dominant</w:t>
      </w:r>
      <w:r>
        <w:t xml:space="preserve"> </w:t>
      </w:r>
      <w:r w:rsidRPr="004D6C8A">
        <w:rPr>
          <w:i/>
          <w:iCs/>
        </w:rPr>
        <w:t>formal equality</w:t>
      </w:r>
      <w:r>
        <w:t xml:space="preserve"> </w:t>
      </w:r>
      <w:r w:rsidR="0066321A">
        <w:t xml:space="preserve">perspective </w:t>
      </w:r>
      <w:r w:rsidR="00D71D50">
        <w:t xml:space="preserve">based on the </w:t>
      </w:r>
      <w:r w:rsidR="004F22F2">
        <w:t>principle</w:t>
      </w:r>
      <w:r w:rsidR="00D71D50">
        <w:t xml:space="preserve"> of ‘like</w:t>
      </w:r>
      <w:r w:rsidR="00E05994">
        <w:t>s</w:t>
      </w:r>
      <w:r w:rsidR="00D71D50">
        <w:t xml:space="preserve"> treated as </w:t>
      </w:r>
      <w:r w:rsidR="003A7E36">
        <w:t>likes</w:t>
      </w:r>
      <w:r w:rsidR="00701DC4">
        <w:t>.</w:t>
      </w:r>
      <w:r w:rsidR="003A7E36">
        <w:t>’</w:t>
      </w:r>
      <w:r w:rsidR="00414917">
        <w:rPr>
          <w:rStyle w:val="FootnoteReference"/>
        </w:rPr>
        <w:footnoteReference w:id="13"/>
      </w:r>
      <w:r w:rsidR="00701DC4">
        <w:t xml:space="preserve"> A formal approach to </w:t>
      </w:r>
      <w:r w:rsidR="00C50F4D">
        <w:t>e</w:t>
      </w:r>
      <w:r w:rsidR="00701DC4">
        <w:t xml:space="preserve">quality </w:t>
      </w:r>
      <w:r w:rsidR="001C7979">
        <w:t>is not concerned with equality of outcomes</w:t>
      </w:r>
      <w:r w:rsidR="00800921">
        <w:t xml:space="preserve">, </w:t>
      </w:r>
      <w:r w:rsidR="001C7979">
        <w:t>does not</w:t>
      </w:r>
      <w:r w:rsidR="00C50F4D">
        <w:t xml:space="preserve"> consider an </w:t>
      </w:r>
      <w:r w:rsidR="00E42408">
        <w:t>individual’s</w:t>
      </w:r>
      <w:r w:rsidR="00C50F4D">
        <w:t xml:space="preserve"> characteristics or ‘differences’ </w:t>
      </w:r>
      <w:r w:rsidR="001C7979">
        <w:t xml:space="preserve">for this </w:t>
      </w:r>
      <w:r w:rsidR="003756A4">
        <w:t>purpose</w:t>
      </w:r>
      <w:r w:rsidR="00676E4C">
        <w:t>,</w:t>
      </w:r>
      <w:r w:rsidR="003756A4">
        <w:t xml:space="preserve"> and</w:t>
      </w:r>
      <w:r w:rsidR="00BE6C74">
        <w:t xml:space="preserve"> </w:t>
      </w:r>
      <w:r w:rsidR="00701DC4">
        <w:t xml:space="preserve">is not concerned </w:t>
      </w:r>
      <w:r w:rsidR="004653EE">
        <w:t xml:space="preserve">with </w:t>
      </w:r>
      <w:r w:rsidR="00C82890">
        <w:t xml:space="preserve">combatting entrenched </w:t>
      </w:r>
      <w:r w:rsidR="004653EE">
        <w:t>systemic discrimination.</w:t>
      </w:r>
      <w:r w:rsidR="00B4727A">
        <w:rPr>
          <w:rStyle w:val="FootnoteReference"/>
        </w:rPr>
        <w:footnoteReference w:id="14"/>
      </w:r>
    </w:p>
    <w:p w14:paraId="04CFC400" w14:textId="319EB816" w:rsidR="00BC4319" w:rsidRPr="00940780" w:rsidRDefault="00BC4319" w:rsidP="008A3ECE">
      <w:pPr>
        <w:pStyle w:val="Heading3"/>
        <w:spacing w:line="312" w:lineRule="auto"/>
      </w:pPr>
      <w:bookmarkStart w:id="72" w:name="_Toc146291272"/>
      <w:bookmarkStart w:id="73" w:name="_Toc146877515"/>
      <w:r w:rsidRPr="00940780">
        <w:t xml:space="preserve">The experience of PWDA </w:t>
      </w:r>
      <w:r w:rsidR="00E00CE1" w:rsidRPr="00940780">
        <w:t>individual advocates</w:t>
      </w:r>
      <w:bookmarkEnd w:id="72"/>
      <w:bookmarkEnd w:id="73"/>
    </w:p>
    <w:p w14:paraId="5CDAAFD4" w14:textId="2C0E5DCF" w:rsidR="009B3D9E" w:rsidRPr="00871656" w:rsidRDefault="00E00CE1" w:rsidP="008A3ECE">
      <w:pPr>
        <w:pStyle w:val="BodyText"/>
        <w:spacing w:line="312" w:lineRule="auto"/>
        <w:rPr>
          <w:rFonts w:asciiTheme="minorHAnsi" w:hAnsiTheme="minorHAnsi" w:cstheme="minorHAnsi"/>
          <w:color w:val="auto"/>
        </w:rPr>
      </w:pPr>
      <w:r w:rsidRPr="00871656">
        <w:rPr>
          <w:rFonts w:asciiTheme="minorHAnsi" w:hAnsiTheme="minorHAnsi" w:cstheme="minorHAnsi"/>
          <w:color w:val="auto"/>
        </w:rPr>
        <w:t>PWDA</w:t>
      </w:r>
      <w:r w:rsidR="009E59B4" w:rsidRPr="00871656">
        <w:rPr>
          <w:rFonts w:asciiTheme="minorHAnsi" w:hAnsiTheme="minorHAnsi" w:cstheme="minorHAnsi"/>
          <w:color w:val="auto"/>
        </w:rPr>
        <w:t xml:space="preserve"> </w:t>
      </w:r>
      <w:r w:rsidRPr="00871656">
        <w:rPr>
          <w:rFonts w:asciiTheme="minorHAnsi" w:hAnsiTheme="minorHAnsi" w:cstheme="minorHAnsi"/>
          <w:color w:val="auto"/>
        </w:rPr>
        <w:t>is</w:t>
      </w:r>
      <w:r w:rsidR="00755E1A">
        <w:rPr>
          <w:rFonts w:asciiTheme="minorHAnsi" w:hAnsiTheme="minorHAnsi" w:cstheme="minorHAnsi"/>
          <w:color w:val="auto"/>
        </w:rPr>
        <w:t xml:space="preserve"> </w:t>
      </w:r>
      <w:r w:rsidRPr="00871656">
        <w:rPr>
          <w:rFonts w:asciiTheme="minorHAnsi" w:hAnsiTheme="minorHAnsi" w:cstheme="minorHAnsi"/>
          <w:color w:val="auto"/>
        </w:rPr>
        <w:t xml:space="preserve">funded by </w:t>
      </w:r>
      <w:r w:rsidRPr="00755E1A">
        <w:rPr>
          <w:rFonts w:asciiTheme="minorHAnsi" w:eastAsiaTheme="minorHAnsi" w:hAnsiTheme="minorHAnsi" w:cstheme="minorHAnsi"/>
          <w:lang w:val="en-AU"/>
        </w:rPr>
        <w:t xml:space="preserve">the NSW Department of Communities and Justice’s </w:t>
      </w:r>
      <w:r w:rsidRPr="00755E1A">
        <w:rPr>
          <w:rFonts w:asciiTheme="minorHAnsi" w:eastAsiaTheme="minorHAnsi" w:hAnsiTheme="minorHAnsi" w:cstheme="minorHAnsi"/>
          <w:i/>
          <w:iCs/>
          <w:lang w:val="en-AU"/>
        </w:rPr>
        <w:t>Disability Advocacy Futures Program</w:t>
      </w:r>
      <w:r w:rsidR="00BC4319" w:rsidRPr="00871656">
        <w:rPr>
          <w:rFonts w:asciiTheme="minorHAnsi" w:hAnsiTheme="minorHAnsi" w:cstheme="minorHAnsi"/>
          <w:color w:val="auto"/>
        </w:rPr>
        <w:t xml:space="preserve"> </w:t>
      </w:r>
      <w:r w:rsidRPr="00871656">
        <w:rPr>
          <w:rFonts w:asciiTheme="minorHAnsi" w:hAnsiTheme="minorHAnsi" w:cstheme="minorHAnsi"/>
          <w:color w:val="auto"/>
        </w:rPr>
        <w:t xml:space="preserve">to provide individual advocacy. Our individual advocates’ </w:t>
      </w:r>
      <w:r w:rsidR="00AA287E" w:rsidRPr="00871656">
        <w:rPr>
          <w:rFonts w:asciiTheme="minorHAnsi" w:hAnsiTheme="minorHAnsi" w:cstheme="minorHAnsi"/>
          <w:color w:val="auto"/>
        </w:rPr>
        <w:t>experience with the ADA</w:t>
      </w:r>
      <w:r w:rsidR="009B3D9E" w:rsidRPr="00871656">
        <w:rPr>
          <w:rFonts w:asciiTheme="minorHAnsi" w:hAnsiTheme="minorHAnsi" w:cstheme="minorHAnsi"/>
          <w:color w:val="auto"/>
        </w:rPr>
        <w:t xml:space="preserve"> provi</w:t>
      </w:r>
      <w:r w:rsidR="00AF7793" w:rsidRPr="00871656">
        <w:rPr>
          <w:rFonts w:asciiTheme="minorHAnsi" w:hAnsiTheme="minorHAnsi" w:cstheme="minorHAnsi"/>
          <w:color w:val="auto"/>
        </w:rPr>
        <w:t>des</w:t>
      </w:r>
      <w:r w:rsidR="00F84779" w:rsidRPr="00871656">
        <w:rPr>
          <w:rFonts w:asciiTheme="minorHAnsi" w:hAnsiTheme="minorHAnsi" w:cstheme="minorHAnsi"/>
          <w:color w:val="auto"/>
        </w:rPr>
        <w:t xml:space="preserve"> insights into what may be improved</w:t>
      </w:r>
      <w:r w:rsidR="00AA287E" w:rsidRPr="00871656">
        <w:rPr>
          <w:rFonts w:asciiTheme="minorHAnsi" w:hAnsiTheme="minorHAnsi" w:cstheme="minorHAnsi"/>
          <w:color w:val="auto"/>
        </w:rPr>
        <w:t xml:space="preserve">. </w:t>
      </w:r>
      <w:r w:rsidR="00FC7ABE" w:rsidRPr="00871656">
        <w:rPr>
          <w:rFonts w:asciiTheme="minorHAnsi" w:hAnsiTheme="minorHAnsi" w:cstheme="minorHAnsi"/>
          <w:color w:val="auto"/>
        </w:rPr>
        <w:t xml:space="preserve">A consistent observation was that rights, </w:t>
      </w:r>
      <w:r w:rsidR="00BD2089" w:rsidRPr="00871656">
        <w:rPr>
          <w:rFonts w:asciiTheme="minorHAnsi" w:hAnsiTheme="minorHAnsi" w:cstheme="minorHAnsi"/>
          <w:color w:val="auto"/>
        </w:rPr>
        <w:t>obligations,</w:t>
      </w:r>
      <w:r w:rsidR="00FC7ABE" w:rsidRPr="00871656">
        <w:rPr>
          <w:rFonts w:asciiTheme="minorHAnsi" w:hAnsiTheme="minorHAnsi" w:cstheme="minorHAnsi"/>
          <w:color w:val="auto"/>
        </w:rPr>
        <w:t xml:space="preserve"> and tests for discrimination </w:t>
      </w:r>
      <w:r w:rsidR="007C38B9" w:rsidRPr="00871656">
        <w:rPr>
          <w:rFonts w:asciiTheme="minorHAnsi" w:hAnsiTheme="minorHAnsi" w:cstheme="minorHAnsi"/>
          <w:color w:val="auto"/>
        </w:rPr>
        <w:t xml:space="preserve">in the ADA </w:t>
      </w:r>
      <w:r w:rsidR="00FC7ABE" w:rsidRPr="00871656">
        <w:rPr>
          <w:rFonts w:asciiTheme="minorHAnsi" w:hAnsiTheme="minorHAnsi" w:cstheme="minorHAnsi"/>
          <w:color w:val="auto"/>
        </w:rPr>
        <w:t xml:space="preserve">are unclear. </w:t>
      </w:r>
      <w:r w:rsidRPr="00871656">
        <w:rPr>
          <w:rFonts w:asciiTheme="minorHAnsi" w:hAnsiTheme="minorHAnsi" w:cstheme="minorHAnsi"/>
          <w:color w:val="auto"/>
        </w:rPr>
        <w:t>Our individual</w:t>
      </w:r>
      <w:r w:rsidR="00BF4609" w:rsidRPr="00871656">
        <w:rPr>
          <w:rFonts w:asciiTheme="minorHAnsi" w:hAnsiTheme="minorHAnsi" w:cstheme="minorHAnsi"/>
          <w:color w:val="auto"/>
        </w:rPr>
        <w:t xml:space="preserve"> advocates felt the </w:t>
      </w:r>
      <w:r w:rsidR="00985669" w:rsidRPr="00871656">
        <w:rPr>
          <w:rFonts w:asciiTheme="minorHAnsi" w:hAnsiTheme="minorHAnsi" w:cstheme="minorHAnsi"/>
          <w:color w:val="auto"/>
        </w:rPr>
        <w:t xml:space="preserve">current </w:t>
      </w:r>
      <w:r w:rsidR="00BF4609" w:rsidRPr="00871656">
        <w:rPr>
          <w:rFonts w:asciiTheme="minorHAnsi" w:hAnsiTheme="minorHAnsi" w:cstheme="minorHAnsi"/>
          <w:color w:val="auto"/>
        </w:rPr>
        <w:t>ADA</w:t>
      </w:r>
      <w:r w:rsidR="009327B5" w:rsidRPr="00871656">
        <w:rPr>
          <w:rFonts w:asciiTheme="minorHAnsi" w:hAnsiTheme="minorHAnsi" w:cstheme="minorHAnsi"/>
          <w:color w:val="auto"/>
        </w:rPr>
        <w:t xml:space="preserve"> is</w:t>
      </w:r>
      <w:r w:rsidR="00755E1A">
        <w:rPr>
          <w:rFonts w:asciiTheme="minorHAnsi" w:hAnsiTheme="minorHAnsi" w:cstheme="minorHAnsi"/>
          <w:color w:val="auto"/>
        </w:rPr>
        <w:t>:</w:t>
      </w:r>
    </w:p>
    <w:p w14:paraId="7EDEC17A" w14:textId="46F6E8EE" w:rsidR="009B3D9E" w:rsidRPr="00871656" w:rsidRDefault="00EA3264" w:rsidP="008A3ECE">
      <w:pPr>
        <w:pStyle w:val="BodyText"/>
        <w:numPr>
          <w:ilvl w:val="0"/>
          <w:numId w:val="15"/>
        </w:numPr>
        <w:spacing w:before="0" w:line="312" w:lineRule="auto"/>
        <w:rPr>
          <w:rFonts w:asciiTheme="minorHAnsi" w:hAnsiTheme="minorHAnsi" w:cstheme="minorHAnsi"/>
          <w:color w:val="auto"/>
        </w:rPr>
      </w:pPr>
      <w:r w:rsidRPr="00871656">
        <w:rPr>
          <w:rFonts w:asciiTheme="minorHAnsi" w:hAnsiTheme="minorHAnsi" w:cstheme="minorHAnsi"/>
          <w:color w:val="auto"/>
        </w:rPr>
        <w:lastRenderedPageBreak/>
        <w:t>poorly structured</w:t>
      </w:r>
      <w:r w:rsidR="0017280A" w:rsidRPr="00871656">
        <w:rPr>
          <w:rFonts w:asciiTheme="minorHAnsi" w:hAnsiTheme="minorHAnsi" w:cstheme="minorHAnsi"/>
          <w:color w:val="auto"/>
        </w:rPr>
        <w:t xml:space="preserve"> </w:t>
      </w:r>
      <w:r w:rsidRPr="00871656">
        <w:rPr>
          <w:rFonts w:asciiTheme="minorHAnsi" w:hAnsiTheme="minorHAnsi" w:cstheme="minorHAnsi"/>
          <w:color w:val="auto"/>
        </w:rPr>
        <w:t xml:space="preserve">and not </w:t>
      </w:r>
      <w:r w:rsidR="00300E01" w:rsidRPr="00871656">
        <w:rPr>
          <w:rFonts w:asciiTheme="minorHAnsi" w:hAnsiTheme="minorHAnsi" w:cstheme="minorHAnsi"/>
          <w:color w:val="auto"/>
        </w:rPr>
        <w:t xml:space="preserve">consistent with </w:t>
      </w:r>
      <w:r w:rsidRPr="00871656">
        <w:rPr>
          <w:rFonts w:asciiTheme="minorHAnsi" w:hAnsiTheme="minorHAnsi" w:cstheme="minorHAnsi"/>
          <w:color w:val="auto"/>
        </w:rPr>
        <w:t>human rights</w:t>
      </w:r>
      <w:r w:rsidR="00FC7ABE" w:rsidRPr="00871656">
        <w:rPr>
          <w:rFonts w:asciiTheme="minorHAnsi" w:hAnsiTheme="minorHAnsi" w:cstheme="minorHAnsi"/>
          <w:color w:val="auto"/>
        </w:rPr>
        <w:t xml:space="preserve"> </w:t>
      </w:r>
      <w:r w:rsidR="00A80CC3" w:rsidRPr="00871656">
        <w:rPr>
          <w:rFonts w:asciiTheme="minorHAnsi" w:hAnsiTheme="minorHAnsi" w:cstheme="minorHAnsi"/>
          <w:color w:val="auto"/>
        </w:rPr>
        <w:t xml:space="preserve">language </w:t>
      </w:r>
      <w:r w:rsidR="00FC7ABE" w:rsidRPr="00871656">
        <w:rPr>
          <w:rFonts w:asciiTheme="minorHAnsi" w:hAnsiTheme="minorHAnsi" w:cstheme="minorHAnsi"/>
          <w:color w:val="auto"/>
        </w:rPr>
        <w:t>and</w:t>
      </w:r>
      <w:r w:rsidRPr="00871656">
        <w:rPr>
          <w:rFonts w:asciiTheme="minorHAnsi" w:hAnsiTheme="minorHAnsi" w:cstheme="minorHAnsi"/>
          <w:color w:val="auto"/>
        </w:rPr>
        <w:t xml:space="preserve"> </w:t>
      </w:r>
      <w:r w:rsidR="00025B30" w:rsidRPr="00871656">
        <w:rPr>
          <w:rFonts w:asciiTheme="minorHAnsi" w:hAnsiTheme="minorHAnsi" w:cstheme="minorHAnsi"/>
          <w:color w:val="auto"/>
        </w:rPr>
        <w:t>principles</w:t>
      </w:r>
    </w:p>
    <w:p w14:paraId="5E4C718D" w14:textId="4117197A" w:rsidR="00E00CE1" w:rsidRPr="00871656" w:rsidRDefault="00126FA2" w:rsidP="008A3ECE">
      <w:pPr>
        <w:pStyle w:val="BodyText"/>
        <w:numPr>
          <w:ilvl w:val="0"/>
          <w:numId w:val="15"/>
        </w:numPr>
        <w:spacing w:before="0" w:line="312" w:lineRule="auto"/>
        <w:rPr>
          <w:rFonts w:asciiTheme="minorHAnsi" w:hAnsiTheme="minorHAnsi" w:cstheme="minorHAnsi"/>
          <w:color w:val="auto"/>
        </w:rPr>
      </w:pPr>
      <w:r w:rsidRPr="00871656">
        <w:rPr>
          <w:rFonts w:asciiTheme="minorHAnsi" w:hAnsiTheme="minorHAnsi" w:cstheme="minorHAnsi"/>
          <w:color w:val="auto"/>
        </w:rPr>
        <w:t>not empowering of people with disability</w:t>
      </w:r>
      <w:r w:rsidR="00096769" w:rsidRPr="00871656">
        <w:rPr>
          <w:rFonts w:asciiTheme="minorHAnsi" w:hAnsiTheme="minorHAnsi" w:cstheme="minorHAnsi"/>
          <w:color w:val="auto"/>
        </w:rPr>
        <w:t xml:space="preserve">, not able to </w:t>
      </w:r>
      <w:r w:rsidRPr="00871656">
        <w:rPr>
          <w:rFonts w:asciiTheme="minorHAnsi" w:hAnsiTheme="minorHAnsi" w:cstheme="minorHAnsi"/>
          <w:color w:val="auto"/>
        </w:rPr>
        <w:t xml:space="preserve">promote substantive equality, and </w:t>
      </w:r>
      <w:r w:rsidR="00472694" w:rsidRPr="00871656">
        <w:rPr>
          <w:rFonts w:asciiTheme="minorHAnsi" w:hAnsiTheme="minorHAnsi" w:cstheme="minorHAnsi"/>
          <w:color w:val="auto"/>
        </w:rPr>
        <w:t>not able to adequately</w:t>
      </w:r>
      <w:r w:rsidRPr="00871656">
        <w:rPr>
          <w:rFonts w:asciiTheme="minorHAnsi" w:hAnsiTheme="minorHAnsi" w:cstheme="minorHAnsi"/>
          <w:color w:val="auto"/>
        </w:rPr>
        <w:t xml:space="preserve"> prevent discrimination from occurring</w:t>
      </w:r>
    </w:p>
    <w:p w14:paraId="6F1CB824" w14:textId="77777777" w:rsidR="000A128B" w:rsidRDefault="00BF4609" w:rsidP="008A3ECE">
      <w:pPr>
        <w:pStyle w:val="BodyText"/>
        <w:numPr>
          <w:ilvl w:val="0"/>
          <w:numId w:val="15"/>
        </w:numPr>
        <w:spacing w:before="0" w:line="312" w:lineRule="auto"/>
        <w:rPr>
          <w:rFonts w:asciiTheme="minorHAnsi" w:hAnsiTheme="minorHAnsi" w:cstheme="minorHAnsi"/>
          <w:color w:val="auto"/>
        </w:rPr>
      </w:pPr>
      <w:r w:rsidRPr="00871656">
        <w:rPr>
          <w:rFonts w:asciiTheme="minorHAnsi" w:hAnsiTheme="minorHAnsi" w:cstheme="minorHAnsi"/>
          <w:color w:val="auto"/>
        </w:rPr>
        <w:t>n</w:t>
      </w:r>
      <w:r w:rsidR="00FC7ABE" w:rsidRPr="00871656">
        <w:rPr>
          <w:rFonts w:asciiTheme="minorHAnsi" w:hAnsiTheme="minorHAnsi" w:cstheme="minorHAnsi"/>
          <w:color w:val="auto"/>
        </w:rPr>
        <w:t>ot helpful in determining what action to take, with no clear pathways for action, and no clarity about outcomes</w:t>
      </w:r>
    </w:p>
    <w:p w14:paraId="32967FB6" w14:textId="08B5D979" w:rsidR="00713830" w:rsidRPr="00871656" w:rsidRDefault="000A128B" w:rsidP="008A3ECE">
      <w:pPr>
        <w:pStyle w:val="BodyText"/>
        <w:numPr>
          <w:ilvl w:val="0"/>
          <w:numId w:val="15"/>
        </w:numPr>
        <w:spacing w:before="0" w:line="312" w:lineRule="auto"/>
        <w:rPr>
          <w:rFonts w:asciiTheme="minorHAnsi" w:hAnsiTheme="minorHAnsi" w:cstheme="minorHAnsi"/>
          <w:color w:val="auto"/>
        </w:rPr>
      </w:pPr>
      <w:r>
        <w:rPr>
          <w:rFonts w:asciiTheme="minorHAnsi" w:hAnsiTheme="minorHAnsi" w:cstheme="minorHAnsi"/>
          <w:color w:val="auto"/>
        </w:rPr>
        <w:t>e</w:t>
      </w:r>
      <w:r w:rsidR="005555AB" w:rsidRPr="00871656">
        <w:rPr>
          <w:rFonts w:asciiTheme="minorHAnsi" w:hAnsiTheme="minorHAnsi" w:cstheme="minorHAnsi"/>
          <w:color w:val="auto"/>
        </w:rPr>
        <w:t xml:space="preserve">nforcing or appealing a decision made by the </w:t>
      </w:r>
      <w:r w:rsidR="00EB0067" w:rsidRPr="00871656">
        <w:rPr>
          <w:rFonts w:asciiTheme="minorHAnsi" w:hAnsiTheme="minorHAnsi" w:cstheme="minorHAnsi"/>
          <w:color w:val="auto"/>
        </w:rPr>
        <w:t>Ant</w:t>
      </w:r>
      <w:r w:rsidR="00126FA2" w:rsidRPr="00871656">
        <w:rPr>
          <w:rFonts w:asciiTheme="minorHAnsi" w:hAnsiTheme="minorHAnsi" w:cstheme="minorHAnsi"/>
          <w:color w:val="auto"/>
        </w:rPr>
        <w:t>i</w:t>
      </w:r>
      <w:r w:rsidR="00EB0067" w:rsidRPr="00871656">
        <w:rPr>
          <w:rFonts w:asciiTheme="minorHAnsi" w:hAnsiTheme="minorHAnsi" w:cstheme="minorHAnsi"/>
          <w:color w:val="auto"/>
        </w:rPr>
        <w:t xml:space="preserve">-Discrimination </w:t>
      </w:r>
      <w:r w:rsidR="005555AB" w:rsidRPr="00871656">
        <w:rPr>
          <w:rFonts w:asciiTheme="minorHAnsi" w:hAnsiTheme="minorHAnsi" w:cstheme="minorHAnsi"/>
          <w:color w:val="auto"/>
        </w:rPr>
        <w:t xml:space="preserve">Board </w:t>
      </w:r>
      <w:r w:rsidR="00EB0067" w:rsidRPr="00871656">
        <w:rPr>
          <w:rFonts w:asciiTheme="minorHAnsi" w:hAnsiTheme="minorHAnsi" w:cstheme="minorHAnsi"/>
          <w:color w:val="auto"/>
        </w:rPr>
        <w:t xml:space="preserve">of NSW </w:t>
      </w:r>
      <w:r w:rsidR="005555AB" w:rsidRPr="00871656">
        <w:rPr>
          <w:rFonts w:asciiTheme="minorHAnsi" w:hAnsiTheme="minorHAnsi" w:cstheme="minorHAnsi"/>
          <w:color w:val="auto"/>
        </w:rPr>
        <w:t>was considered difficult</w:t>
      </w:r>
      <w:r w:rsidR="00985669" w:rsidRPr="00871656">
        <w:rPr>
          <w:rFonts w:asciiTheme="minorHAnsi" w:hAnsiTheme="minorHAnsi" w:cstheme="minorHAnsi"/>
          <w:color w:val="auto"/>
        </w:rPr>
        <w:t xml:space="preserve"> and</w:t>
      </w:r>
      <w:r w:rsidR="005555AB" w:rsidRPr="00871656">
        <w:rPr>
          <w:rFonts w:asciiTheme="minorHAnsi" w:hAnsiTheme="minorHAnsi" w:cstheme="minorHAnsi"/>
          <w:color w:val="auto"/>
        </w:rPr>
        <w:t xml:space="preserve"> time</w:t>
      </w:r>
      <w:r w:rsidR="00E00CE1" w:rsidRPr="00871656">
        <w:rPr>
          <w:rFonts w:asciiTheme="minorHAnsi" w:hAnsiTheme="minorHAnsi" w:cstheme="minorHAnsi"/>
          <w:color w:val="auto"/>
        </w:rPr>
        <w:t xml:space="preserve"> consuming</w:t>
      </w:r>
      <w:r w:rsidR="007C71D2">
        <w:rPr>
          <w:rFonts w:asciiTheme="minorHAnsi" w:hAnsiTheme="minorHAnsi" w:cstheme="minorHAnsi"/>
          <w:color w:val="auto"/>
        </w:rPr>
        <w:t>;</w:t>
      </w:r>
      <w:r w:rsidR="00755E1A">
        <w:rPr>
          <w:rFonts w:asciiTheme="minorHAnsi" w:hAnsiTheme="minorHAnsi" w:cstheme="minorHAnsi"/>
          <w:color w:val="auto"/>
        </w:rPr>
        <w:t xml:space="preserve"> </w:t>
      </w:r>
      <w:r w:rsidR="00E00CE1" w:rsidRPr="00871656">
        <w:rPr>
          <w:rFonts w:asciiTheme="minorHAnsi" w:hAnsiTheme="minorHAnsi" w:cstheme="minorHAnsi"/>
          <w:color w:val="auto"/>
        </w:rPr>
        <w:t>and</w:t>
      </w:r>
    </w:p>
    <w:p w14:paraId="10435AB2" w14:textId="45D8D7D7" w:rsidR="00BB72C6" w:rsidRPr="00BB72C6" w:rsidRDefault="0048765D" w:rsidP="008A3ECE">
      <w:pPr>
        <w:pStyle w:val="BodyText"/>
        <w:numPr>
          <w:ilvl w:val="0"/>
          <w:numId w:val="15"/>
        </w:numPr>
        <w:spacing w:before="0" w:line="312" w:lineRule="auto"/>
        <w:rPr>
          <w:rFonts w:asciiTheme="minorHAnsi" w:hAnsiTheme="minorHAnsi" w:cstheme="minorHAnsi"/>
          <w:color w:val="auto"/>
        </w:rPr>
      </w:pPr>
      <w:r w:rsidRPr="00871656">
        <w:rPr>
          <w:rFonts w:asciiTheme="minorHAnsi" w:hAnsiTheme="minorHAnsi" w:cstheme="minorHAnsi"/>
          <w:color w:val="auto"/>
        </w:rPr>
        <w:t xml:space="preserve">of limited use as an </w:t>
      </w:r>
      <w:r w:rsidR="00755E1A" w:rsidRPr="00871656">
        <w:rPr>
          <w:rFonts w:asciiTheme="minorHAnsi" w:hAnsiTheme="minorHAnsi" w:cstheme="minorHAnsi"/>
          <w:color w:val="auto"/>
        </w:rPr>
        <w:t>educational</w:t>
      </w:r>
      <w:r w:rsidRPr="00871656">
        <w:rPr>
          <w:rFonts w:asciiTheme="minorHAnsi" w:hAnsiTheme="minorHAnsi" w:cstheme="minorHAnsi"/>
          <w:color w:val="auto"/>
        </w:rPr>
        <w:t xml:space="preserve"> tool to assist PWDA clients, advocates, the wider community, and organi</w:t>
      </w:r>
      <w:r w:rsidR="00E00CE1" w:rsidRPr="00871656">
        <w:rPr>
          <w:rFonts w:asciiTheme="minorHAnsi" w:hAnsiTheme="minorHAnsi" w:cstheme="minorHAnsi"/>
          <w:color w:val="auto"/>
        </w:rPr>
        <w:t>s</w:t>
      </w:r>
      <w:r w:rsidRPr="00871656">
        <w:rPr>
          <w:rFonts w:asciiTheme="minorHAnsi" w:hAnsiTheme="minorHAnsi" w:cstheme="minorHAnsi"/>
          <w:color w:val="auto"/>
        </w:rPr>
        <w:t>ations to better understand human rights, and how these may be promoted and protected.</w:t>
      </w:r>
    </w:p>
    <w:tbl>
      <w:tblPr>
        <w:tblStyle w:val="TableGrid"/>
        <w:tblpPr w:leftFromText="180" w:rightFromText="180" w:vertAnchor="text" w:tblpXSpec="center" w:tblpY="1"/>
        <w:tblOverlap w:val="never"/>
        <w:tblW w:w="0" w:type="auto"/>
        <w:tblLayout w:type="fixed"/>
        <w:tblCellMar>
          <w:bottom w:w="198" w:type="dxa"/>
        </w:tblCellMar>
        <w:tblLook w:val="04A0" w:firstRow="1" w:lastRow="0" w:firstColumn="1" w:lastColumn="0" w:noHBand="0" w:noVBand="1"/>
      </w:tblPr>
      <w:tblGrid>
        <w:gridCol w:w="9628"/>
      </w:tblGrid>
      <w:tr w:rsidR="00BB72C6" w:rsidRPr="00871656" w14:paraId="431D9B9E" w14:textId="77777777" w:rsidTr="00BB72C6">
        <w:trPr>
          <w:trHeight w:val="20"/>
        </w:trPr>
        <w:tc>
          <w:tcPr>
            <w:tcW w:w="9628" w:type="dxa"/>
            <w:shd w:val="clear" w:color="auto" w:fill="279FFF" w:themeFill="text2" w:themeFillTint="99"/>
            <w:vAlign w:val="center"/>
          </w:tcPr>
          <w:p w14:paraId="16D54715" w14:textId="77777777" w:rsidR="00BB72C6" w:rsidRDefault="00BB72C6" w:rsidP="008A3ECE">
            <w:pPr>
              <w:spacing w:before="0" w:after="160" w:line="312" w:lineRule="auto"/>
              <w:rPr>
                <w:rFonts w:eastAsia="Calibri" w:cstheme="minorHAnsi"/>
                <w:b/>
                <w:bCs/>
                <w:kern w:val="2"/>
                <w:lang w:val="en-US"/>
                <w14:ligatures w14:val="standardContextual"/>
              </w:rPr>
            </w:pPr>
            <w:bookmarkStart w:id="74" w:name="_Hlk146798393"/>
          </w:p>
          <w:p w14:paraId="67910FF2" w14:textId="24CC1061" w:rsidR="00BB72C6" w:rsidRPr="009F016B" w:rsidRDefault="00BB72C6" w:rsidP="008A3ECE">
            <w:pPr>
              <w:spacing w:before="0" w:after="160" w:line="312" w:lineRule="auto"/>
              <w:jc w:val="center"/>
              <w:rPr>
                <w:rFonts w:eastAsia="Calibri" w:cstheme="minorHAnsi"/>
                <w:b/>
                <w:bCs/>
                <w:kern w:val="2"/>
                <w:sz w:val="28"/>
                <w:szCs w:val="28"/>
                <w:lang w:val="en-US"/>
                <w14:ligatures w14:val="standardContextual"/>
              </w:rPr>
            </w:pPr>
            <w:r w:rsidRPr="009F016B">
              <w:rPr>
                <w:rFonts w:eastAsia="Calibri" w:cstheme="minorHAnsi"/>
                <w:b/>
                <w:bCs/>
                <w:kern w:val="2"/>
                <w:sz w:val="28"/>
                <w:szCs w:val="28"/>
                <w:lang w:val="en-US"/>
                <w14:ligatures w14:val="standardContextual"/>
              </w:rPr>
              <w:t>Case study 1 – Jessie</w:t>
            </w:r>
          </w:p>
        </w:tc>
      </w:tr>
      <w:bookmarkEnd w:id="74"/>
      <w:tr w:rsidR="007B5FF9" w:rsidRPr="00871656" w14:paraId="2EBDA1F4" w14:textId="77777777" w:rsidTr="00BB72C6">
        <w:trPr>
          <w:trHeight w:val="654"/>
        </w:trPr>
        <w:tc>
          <w:tcPr>
            <w:tcW w:w="9628" w:type="dxa"/>
          </w:tcPr>
          <w:p w14:paraId="1C0735BC" w14:textId="77777777" w:rsidR="00FC1641" w:rsidRPr="004B6172" w:rsidRDefault="00FC1641" w:rsidP="008A3ECE">
            <w:pPr>
              <w:spacing w:before="0" w:after="160" w:line="312" w:lineRule="auto"/>
              <w:rPr>
                <w:rFonts w:eastAsia="Calibri" w:cstheme="minorHAnsi"/>
                <w:kern w:val="2"/>
                <w:lang w:val="en-US"/>
                <w14:ligatures w14:val="standardContextual"/>
              </w:rPr>
            </w:pPr>
            <w:r w:rsidRPr="004B6172">
              <w:rPr>
                <w:rFonts w:eastAsia="Calibri" w:cstheme="minorHAnsi"/>
                <w:kern w:val="2"/>
                <w:lang w:val="en-US"/>
                <w14:ligatures w14:val="standardContextual"/>
              </w:rPr>
              <w:t>Jessie (name changed) is an adult with hearing and psychosocial disability. They were serving a custodial sentence in a NSW prison. PWDA advocates were supporting Jessie and their family to ensure they exited prison with support in place. The family solicitor</w:t>
            </w:r>
            <w:r>
              <w:rPr>
                <w:rFonts w:eastAsia="Calibri" w:cstheme="minorHAnsi"/>
                <w:kern w:val="2"/>
                <w:lang w:val="en-US"/>
                <w14:ligatures w14:val="standardContextual"/>
              </w:rPr>
              <w:t xml:space="preserve"> </w:t>
            </w:r>
            <w:r w:rsidRPr="004B6172">
              <w:rPr>
                <w:rFonts w:eastAsia="Calibri" w:cstheme="minorHAnsi"/>
                <w:kern w:val="2"/>
                <w:lang w:val="en-US"/>
                <w14:ligatures w14:val="standardContextual"/>
              </w:rPr>
              <w:t>would also speak with Jessie.</w:t>
            </w:r>
          </w:p>
          <w:p w14:paraId="5BA533A7" w14:textId="77777777" w:rsidR="00FC1641" w:rsidRPr="004B6172" w:rsidRDefault="00FC1641" w:rsidP="008A3ECE">
            <w:pPr>
              <w:spacing w:before="0" w:after="160" w:line="312" w:lineRule="auto"/>
              <w:rPr>
                <w:rFonts w:eastAsia="Calibri" w:cstheme="minorHAnsi"/>
                <w:kern w:val="2"/>
                <w:lang w:val="en-US"/>
                <w14:ligatures w14:val="standardContextual"/>
              </w:rPr>
            </w:pPr>
            <w:r w:rsidRPr="004B6172">
              <w:rPr>
                <w:rFonts w:eastAsia="Calibri" w:cstheme="minorHAnsi"/>
                <w:kern w:val="2"/>
                <w:lang w:val="en-US"/>
                <w14:ligatures w14:val="standardContextual"/>
              </w:rPr>
              <w:t>Advocates met with Jessie over video at least once per fortnight. They noticed it was difficult to hear Jessie because of a loud humming noise. While a staff member said “it wasn’t too bad at his end and would go away” Jessie could not hear and understand the advocate properly over the headphones, or the speaker in the room.</w:t>
            </w:r>
          </w:p>
          <w:p w14:paraId="6BBB7D02" w14:textId="77777777" w:rsidR="00FC1641" w:rsidRPr="004B6172" w:rsidRDefault="00FC1641" w:rsidP="008A3ECE">
            <w:pPr>
              <w:spacing w:before="0" w:after="160" w:line="312" w:lineRule="auto"/>
              <w:rPr>
                <w:rFonts w:eastAsia="Calibri" w:cstheme="minorHAnsi"/>
                <w:kern w:val="2"/>
                <w:lang w:val="en-US"/>
                <w14:ligatures w14:val="standardContextual"/>
              </w:rPr>
            </w:pPr>
            <w:r w:rsidRPr="004B6172">
              <w:rPr>
                <w:rFonts w:eastAsia="Calibri" w:cstheme="minorHAnsi"/>
                <w:kern w:val="2"/>
                <w:lang w:val="en-US"/>
                <w14:ligatures w14:val="standardContextual"/>
              </w:rPr>
              <w:t>Jessie’s family told the advocates that Jessie was distressed about not being able to hear and communicate when using the video link. The advocate suspected the audio equipment was broken or not suitable for use for a person with a disability.</w:t>
            </w:r>
          </w:p>
          <w:p w14:paraId="12B7B2C9" w14:textId="77777777" w:rsidR="00FC1641" w:rsidRPr="004B6172" w:rsidRDefault="00FC1641" w:rsidP="008A3ECE">
            <w:pPr>
              <w:spacing w:before="0" w:after="160" w:line="312" w:lineRule="auto"/>
              <w:rPr>
                <w:rFonts w:eastAsia="Calibri" w:cstheme="minorHAnsi"/>
                <w:kern w:val="2"/>
                <w:lang w:val="en-US"/>
                <w14:ligatures w14:val="standardContextual"/>
              </w:rPr>
            </w:pPr>
            <w:r w:rsidRPr="004B6172">
              <w:rPr>
                <w:rFonts w:eastAsia="Calibri" w:cstheme="minorHAnsi"/>
                <w:kern w:val="2"/>
                <w:lang w:val="en-US"/>
                <w14:ligatures w14:val="standardContextual"/>
              </w:rPr>
              <w:t>The advocate spoke to a Centre supervisor over the phone about the difficulty hearing. The advocate suggested a new suitable headset or speaker be used to allow Jessie to fully participate in meetings. They were told “that’s the way it is, others have used it and not complained”, “it’s like that for others so it’s not discrimination” and “we can’t be giving people all this special treatment”.</w:t>
            </w:r>
          </w:p>
          <w:p w14:paraId="2C5282A4" w14:textId="77777777" w:rsidR="00FC1641" w:rsidRPr="004B6172" w:rsidRDefault="00FC1641" w:rsidP="008A3ECE">
            <w:pPr>
              <w:spacing w:before="0" w:after="160" w:line="312" w:lineRule="auto"/>
              <w:rPr>
                <w:rFonts w:eastAsia="Calibri" w:cstheme="minorHAnsi"/>
                <w:kern w:val="2"/>
                <w:lang w:val="en-US"/>
                <w14:ligatures w14:val="standardContextual"/>
              </w:rPr>
            </w:pPr>
            <w:r w:rsidRPr="004B6172">
              <w:rPr>
                <w:rFonts w:eastAsia="Calibri" w:cstheme="minorHAnsi"/>
                <w:kern w:val="2"/>
                <w:lang w:val="en-US"/>
                <w14:ligatures w14:val="standardContextual"/>
              </w:rPr>
              <w:lastRenderedPageBreak/>
              <w:t xml:space="preserve">The advocate spoke to the family solicitor who acknowledged there might be disability discrimination, but it may be difficult to show, and might be expensive if a complaint was pursued. They indicated they would write a letter to the Correctional Centre about </w:t>
            </w:r>
            <w:r>
              <w:rPr>
                <w:rFonts w:eastAsia="Calibri" w:cstheme="minorHAnsi"/>
                <w:kern w:val="2"/>
                <w:lang w:val="en-US"/>
                <w14:ligatures w14:val="standardContextual"/>
              </w:rPr>
              <w:t xml:space="preserve">the </w:t>
            </w:r>
            <w:r w:rsidRPr="004B6172">
              <w:rPr>
                <w:rFonts w:eastAsia="Calibri" w:cstheme="minorHAnsi"/>
                <w:kern w:val="2"/>
                <w:lang w:val="en-US"/>
                <w14:ligatures w14:val="standardContextual"/>
              </w:rPr>
              <w:t>disability discrimination and human rights concerns the advocate identified.</w:t>
            </w:r>
          </w:p>
          <w:p w14:paraId="746A9B33" w14:textId="77777777" w:rsidR="00FC1641" w:rsidRPr="004B6172" w:rsidRDefault="00FC1641" w:rsidP="008A3ECE">
            <w:pPr>
              <w:spacing w:before="0" w:after="160" w:line="312" w:lineRule="auto"/>
              <w:rPr>
                <w:rFonts w:eastAsia="Calibri" w:cstheme="minorHAnsi"/>
                <w:kern w:val="2"/>
                <w:lang w:val="en-US"/>
                <w14:ligatures w14:val="standardContextual"/>
              </w:rPr>
            </w:pPr>
            <w:r w:rsidRPr="004B6172">
              <w:rPr>
                <w:rFonts w:eastAsia="Calibri" w:cstheme="minorHAnsi"/>
                <w:kern w:val="2"/>
                <w:lang w:val="en-US"/>
                <w14:ligatures w14:val="standardContextual"/>
              </w:rPr>
              <w:t>Four weeks later advocates noticed Jessie was wearing new headphones, and they acknowledged Jessie could hear reasonably clearly when compared with before.</w:t>
            </w:r>
          </w:p>
          <w:p w14:paraId="38D0FAA0" w14:textId="6FD8DFAA" w:rsidR="00FC1641" w:rsidRPr="004B6172" w:rsidRDefault="00852683" w:rsidP="008A3ECE">
            <w:pPr>
              <w:spacing w:before="0" w:after="160" w:line="312" w:lineRule="auto"/>
              <w:rPr>
                <w:rFonts w:eastAsia="Calibri" w:cstheme="minorHAnsi"/>
                <w:kern w:val="2"/>
                <w:lang w:val="en-US"/>
                <w14:ligatures w14:val="standardContextual"/>
              </w:rPr>
            </w:pPr>
            <w:r>
              <w:rPr>
                <w:rFonts w:eastAsia="Calibri" w:cstheme="minorHAnsi"/>
                <w:kern w:val="2"/>
                <w:lang w:val="en-US"/>
                <w14:ligatures w14:val="standardContextual"/>
              </w:rPr>
              <w:t>R</w:t>
            </w:r>
            <w:r w:rsidR="00FC1641" w:rsidRPr="004B6172">
              <w:rPr>
                <w:rFonts w:eastAsia="Calibri" w:cstheme="minorHAnsi"/>
                <w:kern w:val="2"/>
                <w:lang w:val="en-US"/>
                <w14:ligatures w14:val="standardContextual"/>
              </w:rPr>
              <w:t>elevance of this case study:</w:t>
            </w:r>
          </w:p>
          <w:p w14:paraId="1F887EF3" w14:textId="6011553E" w:rsidR="00FC1641" w:rsidRDefault="00FC1641" w:rsidP="008A3ECE">
            <w:pPr>
              <w:numPr>
                <w:ilvl w:val="0"/>
                <w:numId w:val="20"/>
              </w:numPr>
              <w:spacing w:before="0" w:after="160" w:line="312" w:lineRule="auto"/>
              <w:contextualSpacing/>
              <w:rPr>
                <w:rFonts w:eastAsia="Calibri" w:cstheme="minorHAnsi"/>
                <w:kern w:val="2"/>
                <w:lang w:val="en-US"/>
                <w14:ligatures w14:val="standardContextual"/>
              </w:rPr>
            </w:pPr>
            <w:r w:rsidRPr="001F1378">
              <w:rPr>
                <w:rFonts w:eastAsia="Calibri" w:cstheme="minorHAnsi"/>
                <w:kern w:val="2"/>
                <w:lang w:val="en-US"/>
                <w14:ligatures w14:val="standardContextual"/>
              </w:rPr>
              <w:t xml:space="preserve">The ADA provided little to no assistance to </w:t>
            </w:r>
            <w:r w:rsidR="007840BB" w:rsidRPr="001F1378">
              <w:rPr>
                <w:rFonts w:eastAsia="Calibri" w:cstheme="minorHAnsi"/>
                <w:kern w:val="2"/>
                <w:lang w:val="en-US"/>
                <w14:ligatures w14:val="standardContextual"/>
              </w:rPr>
              <w:t>J</w:t>
            </w:r>
            <w:r w:rsidR="007840BB">
              <w:rPr>
                <w:rFonts w:eastAsia="Calibri" w:cstheme="minorHAnsi"/>
                <w:kern w:val="2"/>
                <w:lang w:val="en-US"/>
                <w14:ligatures w14:val="standardContextual"/>
              </w:rPr>
              <w:t>essie</w:t>
            </w:r>
            <w:r w:rsidR="007840BB" w:rsidRPr="001F1378">
              <w:rPr>
                <w:rFonts w:eastAsia="Calibri" w:cstheme="minorHAnsi"/>
                <w:kern w:val="2"/>
                <w:lang w:val="en-US"/>
                <w14:ligatures w14:val="standardContextual"/>
              </w:rPr>
              <w:t xml:space="preserve"> </w:t>
            </w:r>
            <w:r w:rsidRPr="001F1378">
              <w:rPr>
                <w:rFonts w:eastAsia="Calibri" w:cstheme="minorHAnsi"/>
                <w:kern w:val="2"/>
                <w:lang w:val="en-US"/>
                <w14:ligatures w14:val="standardContextual"/>
              </w:rPr>
              <w:t xml:space="preserve">in preventing </w:t>
            </w:r>
            <w:r>
              <w:rPr>
                <w:rFonts w:eastAsia="Calibri" w:cstheme="minorHAnsi"/>
                <w:kern w:val="2"/>
                <w:lang w:val="en-US"/>
                <w14:ligatures w14:val="standardContextual"/>
              </w:rPr>
              <w:t xml:space="preserve">potential </w:t>
            </w:r>
            <w:r w:rsidRPr="001F1378">
              <w:rPr>
                <w:rFonts w:eastAsia="Calibri" w:cstheme="minorHAnsi"/>
                <w:kern w:val="2"/>
                <w:lang w:val="en-US"/>
                <w14:ligatures w14:val="standardContextual"/>
              </w:rPr>
              <w:t>discriminatory conduct.</w:t>
            </w:r>
          </w:p>
          <w:p w14:paraId="09737E36" w14:textId="17C40018" w:rsidR="00ED7482" w:rsidRPr="00FC1641" w:rsidRDefault="00FC1641" w:rsidP="008A3ECE">
            <w:pPr>
              <w:numPr>
                <w:ilvl w:val="0"/>
                <w:numId w:val="20"/>
              </w:numPr>
              <w:spacing w:before="0" w:after="160" w:line="312" w:lineRule="auto"/>
              <w:contextualSpacing/>
              <w:rPr>
                <w:rFonts w:eastAsia="Calibri" w:cstheme="minorHAnsi"/>
                <w:kern w:val="2"/>
                <w:lang w:val="en-US"/>
                <w14:ligatures w14:val="standardContextual"/>
              </w:rPr>
            </w:pPr>
            <w:r w:rsidRPr="00FC1641">
              <w:rPr>
                <w:rFonts w:eastAsia="Calibri" w:cstheme="minorHAnsi"/>
                <w:kern w:val="2"/>
                <w:lang w:val="en-US"/>
                <w14:ligatures w14:val="standardContextual"/>
              </w:rPr>
              <w:t xml:space="preserve">There is a </w:t>
            </w:r>
            <w:r w:rsidR="003C4FDF" w:rsidRPr="00FC1641">
              <w:rPr>
                <w:rFonts w:eastAsia="Calibri" w:cstheme="minorHAnsi"/>
                <w:kern w:val="2"/>
                <w:lang w:val="en-US"/>
                <w14:ligatures w14:val="standardContextual"/>
              </w:rPr>
              <w:t>continuing lack</w:t>
            </w:r>
            <w:r w:rsidRPr="00FC1641">
              <w:rPr>
                <w:rFonts w:eastAsia="Calibri" w:cstheme="minorHAnsi"/>
                <w:kern w:val="2"/>
                <w:lang w:val="en-US"/>
                <w14:ligatures w14:val="standardContextual"/>
              </w:rPr>
              <w:t xml:space="preserve"> of awareness and understanding of human rights and what constitutes discrimination </w:t>
            </w:r>
            <w:r w:rsidR="00594465">
              <w:rPr>
                <w:rFonts w:eastAsia="Calibri" w:cstheme="minorHAnsi"/>
                <w:kern w:val="2"/>
                <w:lang w:val="en-US"/>
                <w14:ligatures w14:val="standardContextual"/>
              </w:rPr>
              <w:t xml:space="preserve">throughout the community. </w:t>
            </w:r>
            <w:r w:rsidR="002915BF">
              <w:rPr>
                <w:rFonts w:eastAsia="Calibri" w:cstheme="minorHAnsi"/>
                <w:kern w:val="2"/>
                <w:lang w:val="en-US"/>
                <w14:ligatures w14:val="standardContextual"/>
              </w:rPr>
              <w:t xml:space="preserve">Positive duties may </w:t>
            </w:r>
            <w:r w:rsidR="00A7276B">
              <w:rPr>
                <w:rFonts w:eastAsia="Calibri" w:cstheme="minorHAnsi"/>
                <w:kern w:val="2"/>
                <w:lang w:val="en-US"/>
                <w14:ligatures w14:val="standardContextual"/>
              </w:rPr>
              <w:t>assist in understanding obligations.</w:t>
            </w:r>
          </w:p>
        </w:tc>
      </w:tr>
    </w:tbl>
    <w:p w14:paraId="4C1DB5DC" w14:textId="00990E88" w:rsidR="00713830" w:rsidRPr="004D6C8A" w:rsidRDefault="002A4BEB" w:rsidP="008A3ECE">
      <w:pPr>
        <w:pStyle w:val="BodyText"/>
        <w:spacing w:line="312" w:lineRule="auto"/>
        <w:jc w:val="center"/>
        <w:rPr>
          <w:rFonts w:asciiTheme="minorHAnsi" w:hAnsiTheme="minorHAnsi" w:cstheme="minorHAnsi"/>
          <w:b/>
          <w:bCs/>
          <w:color w:val="auto"/>
          <w:sz w:val="20"/>
          <w:szCs w:val="20"/>
        </w:rPr>
      </w:pPr>
      <w:r w:rsidRPr="004D6C8A">
        <w:rPr>
          <w:rFonts w:asciiTheme="minorHAnsi" w:hAnsiTheme="minorHAnsi" w:cstheme="minorHAnsi"/>
          <w:b/>
          <w:bCs/>
          <w:color w:val="auto"/>
          <w:sz w:val="20"/>
          <w:szCs w:val="20"/>
        </w:rPr>
        <w:lastRenderedPageBreak/>
        <w:t xml:space="preserve">Case study 1: </w:t>
      </w:r>
      <w:r w:rsidR="009F016B">
        <w:rPr>
          <w:rFonts w:asciiTheme="minorHAnsi" w:hAnsiTheme="minorHAnsi" w:cstheme="minorHAnsi"/>
          <w:b/>
          <w:bCs/>
          <w:color w:val="auto"/>
          <w:sz w:val="20"/>
          <w:szCs w:val="20"/>
        </w:rPr>
        <w:t>Jessie</w:t>
      </w:r>
    </w:p>
    <w:p w14:paraId="5D620F18" w14:textId="3CEA68B1" w:rsidR="00E13E4A" w:rsidRPr="008A3ECE" w:rsidRDefault="00F91CDA" w:rsidP="008A3ECE">
      <w:pPr>
        <w:spacing w:before="0" w:after="120" w:line="312" w:lineRule="auto"/>
        <w:rPr>
          <w:rFonts w:eastAsia="Arial" w:cstheme="minorHAnsi"/>
          <w:lang w:val="en-US"/>
        </w:rPr>
      </w:pPr>
      <w:r w:rsidRPr="00871656">
        <w:rPr>
          <w:rFonts w:cstheme="minorHAnsi"/>
        </w:rPr>
        <w:t xml:space="preserve">The experience of </w:t>
      </w:r>
      <w:r w:rsidR="00A5789F" w:rsidRPr="00871656">
        <w:rPr>
          <w:rFonts w:cstheme="minorHAnsi"/>
        </w:rPr>
        <w:t>PWDA</w:t>
      </w:r>
      <w:r w:rsidRPr="00871656">
        <w:rPr>
          <w:rFonts w:cstheme="minorHAnsi"/>
        </w:rPr>
        <w:t xml:space="preserve"> </w:t>
      </w:r>
      <w:r w:rsidR="00601AB6" w:rsidRPr="00871656">
        <w:rPr>
          <w:rFonts w:cstheme="minorHAnsi"/>
        </w:rPr>
        <w:t xml:space="preserve">advocates </w:t>
      </w:r>
      <w:r w:rsidRPr="00871656">
        <w:rPr>
          <w:rFonts w:cstheme="minorHAnsi"/>
        </w:rPr>
        <w:t xml:space="preserve">and clients </w:t>
      </w:r>
      <w:r w:rsidR="001A6854" w:rsidRPr="00871656">
        <w:rPr>
          <w:rFonts w:cstheme="minorHAnsi"/>
        </w:rPr>
        <w:t xml:space="preserve">aligns </w:t>
      </w:r>
      <w:r w:rsidRPr="00871656">
        <w:rPr>
          <w:rFonts w:cstheme="minorHAnsi"/>
        </w:rPr>
        <w:t xml:space="preserve">with </w:t>
      </w:r>
      <w:r w:rsidR="00461A05" w:rsidRPr="00871656">
        <w:rPr>
          <w:rFonts w:cstheme="minorHAnsi"/>
        </w:rPr>
        <w:t>th</w:t>
      </w:r>
      <w:r w:rsidR="00A5789F" w:rsidRPr="00871656">
        <w:rPr>
          <w:rFonts w:cstheme="minorHAnsi"/>
        </w:rPr>
        <w:t xml:space="preserve">e </w:t>
      </w:r>
      <w:r w:rsidR="00461A05" w:rsidRPr="00871656">
        <w:rPr>
          <w:rFonts w:cstheme="minorHAnsi"/>
        </w:rPr>
        <w:t xml:space="preserve">view of the </w:t>
      </w:r>
      <w:r w:rsidR="00A5789F" w:rsidRPr="00871656">
        <w:rPr>
          <w:rFonts w:cstheme="minorHAnsi"/>
        </w:rPr>
        <w:t>Public Interest Advocacy Centre (PIAC) that</w:t>
      </w:r>
      <w:r w:rsidR="00461A05" w:rsidRPr="00871656">
        <w:rPr>
          <w:rFonts w:cstheme="minorHAnsi"/>
        </w:rPr>
        <w:t>:</w:t>
      </w:r>
    </w:p>
    <w:p w14:paraId="64DA74FB" w14:textId="2745A66F" w:rsidR="00A5789F" w:rsidRPr="00BA1B07" w:rsidRDefault="00A5789F" w:rsidP="008A3ECE">
      <w:pPr>
        <w:pStyle w:val="BodyText"/>
        <w:spacing w:line="312" w:lineRule="auto"/>
        <w:ind w:left="720"/>
        <w:rPr>
          <w:rFonts w:asciiTheme="minorHAnsi" w:hAnsiTheme="minorHAnsi" w:cstheme="minorHAnsi"/>
          <w:i/>
          <w:iCs/>
          <w:color w:val="auto"/>
        </w:rPr>
      </w:pPr>
      <w:r w:rsidRPr="00BA1B07">
        <w:rPr>
          <w:rFonts w:asciiTheme="minorHAnsi" w:hAnsiTheme="minorHAnsi" w:cstheme="minorHAnsi"/>
          <w:i/>
          <w:iCs/>
          <w:color w:val="auto"/>
        </w:rPr>
        <w:t>Serious limitations [of the ADA] include a narrow range of groups offered protection, outdated tests for what constitutes discrimination, and excessively broad exceptions allowing discrimination by organizations like private educational authorities.</w:t>
      </w:r>
    </w:p>
    <w:p w14:paraId="51A18648" w14:textId="60D4FC01" w:rsidR="00A5789F" w:rsidRPr="00871656" w:rsidRDefault="00A5789F" w:rsidP="008A3ECE">
      <w:pPr>
        <w:pStyle w:val="BodyText"/>
        <w:spacing w:line="312" w:lineRule="auto"/>
        <w:ind w:left="720"/>
        <w:rPr>
          <w:rFonts w:asciiTheme="minorHAnsi" w:hAnsiTheme="minorHAnsi" w:cstheme="minorHAnsi"/>
          <w:color w:val="auto"/>
        </w:rPr>
      </w:pPr>
      <w:r w:rsidRPr="00BA1B07">
        <w:rPr>
          <w:rFonts w:asciiTheme="minorHAnsi" w:hAnsiTheme="minorHAnsi" w:cstheme="minorHAnsi"/>
          <w:i/>
          <w:iCs/>
          <w:color w:val="auto"/>
        </w:rPr>
        <w:t>The Act is long, complex and idiosyncratic, with structural issues compounded by each new attribute. This has made it very difficult for people affected by discrimination to understand and use the ADA to protect their rights</w:t>
      </w:r>
      <w:r w:rsidRPr="00871656">
        <w:rPr>
          <w:rFonts w:asciiTheme="minorHAnsi" w:hAnsiTheme="minorHAnsi" w:cstheme="minorHAnsi"/>
          <w:color w:val="auto"/>
        </w:rPr>
        <w:t>.</w:t>
      </w:r>
      <w:r w:rsidRPr="00871656">
        <w:rPr>
          <w:rStyle w:val="FootnoteReference"/>
          <w:rFonts w:asciiTheme="minorHAnsi" w:hAnsiTheme="minorHAnsi" w:cstheme="minorHAnsi"/>
          <w:color w:val="auto"/>
        </w:rPr>
        <w:footnoteReference w:id="15"/>
      </w:r>
    </w:p>
    <w:p w14:paraId="1DD3C5FE" w14:textId="048053DB" w:rsidR="00601AB6" w:rsidRPr="00940780" w:rsidRDefault="00601AB6" w:rsidP="008A3ECE">
      <w:pPr>
        <w:pStyle w:val="Heading3"/>
        <w:spacing w:line="312" w:lineRule="auto"/>
      </w:pPr>
      <w:bookmarkStart w:id="75" w:name="_Toc146291273"/>
      <w:bookmarkStart w:id="76" w:name="_Toc146877516"/>
      <w:r w:rsidRPr="00940780">
        <w:t>Submission structure</w:t>
      </w:r>
      <w:bookmarkEnd w:id="75"/>
      <w:bookmarkEnd w:id="76"/>
    </w:p>
    <w:p w14:paraId="4AF3104F" w14:textId="1A52619E" w:rsidR="00E00CE1" w:rsidRPr="00871656" w:rsidRDefault="007378FD" w:rsidP="008A3ECE">
      <w:pPr>
        <w:pStyle w:val="BodyText"/>
        <w:spacing w:line="312" w:lineRule="auto"/>
        <w:rPr>
          <w:rFonts w:asciiTheme="minorHAnsi" w:hAnsiTheme="minorHAnsi" w:cstheme="minorHAnsi"/>
          <w:color w:val="auto"/>
        </w:rPr>
      </w:pPr>
      <w:r w:rsidRPr="00871656">
        <w:rPr>
          <w:rFonts w:asciiTheme="minorHAnsi" w:hAnsiTheme="minorHAnsi" w:cstheme="minorHAnsi"/>
          <w:color w:val="auto"/>
        </w:rPr>
        <w:t xml:space="preserve">The </w:t>
      </w:r>
      <w:r w:rsidR="008114A0">
        <w:rPr>
          <w:rFonts w:asciiTheme="minorHAnsi" w:hAnsiTheme="minorHAnsi" w:cstheme="minorHAnsi"/>
          <w:color w:val="auto"/>
        </w:rPr>
        <w:t>New South Wales Law Reform Commission (</w:t>
      </w:r>
      <w:r w:rsidRPr="00871656">
        <w:rPr>
          <w:rFonts w:asciiTheme="minorHAnsi" w:hAnsiTheme="minorHAnsi" w:cstheme="minorHAnsi"/>
          <w:color w:val="auto"/>
        </w:rPr>
        <w:t>NSWLRC</w:t>
      </w:r>
      <w:r w:rsidR="008114A0">
        <w:rPr>
          <w:rFonts w:asciiTheme="minorHAnsi" w:hAnsiTheme="minorHAnsi" w:cstheme="minorHAnsi"/>
          <w:color w:val="auto"/>
        </w:rPr>
        <w:t xml:space="preserve">) </w:t>
      </w:r>
      <w:r w:rsidRPr="00871656">
        <w:rPr>
          <w:rFonts w:asciiTheme="minorHAnsi" w:hAnsiTheme="minorHAnsi" w:cstheme="minorHAnsi"/>
          <w:color w:val="auto"/>
        </w:rPr>
        <w:t>has asked for preliminary submissions to the review of the ADA</w:t>
      </w:r>
      <w:r w:rsidR="00770B4F" w:rsidRPr="00871656">
        <w:rPr>
          <w:rFonts w:asciiTheme="minorHAnsi" w:hAnsiTheme="minorHAnsi" w:cstheme="minorHAnsi"/>
          <w:color w:val="auto"/>
        </w:rPr>
        <w:t xml:space="preserve"> </w:t>
      </w:r>
      <w:r w:rsidR="00A0455C" w:rsidRPr="00871656">
        <w:rPr>
          <w:rFonts w:asciiTheme="minorHAnsi" w:hAnsiTheme="minorHAnsi" w:cstheme="minorHAnsi"/>
          <w:color w:val="auto"/>
        </w:rPr>
        <w:t>to</w:t>
      </w:r>
      <w:r w:rsidR="00770B4F" w:rsidRPr="00871656">
        <w:rPr>
          <w:rFonts w:asciiTheme="minorHAnsi" w:hAnsiTheme="minorHAnsi" w:cstheme="minorHAnsi"/>
          <w:color w:val="auto"/>
        </w:rPr>
        <w:t xml:space="preserve"> identify key areas to </w:t>
      </w:r>
      <w:r w:rsidR="00871656" w:rsidRPr="00871656">
        <w:rPr>
          <w:rFonts w:asciiTheme="minorHAnsi" w:hAnsiTheme="minorHAnsi" w:cstheme="minorHAnsi"/>
          <w:color w:val="auto"/>
        </w:rPr>
        <w:t>focus attention</w:t>
      </w:r>
      <w:r w:rsidR="00770B4F" w:rsidRPr="00871656">
        <w:rPr>
          <w:rFonts w:asciiTheme="minorHAnsi" w:hAnsiTheme="minorHAnsi" w:cstheme="minorHAnsi"/>
          <w:color w:val="auto"/>
        </w:rPr>
        <w:t>.</w:t>
      </w:r>
      <w:r w:rsidRPr="00871656">
        <w:rPr>
          <w:rFonts w:asciiTheme="minorHAnsi" w:hAnsiTheme="minorHAnsi" w:cstheme="minorHAnsi"/>
          <w:color w:val="auto"/>
        </w:rPr>
        <w:t xml:space="preserve"> </w:t>
      </w:r>
      <w:r w:rsidR="00500955" w:rsidRPr="00871656">
        <w:rPr>
          <w:rFonts w:asciiTheme="minorHAnsi" w:hAnsiTheme="minorHAnsi" w:cstheme="minorHAnsi"/>
          <w:color w:val="auto"/>
        </w:rPr>
        <w:t>Th</w:t>
      </w:r>
      <w:r w:rsidR="00AF7793" w:rsidRPr="00871656">
        <w:rPr>
          <w:rFonts w:asciiTheme="minorHAnsi" w:hAnsiTheme="minorHAnsi" w:cstheme="minorHAnsi"/>
          <w:color w:val="auto"/>
        </w:rPr>
        <w:t>is</w:t>
      </w:r>
      <w:r w:rsidR="00500955" w:rsidRPr="00871656">
        <w:rPr>
          <w:rFonts w:asciiTheme="minorHAnsi" w:hAnsiTheme="minorHAnsi" w:cstheme="minorHAnsi"/>
          <w:color w:val="auto"/>
        </w:rPr>
        <w:t xml:space="preserve"> </w:t>
      </w:r>
      <w:r w:rsidR="00704FA9" w:rsidRPr="00871656">
        <w:rPr>
          <w:rFonts w:asciiTheme="minorHAnsi" w:hAnsiTheme="minorHAnsi" w:cstheme="minorHAnsi"/>
          <w:color w:val="auto"/>
        </w:rPr>
        <w:t xml:space="preserve">preliminary </w:t>
      </w:r>
      <w:r w:rsidR="00500955" w:rsidRPr="00871656">
        <w:rPr>
          <w:rFonts w:asciiTheme="minorHAnsi" w:hAnsiTheme="minorHAnsi" w:cstheme="minorHAnsi"/>
          <w:color w:val="auto"/>
        </w:rPr>
        <w:t>submission is organi</w:t>
      </w:r>
      <w:r w:rsidR="00E00CE1" w:rsidRPr="00871656">
        <w:rPr>
          <w:rFonts w:asciiTheme="minorHAnsi" w:hAnsiTheme="minorHAnsi" w:cstheme="minorHAnsi"/>
          <w:color w:val="auto"/>
        </w:rPr>
        <w:t>s</w:t>
      </w:r>
      <w:r w:rsidR="00500955" w:rsidRPr="00871656">
        <w:rPr>
          <w:rFonts w:asciiTheme="minorHAnsi" w:hAnsiTheme="minorHAnsi" w:cstheme="minorHAnsi"/>
          <w:color w:val="auto"/>
        </w:rPr>
        <w:t xml:space="preserve">ed into </w:t>
      </w:r>
      <w:r w:rsidR="00892EEC" w:rsidRPr="00871656">
        <w:rPr>
          <w:rFonts w:asciiTheme="minorHAnsi" w:hAnsiTheme="minorHAnsi" w:cstheme="minorHAnsi"/>
          <w:color w:val="auto"/>
        </w:rPr>
        <w:t xml:space="preserve">four </w:t>
      </w:r>
      <w:r w:rsidR="00500955" w:rsidRPr="00871656">
        <w:rPr>
          <w:rFonts w:asciiTheme="minorHAnsi" w:hAnsiTheme="minorHAnsi" w:cstheme="minorHAnsi"/>
          <w:color w:val="auto"/>
        </w:rPr>
        <w:t>parts</w:t>
      </w:r>
      <w:r w:rsidR="00892EEC" w:rsidRPr="00871656">
        <w:rPr>
          <w:rFonts w:asciiTheme="minorHAnsi" w:hAnsiTheme="minorHAnsi" w:cstheme="minorHAnsi"/>
          <w:color w:val="auto"/>
        </w:rPr>
        <w:t xml:space="preserve"> and a conclusion</w:t>
      </w:r>
      <w:r w:rsidR="00E00CE1" w:rsidRPr="00871656">
        <w:rPr>
          <w:rFonts w:asciiTheme="minorHAnsi" w:hAnsiTheme="minorHAnsi" w:cstheme="minorHAnsi"/>
          <w:color w:val="auto"/>
        </w:rPr>
        <w:t>:</w:t>
      </w:r>
    </w:p>
    <w:p w14:paraId="107C365C" w14:textId="77BF1E32" w:rsidR="00E00CE1" w:rsidRPr="00871656" w:rsidRDefault="00500955" w:rsidP="008A3ECE">
      <w:pPr>
        <w:pStyle w:val="BodyText"/>
        <w:numPr>
          <w:ilvl w:val="0"/>
          <w:numId w:val="21"/>
        </w:numPr>
        <w:spacing w:line="312" w:lineRule="auto"/>
        <w:rPr>
          <w:rFonts w:asciiTheme="minorHAnsi" w:hAnsiTheme="minorHAnsi" w:cstheme="minorHAnsi"/>
          <w:color w:val="auto"/>
        </w:rPr>
      </w:pPr>
      <w:r w:rsidRPr="00871656">
        <w:rPr>
          <w:rFonts w:asciiTheme="minorHAnsi" w:hAnsiTheme="minorHAnsi" w:cstheme="minorHAnsi"/>
          <w:color w:val="auto"/>
        </w:rPr>
        <w:t xml:space="preserve">Part </w:t>
      </w:r>
      <w:r w:rsidR="00940780">
        <w:rPr>
          <w:rFonts w:asciiTheme="minorHAnsi" w:hAnsiTheme="minorHAnsi" w:cstheme="minorHAnsi"/>
          <w:color w:val="auto"/>
        </w:rPr>
        <w:t>1</w:t>
      </w:r>
      <w:r w:rsidRPr="00871656">
        <w:rPr>
          <w:rFonts w:asciiTheme="minorHAnsi" w:hAnsiTheme="minorHAnsi" w:cstheme="minorHAnsi"/>
          <w:color w:val="auto"/>
        </w:rPr>
        <w:t xml:space="preserve"> looks at key </w:t>
      </w:r>
      <w:r w:rsidR="007F6283" w:rsidRPr="00871656">
        <w:rPr>
          <w:rFonts w:asciiTheme="minorHAnsi" w:hAnsiTheme="minorHAnsi" w:cstheme="minorHAnsi"/>
          <w:color w:val="auto"/>
        </w:rPr>
        <w:t>context</w:t>
      </w:r>
      <w:r w:rsidR="00EA1A64" w:rsidRPr="00871656">
        <w:rPr>
          <w:rFonts w:asciiTheme="minorHAnsi" w:hAnsiTheme="minorHAnsi" w:cstheme="minorHAnsi"/>
          <w:color w:val="auto"/>
        </w:rPr>
        <w:t>s</w:t>
      </w:r>
      <w:r w:rsidR="007915A9" w:rsidRPr="00871656">
        <w:rPr>
          <w:rFonts w:asciiTheme="minorHAnsi" w:hAnsiTheme="minorHAnsi" w:cstheme="minorHAnsi"/>
          <w:color w:val="auto"/>
        </w:rPr>
        <w:t xml:space="preserve"> </w:t>
      </w:r>
      <w:r w:rsidR="00B04E6E" w:rsidRPr="00871656">
        <w:rPr>
          <w:rFonts w:asciiTheme="minorHAnsi" w:hAnsiTheme="minorHAnsi" w:cstheme="minorHAnsi"/>
          <w:color w:val="auto"/>
        </w:rPr>
        <w:t>such as</w:t>
      </w:r>
      <w:r w:rsidR="002E354F" w:rsidRPr="00871656">
        <w:rPr>
          <w:rFonts w:asciiTheme="minorHAnsi" w:hAnsiTheme="minorHAnsi" w:cstheme="minorHAnsi"/>
          <w:color w:val="auto"/>
        </w:rPr>
        <w:t xml:space="preserve"> a</w:t>
      </w:r>
      <w:r w:rsidR="00B04E6E" w:rsidRPr="00871656">
        <w:rPr>
          <w:rFonts w:asciiTheme="minorHAnsi" w:hAnsiTheme="minorHAnsi" w:cstheme="minorHAnsi"/>
          <w:color w:val="auto"/>
        </w:rPr>
        <w:t xml:space="preserve"> </w:t>
      </w:r>
      <w:r w:rsidR="002E354F" w:rsidRPr="00871656">
        <w:rPr>
          <w:rFonts w:asciiTheme="minorHAnsi" w:hAnsiTheme="minorHAnsi" w:cstheme="minorHAnsi"/>
          <w:color w:val="auto"/>
        </w:rPr>
        <w:t>human</w:t>
      </w:r>
      <w:r w:rsidR="00B04E6E" w:rsidRPr="00871656">
        <w:rPr>
          <w:rFonts w:asciiTheme="minorHAnsi" w:hAnsiTheme="minorHAnsi" w:cstheme="minorHAnsi"/>
          <w:color w:val="auto"/>
        </w:rPr>
        <w:t xml:space="preserve"> rights </w:t>
      </w:r>
      <w:r w:rsidR="002E354F" w:rsidRPr="00871656">
        <w:rPr>
          <w:rFonts w:asciiTheme="minorHAnsi" w:hAnsiTheme="minorHAnsi" w:cstheme="minorHAnsi"/>
          <w:color w:val="auto"/>
        </w:rPr>
        <w:t xml:space="preserve">model </w:t>
      </w:r>
      <w:r w:rsidR="00316786" w:rsidRPr="00871656">
        <w:rPr>
          <w:rFonts w:asciiTheme="minorHAnsi" w:hAnsiTheme="minorHAnsi" w:cstheme="minorHAnsi"/>
          <w:color w:val="auto"/>
        </w:rPr>
        <w:t xml:space="preserve">of analysis </w:t>
      </w:r>
      <w:r w:rsidR="002E354F" w:rsidRPr="00871656">
        <w:rPr>
          <w:rFonts w:asciiTheme="minorHAnsi" w:hAnsiTheme="minorHAnsi" w:cstheme="minorHAnsi"/>
          <w:color w:val="auto"/>
        </w:rPr>
        <w:t xml:space="preserve">and </w:t>
      </w:r>
      <w:r w:rsidR="00B04E6E" w:rsidRPr="00871656">
        <w:rPr>
          <w:rFonts w:asciiTheme="minorHAnsi" w:hAnsiTheme="minorHAnsi" w:cstheme="minorHAnsi"/>
          <w:color w:val="auto"/>
        </w:rPr>
        <w:t xml:space="preserve">intersectionality </w:t>
      </w:r>
      <w:r w:rsidR="00316786" w:rsidRPr="00871656">
        <w:rPr>
          <w:rFonts w:asciiTheme="minorHAnsi" w:hAnsiTheme="minorHAnsi" w:cstheme="minorHAnsi"/>
          <w:color w:val="auto"/>
        </w:rPr>
        <w:t xml:space="preserve">which </w:t>
      </w:r>
      <w:r w:rsidR="00BB72C6">
        <w:rPr>
          <w:rFonts w:asciiTheme="minorHAnsi" w:hAnsiTheme="minorHAnsi" w:cstheme="minorHAnsi"/>
          <w:color w:val="auto"/>
        </w:rPr>
        <w:t>must</w:t>
      </w:r>
      <w:r w:rsidR="007915A9" w:rsidRPr="00871656">
        <w:rPr>
          <w:rFonts w:asciiTheme="minorHAnsi" w:hAnsiTheme="minorHAnsi" w:cstheme="minorHAnsi"/>
          <w:color w:val="auto"/>
        </w:rPr>
        <w:t xml:space="preserve"> inform the </w:t>
      </w:r>
      <w:r w:rsidR="00B04E6E" w:rsidRPr="00871656">
        <w:rPr>
          <w:rFonts w:asciiTheme="minorHAnsi" w:hAnsiTheme="minorHAnsi" w:cstheme="minorHAnsi"/>
          <w:color w:val="auto"/>
        </w:rPr>
        <w:t>review of the ADA overall</w:t>
      </w:r>
    </w:p>
    <w:p w14:paraId="5827EA9E" w14:textId="79102D22" w:rsidR="00E00CE1" w:rsidRPr="008A3ECE" w:rsidRDefault="00EA1A64" w:rsidP="008A3ECE">
      <w:pPr>
        <w:pStyle w:val="BodyText"/>
        <w:numPr>
          <w:ilvl w:val="0"/>
          <w:numId w:val="21"/>
        </w:numPr>
        <w:spacing w:line="312" w:lineRule="auto"/>
      </w:pPr>
      <w:r w:rsidRPr="00871656">
        <w:rPr>
          <w:rFonts w:asciiTheme="minorHAnsi" w:hAnsiTheme="minorHAnsi" w:cstheme="minorHAnsi"/>
          <w:color w:val="auto"/>
        </w:rPr>
        <w:lastRenderedPageBreak/>
        <w:t>P</w:t>
      </w:r>
      <w:r w:rsidR="00500955" w:rsidRPr="00871656">
        <w:rPr>
          <w:rFonts w:asciiTheme="minorHAnsi" w:hAnsiTheme="minorHAnsi" w:cstheme="minorHAnsi"/>
          <w:color w:val="auto"/>
        </w:rPr>
        <w:t xml:space="preserve">art </w:t>
      </w:r>
      <w:r w:rsidR="00940780">
        <w:rPr>
          <w:rFonts w:asciiTheme="minorHAnsi" w:hAnsiTheme="minorHAnsi" w:cstheme="minorHAnsi"/>
          <w:color w:val="auto"/>
        </w:rPr>
        <w:t>2</w:t>
      </w:r>
      <w:r w:rsidR="00500955" w:rsidRPr="00871656">
        <w:rPr>
          <w:rFonts w:asciiTheme="minorHAnsi" w:hAnsiTheme="minorHAnsi" w:cstheme="minorHAnsi"/>
          <w:color w:val="auto"/>
        </w:rPr>
        <w:t xml:space="preserve"> </w:t>
      </w:r>
      <w:r w:rsidR="002E354F" w:rsidRPr="00871656">
        <w:rPr>
          <w:rFonts w:asciiTheme="minorHAnsi" w:hAnsiTheme="minorHAnsi" w:cstheme="minorHAnsi"/>
          <w:color w:val="auto"/>
        </w:rPr>
        <w:t xml:space="preserve">identifies </w:t>
      </w:r>
      <w:r w:rsidR="00A80CC3" w:rsidRPr="00871656">
        <w:rPr>
          <w:rFonts w:asciiTheme="minorHAnsi" w:hAnsiTheme="minorHAnsi" w:cstheme="minorHAnsi"/>
          <w:color w:val="auto"/>
        </w:rPr>
        <w:t xml:space="preserve">that </w:t>
      </w:r>
      <w:r w:rsidR="007F6283" w:rsidRPr="00871656">
        <w:rPr>
          <w:rFonts w:asciiTheme="minorHAnsi" w:hAnsiTheme="minorHAnsi" w:cstheme="minorHAnsi"/>
          <w:color w:val="auto"/>
        </w:rPr>
        <w:t>substantive</w:t>
      </w:r>
      <w:r w:rsidR="00500955" w:rsidRPr="00871656">
        <w:rPr>
          <w:rFonts w:asciiTheme="minorHAnsi" w:hAnsiTheme="minorHAnsi" w:cstheme="minorHAnsi"/>
          <w:color w:val="auto"/>
        </w:rPr>
        <w:t xml:space="preserve"> </w:t>
      </w:r>
      <w:r w:rsidR="007F6283" w:rsidRPr="00871656">
        <w:rPr>
          <w:rFonts w:asciiTheme="minorHAnsi" w:hAnsiTheme="minorHAnsi" w:cstheme="minorHAnsi"/>
          <w:color w:val="auto"/>
        </w:rPr>
        <w:t>equality</w:t>
      </w:r>
      <w:r w:rsidR="00500955" w:rsidRPr="00871656">
        <w:rPr>
          <w:rFonts w:asciiTheme="minorHAnsi" w:hAnsiTheme="minorHAnsi" w:cstheme="minorHAnsi"/>
          <w:color w:val="auto"/>
        </w:rPr>
        <w:t xml:space="preserve"> </w:t>
      </w:r>
      <w:r w:rsidR="007F6283" w:rsidRPr="00871656">
        <w:rPr>
          <w:rFonts w:asciiTheme="minorHAnsi" w:hAnsiTheme="minorHAnsi" w:cstheme="minorHAnsi"/>
          <w:color w:val="auto"/>
        </w:rPr>
        <w:t>an</w:t>
      </w:r>
      <w:r w:rsidR="00316786" w:rsidRPr="00871656">
        <w:rPr>
          <w:rFonts w:asciiTheme="minorHAnsi" w:hAnsiTheme="minorHAnsi" w:cstheme="minorHAnsi"/>
          <w:color w:val="auto"/>
        </w:rPr>
        <w:t>d the</w:t>
      </w:r>
      <w:r w:rsidR="007F6283" w:rsidRPr="00871656">
        <w:rPr>
          <w:rFonts w:asciiTheme="minorHAnsi" w:hAnsiTheme="minorHAnsi" w:cstheme="minorHAnsi"/>
          <w:color w:val="auto"/>
        </w:rPr>
        <w:t xml:space="preserve"> </w:t>
      </w:r>
      <w:r w:rsidR="002E354F" w:rsidRPr="00871656">
        <w:rPr>
          <w:rFonts w:asciiTheme="minorHAnsi" w:hAnsiTheme="minorHAnsi" w:cstheme="minorHAnsi"/>
          <w:color w:val="auto"/>
        </w:rPr>
        <w:t>eliminati</w:t>
      </w:r>
      <w:r w:rsidR="00316786" w:rsidRPr="00871656">
        <w:rPr>
          <w:rFonts w:asciiTheme="minorHAnsi" w:hAnsiTheme="minorHAnsi" w:cstheme="minorHAnsi"/>
          <w:color w:val="auto"/>
        </w:rPr>
        <w:t>on</w:t>
      </w:r>
      <w:r w:rsidR="002E354F" w:rsidRPr="00871656">
        <w:rPr>
          <w:rFonts w:asciiTheme="minorHAnsi" w:hAnsiTheme="minorHAnsi" w:cstheme="minorHAnsi"/>
          <w:color w:val="auto"/>
        </w:rPr>
        <w:t xml:space="preserve"> </w:t>
      </w:r>
      <w:r w:rsidR="00A80CC3" w:rsidRPr="00871656">
        <w:rPr>
          <w:rFonts w:asciiTheme="minorHAnsi" w:hAnsiTheme="minorHAnsi" w:cstheme="minorHAnsi"/>
          <w:color w:val="auto"/>
        </w:rPr>
        <w:t xml:space="preserve">of </w:t>
      </w:r>
      <w:r w:rsidR="007F6283" w:rsidRPr="00871656">
        <w:rPr>
          <w:rFonts w:asciiTheme="minorHAnsi" w:hAnsiTheme="minorHAnsi" w:cstheme="minorHAnsi"/>
          <w:color w:val="auto"/>
        </w:rPr>
        <w:t>systemic discrimination</w:t>
      </w:r>
      <w:r w:rsidR="002E354F" w:rsidRPr="00871656">
        <w:rPr>
          <w:rFonts w:asciiTheme="minorHAnsi" w:hAnsiTheme="minorHAnsi" w:cstheme="minorHAnsi"/>
          <w:color w:val="auto"/>
        </w:rPr>
        <w:t xml:space="preserve"> </w:t>
      </w:r>
      <w:r w:rsidR="00BB72C6">
        <w:rPr>
          <w:rFonts w:asciiTheme="minorHAnsi" w:hAnsiTheme="minorHAnsi" w:cstheme="minorHAnsi"/>
          <w:color w:val="auto"/>
        </w:rPr>
        <w:t>must</w:t>
      </w:r>
      <w:r w:rsidR="00316786" w:rsidRPr="00871656">
        <w:rPr>
          <w:rFonts w:asciiTheme="minorHAnsi" w:hAnsiTheme="minorHAnsi" w:cstheme="minorHAnsi"/>
          <w:color w:val="auto"/>
        </w:rPr>
        <w:t xml:space="preserve"> </w:t>
      </w:r>
      <w:r w:rsidR="002E354F" w:rsidRPr="00871656">
        <w:rPr>
          <w:rFonts w:asciiTheme="minorHAnsi" w:hAnsiTheme="minorHAnsi" w:cstheme="minorHAnsi"/>
          <w:color w:val="auto"/>
        </w:rPr>
        <w:t>be key objects of the</w:t>
      </w:r>
      <w:r w:rsidR="00E00CE1" w:rsidRPr="00871656">
        <w:rPr>
          <w:rFonts w:asciiTheme="minorHAnsi" w:hAnsiTheme="minorHAnsi" w:cstheme="minorHAnsi"/>
          <w:color w:val="auto"/>
        </w:rPr>
        <w:t xml:space="preserve"> new</w:t>
      </w:r>
      <w:r w:rsidR="002E354F" w:rsidRPr="00871656">
        <w:rPr>
          <w:rFonts w:asciiTheme="minorHAnsi" w:hAnsiTheme="minorHAnsi" w:cstheme="minorHAnsi"/>
          <w:color w:val="auto"/>
        </w:rPr>
        <w:t xml:space="preserve"> ADA</w:t>
      </w:r>
    </w:p>
    <w:p w14:paraId="3D9AF299" w14:textId="61AD9B84" w:rsidR="00E00CE1" w:rsidRPr="008A3ECE" w:rsidRDefault="00EA1A64" w:rsidP="008A3ECE">
      <w:pPr>
        <w:pStyle w:val="BodyText"/>
        <w:numPr>
          <w:ilvl w:val="0"/>
          <w:numId w:val="21"/>
        </w:numPr>
        <w:spacing w:line="312" w:lineRule="auto"/>
      </w:pPr>
      <w:r w:rsidRPr="008A3ECE">
        <w:t>P</w:t>
      </w:r>
      <w:r w:rsidR="007F6283" w:rsidRPr="008A3ECE">
        <w:t xml:space="preserve">art </w:t>
      </w:r>
      <w:r w:rsidR="00940780" w:rsidRPr="008A3ECE">
        <w:t>3</w:t>
      </w:r>
      <w:r w:rsidR="007F6283" w:rsidRPr="008A3ECE">
        <w:t xml:space="preserve"> looks at positive duties</w:t>
      </w:r>
      <w:r w:rsidRPr="008A3ECE">
        <w:t xml:space="preserve"> as </w:t>
      </w:r>
      <w:r w:rsidR="007915A9" w:rsidRPr="008A3ECE">
        <w:t>a key</w:t>
      </w:r>
      <w:r w:rsidRPr="008A3ECE">
        <w:t xml:space="preserve"> </w:t>
      </w:r>
      <w:r w:rsidR="007915A9" w:rsidRPr="008A3ECE">
        <w:t>tool</w:t>
      </w:r>
      <w:r w:rsidRPr="008A3ECE">
        <w:t xml:space="preserve"> to</w:t>
      </w:r>
      <w:r w:rsidR="007915A9" w:rsidRPr="008A3ECE">
        <w:t xml:space="preserve"> promote substantive equality</w:t>
      </w:r>
      <w:r w:rsidR="00316786" w:rsidRPr="008A3ECE">
        <w:t xml:space="preserve">, </w:t>
      </w:r>
      <w:r w:rsidR="007915A9" w:rsidRPr="008A3ECE">
        <w:t>eliminate systemic discrimination</w:t>
      </w:r>
      <w:r w:rsidR="00316786" w:rsidRPr="008A3ECE">
        <w:t xml:space="preserve">, and change community attitudes towards </w:t>
      </w:r>
      <w:r w:rsidR="00BB72C6" w:rsidRPr="008A3ECE">
        <w:t>disability</w:t>
      </w:r>
      <w:r w:rsidR="007C71D2">
        <w:t>;</w:t>
      </w:r>
      <w:r w:rsidR="00871656" w:rsidRPr="008A3ECE">
        <w:t xml:space="preserve"> </w:t>
      </w:r>
      <w:r w:rsidR="00770B4F" w:rsidRPr="008A3ECE">
        <w:t>and</w:t>
      </w:r>
    </w:p>
    <w:p w14:paraId="7F9496FB" w14:textId="37B8D805" w:rsidR="00131C60" w:rsidRPr="008A3ECE" w:rsidRDefault="00892EEC" w:rsidP="008A3ECE">
      <w:pPr>
        <w:pStyle w:val="BodyText"/>
        <w:numPr>
          <w:ilvl w:val="0"/>
          <w:numId w:val="21"/>
        </w:numPr>
        <w:spacing w:line="312" w:lineRule="auto"/>
      </w:pPr>
      <w:r w:rsidRPr="008A3ECE">
        <w:t xml:space="preserve">Part </w:t>
      </w:r>
      <w:r w:rsidR="00940780" w:rsidRPr="008A3ECE">
        <w:t>4</w:t>
      </w:r>
      <w:r w:rsidRPr="008A3ECE">
        <w:t xml:space="preserve"> looks briefly at access to justice </w:t>
      </w:r>
      <w:r w:rsidR="005D0396" w:rsidRPr="008A3ECE">
        <w:t>and argues that</w:t>
      </w:r>
      <w:r w:rsidRPr="008A3ECE">
        <w:t xml:space="preserve"> </w:t>
      </w:r>
      <w:r w:rsidR="00BB72C6" w:rsidRPr="008A3ECE">
        <w:t>decision</w:t>
      </w:r>
      <w:r w:rsidR="002B504D" w:rsidRPr="008A3ECE">
        <w:t>-making s</w:t>
      </w:r>
      <w:r w:rsidR="00BB72C6" w:rsidRPr="008A3ECE">
        <w:t xml:space="preserve">upports including </w:t>
      </w:r>
      <w:r w:rsidRPr="008A3ECE">
        <w:t>supported decision-making</w:t>
      </w:r>
      <w:r w:rsidR="005D0396" w:rsidRPr="008A3ECE">
        <w:t xml:space="preserve"> must be made available</w:t>
      </w:r>
      <w:r w:rsidR="00521981" w:rsidRPr="008A3ECE">
        <w:t xml:space="preserve"> and </w:t>
      </w:r>
      <w:r w:rsidR="00F26351" w:rsidRPr="008A3ECE">
        <w:t>ADNSW</w:t>
      </w:r>
      <w:r w:rsidR="00521981" w:rsidRPr="008A3ECE">
        <w:t xml:space="preserve"> </w:t>
      </w:r>
      <w:r w:rsidR="005D0396" w:rsidRPr="008A3ECE">
        <w:t>must receive proper funding to</w:t>
      </w:r>
      <w:r w:rsidR="00521981" w:rsidRPr="008A3ECE">
        <w:t xml:space="preserve"> fulfil statutory obligations.</w:t>
      </w:r>
    </w:p>
    <w:p w14:paraId="1B20887E" w14:textId="6AAA9BEF" w:rsidR="00025D07" w:rsidRPr="008A3ECE" w:rsidRDefault="00A4716E" w:rsidP="008A3ECE">
      <w:pPr>
        <w:pStyle w:val="BodyText"/>
        <w:spacing w:line="312" w:lineRule="auto"/>
      </w:pPr>
      <w:r w:rsidRPr="008A3ECE">
        <w:t>Th</w:t>
      </w:r>
      <w:r w:rsidR="00025B30" w:rsidRPr="008A3ECE">
        <w:t xml:space="preserve">e </w:t>
      </w:r>
      <w:r w:rsidRPr="008A3ECE">
        <w:t>following</w:t>
      </w:r>
      <w:r w:rsidR="00102EE4" w:rsidRPr="008A3ECE">
        <w:t xml:space="preserve"> </w:t>
      </w:r>
      <w:r w:rsidR="00B3296C" w:rsidRPr="008A3ECE">
        <w:t xml:space="preserve">Terms </w:t>
      </w:r>
      <w:r w:rsidR="00154047" w:rsidRPr="008A3ECE">
        <w:t xml:space="preserve">of </w:t>
      </w:r>
      <w:r w:rsidR="00B3296C" w:rsidRPr="008A3ECE">
        <w:t xml:space="preserve">Reference </w:t>
      </w:r>
      <w:r w:rsidR="00375017" w:rsidRPr="008A3ECE">
        <w:t>(T</w:t>
      </w:r>
      <w:r w:rsidR="003D5E07" w:rsidRPr="008A3ECE">
        <w:t xml:space="preserve">oR) </w:t>
      </w:r>
      <w:r w:rsidR="00154047" w:rsidRPr="008A3ECE">
        <w:t>provided to the NSWLRC</w:t>
      </w:r>
      <w:r w:rsidR="001A78CE" w:rsidRPr="008A3ECE">
        <w:t xml:space="preserve"> </w:t>
      </w:r>
      <w:r w:rsidR="00025B30" w:rsidRPr="008A3ECE">
        <w:t xml:space="preserve">provide </w:t>
      </w:r>
      <w:r w:rsidR="001A78CE" w:rsidRPr="008A3ECE">
        <w:t xml:space="preserve">the </w:t>
      </w:r>
      <w:r w:rsidR="00025B30" w:rsidRPr="008A3ECE">
        <w:t xml:space="preserve">general </w:t>
      </w:r>
      <w:r w:rsidR="001A78CE" w:rsidRPr="008A3ECE">
        <w:t xml:space="preserve">basis for </w:t>
      </w:r>
      <w:r w:rsidR="007915A9" w:rsidRPr="008A3ECE">
        <w:t xml:space="preserve">this submission and </w:t>
      </w:r>
      <w:r w:rsidR="001A78CE" w:rsidRPr="008A3ECE">
        <w:t>recommendations</w:t>
      </w:r>
      <w:r w:rsidR="00154047" w:rsidRPr="008A3ECE">
        <w:t>:</w:t>
      </w:r>
    </w:p>
    <w:p w14:paraId="5B653D34" w14:textId="220B1F6F" w:rsidR="00154047" w:rsidRPr="008A3ECE" w:rsidRDefault="00316786" w:rsidP="007C71D2">
      <w:pPr>
        <w:pStyle w:val="BodyText"/>
        <w:spacing w:line="312" w:lineRule="auto"/>
        <w:ind w:left="1440" w:hanging="720"/>
      </w:pPr>
      <w:r w:rsidRPr="008A3ECE">
        <w:t xml:space="preserve">ToR 1: </w:t>
      </w:r>
      <w:r w:rsidR="00B36A28" w:rsidRPr="008A3ECE">
        <w:t>whether the Act could be modernised and simplified to better promote the</w:t>
      </w:r>
      <w:r w:rsidRPr="008A3ECE">
        <w:t xml:space="preserve"> </w:t>
      </w:r>
      <w:r w:rsidR="00B36A28" w:rsidRPr="008A3ECE">
        <w:t>equal enjoyment of rights and reflect contemporary community standards</w:t>
      </w:r>
      <w:r w:rsidR="00F723E2" w:rsidRPr="008A3ECE">
        <w:t>.</w:t>
      </w:r>
    </w:p>
    <w:p w14:paraId="55E9D8AB" w14:textId="2542B9D5" w:rsidR="00154047" w:rsidRPr="008A3ECE" w:rsidRDefault="00316786" w:rsidP="007C71D2">
      <w:pPr>
        <w:pStyle w:val="BodyText"/>
        <w:spacing w:line="312" w:lineRule="auto"/>
        <w:ind w:left="1440" w:hanging="720"/>
      </w:pPr>
      <w:r w:rsidRPr="008A3ECE">
        <w:t xml:space="preserve">ToR 7: </w:t>
      </w:r>
      <w:r w:rsidR="00154047" w:rsidRPr="008A3ECE">
        <w:t>whether the Act should include positive obligations to prevent harassment,</w:t>
      </w:r>
      <w:r w:rsidRPr="008A3ECE">
        <w:t xml:space="preserve"> </w:t>
      </w:r>
      <w:r w:rsidR="00154047" w:rsidRPr="008A3ECE">
        <w:t>discrimination and vilification, and to make reasonable adjustments to promote full and equal participation in public life</w:t>
      </w:r>
      <w:r w:rsidR="00AF7793" w:rsidRPr="008A3ECE">
        <w:t>.</w:t>
      </w:r>
    </w:p>
    <w:p w14:paraId="71B6CE5B" w14:textId="6A7ECD99" w:rsidR="00025D07" w:rsidRPr="008A3ECE" w:rsidRDefault="001A78CE" w:rsidP="008A3ECE">
      <w:pPr>
        <w:pStyle w:val="BodyText"/>
        <w:spacing w:line="312" w:lineRule="auto"/>
      </w:pPr>
      <w:r w:rsidRPr="008A3ECE">
        <w:t>Further recommendations</w:t>
      </w:r>
      <w:r w:rsidR="00AE653F" w:rsidRPr="008A3ECE">
        <w:t xml:space="preserve"> are based on the following </w:t>
      </w:r>
      <w:r w:rsidR="009C4B4C" w:rsidRPr="008A3ECE">
        <w:t>themes</w:t>
      </w:r>
      <w:r w:rsidR="00AE653F" w:rsidRPr="008A3ECE">
        <w:t xml:space="preserve"> derived from the </w:t>
      </w:r>
      <w:r w:rsidR="003D5E07" w:rsidRPr="008A3ECE">
        <w:t>ToR</w:t>
      </w:r>
      <w:r w:rsidR="00316786" w:rsidRPr="008A3ECE">
        <w:t>:</w:t>
      </w:r>
    </w:p>
    <w:p w14:paraId="55B0F7A5" w14:textId="333F7AA6" w:rsidR="009C4B4C" w:rsidRPr="008A3ECE" w:rsidRDefault="00A40A84" w:rsidP="008A3ECE">
      <w:pPr>
        <w:pStyle w:val="BodyText"/>
        <w:numPr>
          <w:ilvl w:val="0"/>
          <w:numId w:val="6"/>
        </w:numPr>
        <w:spacing w:line="312" w:lineRule="auto"/>
      </w:pPr>
      <w:r w:rsidRPr="008A3ECE">
        <w:t xml:space="preserve">The </w:t>
      </w:r>
      <w:r w:rsidR="009E045D" w:rsidRPr="008A3ECE">
        <w:t>need to</w:t>
      </w:r>
      <w:r w:rsidRPr="008A3ECE">
        <w:t xml:space="preserve"> address</w:t>
      </w:r>
      <w:r w:rsidR="00C3068D" w:rsidRPr="008A3ECE">
        <w:t xml:space="preserve"> </w:t>
      </w:r>
      <w:r w:rsidR="00270CC6" w:rsidRPr="008A3ECE">
        <w:t>and eliminat</w:t>
      </w:r>
      <w:r w:rsidR="0017280A" w:rsidRPr="008A3ECE">
        <w:t>e</w:t>
      </w:r>
      <w:r w:rsidRPr="008A3ECE">
        <w:t xml:space="preserve"> </w:t>
      </w:r>
      <w:r w:rsidR="00656F78" w:rsidRPr="008A3ECE">
        <w:t>systemic</w:t>
      </w:r>
      <w:r w:rsidR="00C3068D" w:rsidRPr="008A3ECE">
        <w:t xml:space="preserve"> </w:t>
      </w:r>
      <w:r w:rsidR="001F0DAD" w:rsidRPr="008A3ECE">
        <w:t>discrimination</w:t>
      </w:r>
      <w:r w:rsidR="00375017" w:rsidRPr="008A3ECE">
        <w:t xml:space="preserve"> </w:t>
      </w:r>
      <w:bookmarkStart w:id="77" w:name="_Hlk144897173"/>
      <w:r w:rsidR="00D909F8" w:rsidRPr="008A3ECE">
        <w:t>and promot</w:t>
      </w:r>
      <w:r w:rsidR="009E045D" w:rsidRPr="008A3ECE">
        <w:t xml:space="preserve">e </w:t>
      </w:r>
      <w:r w:rsidR="00D909F8" w:rsidRPr="008A3ECE">
        <w:t xml:space="preserve">substantive equality </w:t>
      </w:r>
      <w:r w:rsidR="00375017" w:rsidRPr="008A3ECE">
        <w:t>(</w:t>
      </w:r>
      <w:r w:rsidR="001F3602" w:rsidRPr="008A3ECE">
        <w:t>e.g.,</w:t>
      </w:r>
      <w:r w:rsidR="00375017" w:rsidRPr="008A3ECE">
        <w:t xml:space="preserve"> </w:t>
      </w:r>
      <w:r w:rsidR="003D5E07" w:rsidRPr="008A3ECE">
        <w:t xml:space="preserve">ToR </w:t>
      </w:r>
      <w:r w:rsidR="0043589F" w:rsidRPr="008A3ECE">
        <w:t>4, 9,</w:t>
      </w:r>
      <w:r w:rsidR="003D5E07" w:rsidRPr="008A3ECE">
        <w:t>10</w:t>
      </w:r>
      <w:r w:rsidR="006D1161" w:rsidRPr="008A3ECE">
        <w:t>, 11</w:t>
      </w:r>
      <w:r w:rsidR="0043589F" w:rsidRPr="008A3ECE">
        <w:t>)</w:t>
      </w:r>
      <w:r w:rsidR="009F6F4D" w:rsidRPr="008A3ECE">
        <w:t>.</w:t>
      </w:r>
    </w:p>
    <w:bookmarkEnd w:id="77"/>
    <w:p w14:paraId="2E108037" w14:textId="2550F8AA" w:rsidR="00C3068D" w:rsidRPr="008A3ECE" w:rsidRDefault="001F0DAD" w:rsidP="008A3ECE">
      <w:pPr>
        <w:pStyle w:val="ListParagraph"/>
        <w:numPr>
          <w:ilvl w:val="0"/>
          <w:numId w:val="6"/>
        </w:numPr>
        <w:spacing w:line="312" w:lineRule="auto"/>
      </w:pPr>
      <w:r w:rsidRPr="008A3ECE">
        <w:t>The ADA as a tool to</w:t>
      </w:r>
      <w:r w:rsidR="0043589F" w:rsidRPr="008A3ECE">
        <w:t xml:space="preserve"> </w:t>
      </w:r>
      <w:r w:rsidR="00D909F8" w:rsidRPr="008A3ECE">
        <w:t xml:space="preserve">educate and </w:t>
      </w:r>
      <w:r w:rsidR="00654703" w:rsidRPr="008A3ECE">
        <w:t xml:space="preserve">promote </w:t>
      </w:r>
      <w:r w:rsidR="00AE751F" w:rsidRPr="008A3ECE">
        <w:t>change</w:t>
      </w:r>
      <w:r w:rsidR="00654703" w:rsidRPr="008A3ECE">
        <w:t xml:space="preserve"> </w:t>
      </w:r>
      <w:r w:rsidR="00AE751F" w:rsidRPr="008A3ECE">
        <w:t xml:space="preserve">in </w:t>
      </w:r>
      <w:r w:rsidR="00C3068D" w:rsidRPr="008A3ECE">
        <w:t>community attitudes</w:t>
      </w:r>
      <w:r w:rsidR="00270CC6" w:rsidRPr="008A3ECE">
        <w:t xml:space="preserve"> about disability and discrimination </w:t>
      </w:r>
      <w:r w:rsidR="0043589F" w:rsidRPr="008A3ECE">
        <w:t>(</w:t>
      </w:r>
      <w:r w:rsidR="001F3602" w:rsidRPr="008A3ECE">
        <w:t>e.g.,</w:t>
      </w:r>
      <w:r w:rsidR="0043589F" w:rsidRPr="008A3ECE">
        <w:t xml:space="preserve"> ToR 1,4,</w:t>
      </w:r>
      <w:r w:rsidR="00DA1D0B" w:rsidRPr="008A3ECE">
        <w:t xml:space="preserve"> 7,</w:t>
      </w:r>
      <w:r w:rsidR="0043589F" w:rsidRPr="008A3ECE">
        <w:t xml:space="preserve"> 11)</w:t>
      </w:r>
      <w:r w:rsidR="009F6F4D" w:rsidRPr="008A3ECE">
        <w:t>.</w:t>
      </w:r>
    </w:p>
    <w:p w14:paraId="640425A1" w14:textId="4B9C9378" w:rsidR="00BC4319" w:rsidRPr="008A3ECE" w:rsidRDefault="00F23DD6" w:rsidP="008A3ECE">
      <w:pPr>
        <w:pStyle w:val="BodyText"/>
        <w:spacing w:line="312" w:lineRule="auto"/>
      </w:pPr>
      <w:r w:rsidRPr="008A3ECE">
        <w:t>The</w:t>
      </w:r>
      <w:r w:rsidR="005F0BAC" w:rsidRPr="008A3ECE">
        <w:t xml:space="preserve"> </w:t>
      </w:r>
      <w:r w:rsidR="000C020F" w:rsidRPr="008A3ECE">
        <w:t>T</w:t>
      </w:r>
      <w:r w:rsidR="00423D4B" w:rsidRPr="008A3ECE">
        <w:t>erms</w:t>
      </w:r>
      <w:r w:rsidR="005F0BAC" w:rsidRPr="008A3ECE">
        <w:t xml:space="preserve"> of </w:t>
      </w:r>
      <w:r w:rsidR="000C020F" w:rsidRPr="008A3ECE">
        <w:t>Reference</w:t>
      </w:r>
      <w:r w:rsidR="00474DF7" w:rsidRPr="008A3ECE">
        <w:t xml:space="preserve">, </w:t>
      </w:r>
      <w:r w:rsidR="005F0BAC" w:rsidRPr="008A3ECE">
        <w:t>themes</w:t>
      </w:r>
      <w:r w:rsidR="00474DF7" w:rsidRPr="008A3ECE">
        <w:t xml:space="preserve">, and recommendations </w:t>
      </w:r>
      <w:r w:rsidR="005F0BAC" w:rsidRPr="008A3ECE">
        <w:t xml:space="preserve">identified are interrelated. </w:t>
      </w:r>
    </w:p>
    <w:p w14:paraId="6B29F388" w14:textId="77777777" w:rsidR="009F016B" w:rsidRPr="008A3ECE" w:rsidRDefault="009F016B" w:rsidP="008A3ECE">
      <w:pPr>
        <w:pStyle w:val="BodyText"/>
        <w:spacing w:line="312" w:lineRule="auto"/>
      </w:pPr>
    </w:p>
    <w:p w14:paraId="51AFD54B" w14:textId="77777777" w:rsidR="00A86FA9" w:rsidRPr="008A3ECE" w:rsidRDefault="00A86FA9" w:rsidP="008A3ECE">
      <w:pPr>
        <w:pStyle w:val="BodyText"/>
        <w:spacing w:line="312" w:lineRule="auto"/>
      </w:pPr>
    </w:p>
    <w:p w14:paraId="628414DE" w14:textId="77777777" w:rsidR="00A86FA9" w:rsidRPr="008A3ECE" w:rsidRDefault="00A86FA9" w:rsidP="008A3ECE">
      <w:pPr>
        <w:pStyle w:val="BodyText"/>
        <w:spacing w:line="312" w:lineRule="auto"/>
      </w:pPr>
    </w:p>
    <w:p w14:paraId="02456BE2" w14:textId="77777777" w:rsidR="00A86FA9" w:rsidRPr="008A3ECE" w:rsidRDefault="00A86FA9" w:rsidP="008A3ECE">
      <w:pPr>
        <w:pStyle w:val="BodyText"/>
        <w:spacing w:line="312" w:lineRule="auto"/>
      </w:pPr>
    </w:p>
    <w:p w14:paraId="529342DB" w14:textId="5BC7A502" w:rsidR="00821B84" w:rsidRPr="008A3ECE" w:rsidRDefault="00E14970" w:rsidP="008A3ECE">
      <w:pPr>
        <w:pStyle w:val="Heading1"/>
        <w:spacing w:line="312" w:lineRule="auto"/>
        <w:rPr>
          <w:sz w:val="52"/>
          <w:szCs w:val="52"/>
        </w:rPr>
      </w:pPr>
      <w:bookmarkStart w:id="78" w:name="_Toc146877517"/>
      <w:bookmarkStart w:id="79" w:name="_Hlk138314465"/>
      <w:r w:rsidRPr="008A3ECE">
        <w:rPr>
          <w:sz w:val="52"/>
          <w:szCs w:val="52"/>
        </w:rPr>
        <w:lastRenderedPageBreak/>
        <w:t>Summary of Recommendations</w:t>
      </w:r>
      <w:bookmarkEnd w:id="78"/>
    </w:p>
    <w:p w14:paraId="485D58E8" w14:textId="2FC74AF9" w:rsidR="006E567A" w:rsidRPr="0069728F" w:rsidRDefault="006E567A" w:rsidP="008A3ECE">
      <w:pPr>
        <w:spacing w:before="0" w:after="5" w:line="312" w:lineRule="auto"/>
        <w:contextualSpacing/>
        <w:rPr>
          <w:rFonts w:ascii="Arial" w:hAnsi="Arial" w:cs="Arial"/>
        </w:rPr>
      </w:pPr>
      <w:bookmarkStart w:id="80" w:name="_Hlk145581182"/>
      <w:bookmarkStart w:id="81" w:name="_Hlk146796754"/>
      <w:bookmarkStart w:id="82" w:name="_Hlk141200362"/>
      <w:r w:rsidRPr="0069728F">
        <w:rPr>
          <w:rFonts w:ascii="Arial" w:hAnsi="Arial" w:cs="Arial"/>
          <w:b/>
          <w:bCs/>
        </w:rPr>
        <w:t xml:space="preserve">Recommendation 1 – </w:t>
      </w:r>
      <w:r w:rsidRPr="0069728F">
        <w:rPr>
          <w:rFonts w:ascii="Arial" w:hAnsi="Arial" w:cs="Arial"/>
        </w:rPr>
        <w:t xml:space="preserve">The new Anti-Discrimination Act (ADA) </w:t>
      </w:r>
      <w:r w:rsidR="000C020F">
        <w:rPr>
          <w:rFonts w:ascii="Arial" w:hAnsi="Arial" w:cs="Arial"/>
        </w:rPr>
        <w:t>must</w:t>
      </w:r>
      <w:r w:rsidRPr="0069728F">
        <w:rPr>
          <w:rFonts w:ascii="Arial" w:hAnsi="Arial" w:cs="Arial"/>
        </w:rPr>
        <w:t xml:space="preserve"> be informed by, and grounded in, a human rights model of disability, which recognises human dignity as the foundation for all rights and recognises the critical importance of intersectionality.</w:t>
      </w:r>
    </w:p>
    <w:p w14:paraId="4028911A" w14:textId="77777777" w:rsidR="006E567A" w:rsidRPr="0069728F" w:rsidRDefault="006E567A" w:rsidP="008A3ECE">
      <w:pPr>
        <w:spacing w:before="0" w:after="5" w:line="312" w:lineRule="auto"/>
        <w:contextualSpacing/>
        <w:rPr>
          <w:rFonts w:ascii="Arial" w:hAnsi="Arial" w:cs="Arial"/>
          <w:b/>
          <w:bCs/>
        </w:rPr>
      </w:pPr>
    </w:p>
    <w:p w14:paraId="6F535D99" w14:textId="130EDDF4" w:rsidR="006E567A" w:rsidRPr="0069728F" w:rsidRDefault="006E567A" w:rsidP="008A3ECE">
      <w:pPr>
        <w:spacing w:before="0" w:after="5" w:line="312" w:lineRule="auto"/>
        <w:contextualSpacing/>
        <w:rPr>
          <w:rFonts w:ascii="Arial" w:hAnsi="Arial" w:cs="Arial"/>
        </w:rPr>
      </w:pPr>
      <w:r w:rsidRPr="0069728F">
        <w:rPr>
          <w:rFonts w:ascii="Arial" w:hAnsi="Arial" w:cs="Arial"/>
          <w:b/>
          <w:bCs/>
        </w:rPr>
        <w:t xml:space="preserve">Recommendation 2 – </w:t>
      </w:r>
      <w:r w:rsidRPr="0069728F">
        <w:rPr>
          <w:rFonts w:ascii="Arial" w:hAnsi="Arial" w:cs="Arial"/>
        </w:rPr>
        <w:t xml:space="preserve">The ADA must recognise the primacy of international human rights instruments (such as the CRPD) as being the basis from which </w:t>
      </w:r>
      <w:r w:rsidR="00342C57" w:rsidRPr="0069728F">
        <w:rPr>
          <w:rFonts w:ascii="Arial" w:hAnsi="Arial" w:cs="Arial"/>
        </w:rPr>
        <w:t>rights flow</w:t>
      </w:r>
      <w:r w:rsidR="00342C57">
        <w:rPr>
          <w:rFonts w:ascii="Arial" w:hAnsi="Arial" w:cs="Arial"/>
        </w:rPr>
        <w:t xml:space="preserve"> and</w:t>
      </w:r>
      <w:r w:rsidRPr="0069728F">
        <w:rPr>
          <w:rFonts w:ascii="Arial" w:hAnsi="Arial" w:cs="Arial"/>
        </w:rPr>
        <w:t xml:space="preserve"> reflect and support the purposes and principles of</w:t>
      </w:r>
      <w:r w:rsidR="005C6AA3">
        <w:rPr>
          <w:rFonts w:ascii="Arial" w:hAnsi="Arial" w:cs="Arial"/>
        </w:rPr>
        <w:t xml:space="preserve"> tho</w:t>
      </w:r>
      <w:r w:rsidR="004117B3">
        <w:rPr>
          <w:rFonts w:ascii="Arial" w:hAnsi="Arial" w:cs="Arial"/>
        </w:rPr>
        <w:t xml:space="preserve">se </w:t>
      </w:r>
      <w:r w:rsidR="0053576E">
        <w:rPr>
          <w:rFonts w:ascii="Arial" w:hAnsi="Arial" w:cs="Arial"/>
        </w:rPr>
        <w:t>instruments</w:t>
      </w:r>
      <w:r w:rsidR="0053576E" w:rsidRPr="0069728F">
        <w:rPr>
          <w:rFonts w:ascii="Arial" w:hAnsi="Arial" w:cs="Arial"/>
        </w:rPr>
        <w:t xml:space="preserve"> without</w:t>
      </w:r>
      <w:r w:rsidRPr="0069728F">
        <w:rPr>
          <w:rFonts w:ascii="Arial" w:hAnsi="Arial" w:cs="Arial"/>
        </w:rPr>
        <w:t xml:space="preserve"> qualification.</w:t>
      </w:r>
      <w:r w:rsidR="00795FFE">
        <w:rPr>
          <w:rFonts w:ascii="Arial" w:hAnsi="Arial" w:cs="Arial"/>
        </w:rPr>
        <w:t xml:space="preserve">   </w:t>
      </w:r>
    </w:p>
    <w:p w14:paraId="6C3A9789" w14:textId="77777777" w:rsidR="006E567A" w:rsidRPr="0069728F" w:rsidRDefault="006E567A" w:rsidP="008A3ECE">
      <w:pPr>
        <w:spacing w:before="0" w:after="5" w:line="312" w:lineRule="auto"/>
        <w:contextualSpacing/>
        <w:rPr>
          <w:rFonts w:ascii="Arial" w:hAnsi="Arial" w:cs="Arial"/>
        </w:rPr>
      </w:pPr>
    </w:p>
    <w:p w14:paraId="1ED464C6" w14:textId="2939EC2B" w:rsidR="006E567A" w:rsidRDefault="006E567A" w:rsidP="008A3ECE">
      <w:pPr>
        <w:spacing w:before="0" w:after="5" w:line="312" w:lineRule="auto"/>
        <w:contextualSpacing/>
        <w:rPr>
          <w:rFonts w:ascii="Arial" w:hAnsi="Arial" w:cs="Arial"/>
        </w:rPr>
      </w:pPr>
      <w:r w:rsidRPr="0069728F">
        <w:rPr>
          <w:rFonts w:ascii="Arial" w:hAnsi="Arial" w:cs="Arial"/>
          <w:b/>
          <w:bCs/>
        </w:rPr>
        <w:t>Recommendation 3 –</w:t>
      </w:r>
      <w:r w:rsidR="00FB5383">
        <w:rPr>
          <w:rFonts w:ascii="Arial" w:hAnsi="Arial" w:cs="Arial"/>
        </w:rPr>
        <w:t xml:space="preserve"> </w:t>
      </w:r>
      <w:r w:rsidR="0094532A" w:rsidRPr="0094532A">
        <w:rPr>
          <w:rFonts w:ascii="Arial" w:hAnsi="Arial" w:cs="Arial"/>
        </w:rPr>
        <w:t xml:space="preserve">Anti-Discrimination NSW </w:t>
      </w:r>
      <w:r w:rsidR="00297533">
        <w:rPr>
          <w:rFonts w:ascii="Arial" w:hAnsi="Arial" w:cs="Arial"/>
        </w:rPr>
        <w:t xml:space="preserve">must </w:t>
      </w:r>
      <w:r w:rsidR="002E61F3">
        <w:rPr>
          <w:rFonts w:ascii="Arial" w:hAnsi="Arial" w:cs="Arial"/>
        </w:rPr>
        <w:t>expand delivery of</w:t>
      </w:r>
      <w:r w:rsidR="00297533">
        <w:rPr>
          <w:rFonts w:ascii="Arial" w:hAnsi="Arial" w:cs="Arial"/>
        </w:rPr>
        <w:t xml:space="preserve"> </w:t>
      </w:r>
      <w:r w:rsidRPr="0069728F">
        <w:rPr>
          <w:rFonts w:ascii="Arial" w:hAnsi="Arial" w:cs="Arial"/>
        </w:rPr>
        <w:t xml:space="preserve">community </w:t>
      </w:r>
      <w:r w:rsidR="00FB5383">
        <w:rPr>
          <w:rFonts w:ascii="Arial" w:hAnsi="Arial" w:cs="Arial"/>
        </w:rPr>
        <w:t>education</w:t>
      </w:r>
      <w:r w:rsidR="008532DE">
        <w:rPr>
          <w:rFonts w:ascii="Arial" w:hAnsi="Arial" w:cs="Arial"/>
        </w:rPr>
        <w:t xml:space="preserve"> </w:t>
      </w:r>
      <w:r w:rsidR="002E61F3">
        <w:rPr>
          <w:rFonts w:ascii="Arial" w:hAnsi="Arial" w:cs="Arial"/>
        </w:rPr>
        <w:t xml:space="preserve">to </w:t>
      </w:r>
      <w:r w:rsidR="004117B3">
        <w:rPr>
          <w:rFonts w:ascii="Arial" w:hAnsi="Arial" w:cs="Arial"/>
        </w:rPr>
        <w:t xml:space="preserve">all </w:t>
      </w:r>
      <w:r w:rsidR="00B878CC">
        <w:rPr>
          <w:rFonts w:ascii="Arial" w:hAnsi="Arial" w:cs="Arial"/>
        </w:rPr>
        <w:t>NSW residents</w:t>
      </w:r>
      <w:r w:rsidR="00213494">
        <w:rPr>
          <w:rFonts w:ascii="Arial" w:hAnsi="Arial" w:cs="Arial"/>
        </w:rPr>
        <w:t xml:space="preserve"> about the </w:t>
      </w:r>
      <w:r w:rsidR="004C5BF6">
        <w:rPr>
          <w:rFonts w:ascii="Arial" w:hAnsi="Arial" w:cs="Arial"/>
        </w:rPr>
        <w:t>ADA,</w:t>
      </w:r>
      <w:r w:rsidR="00B878CC">
        <w:rPr>
          <w:rFonts w:ascii="Arial" w:hAnsi="Arial" w:cs="Arial"/>
        </w:rPr>
        <w:t xml:space="preserve"> </w:t>
      </w:r>
      <w:r w:rsidR="002E61F3">
        <w:rPr>
          <w:rFonts w:ascii="Arial" w:hAnsi="Arial" w:cs="Arial"/>
        </w:rPr>
        <w:t xml:space="preserve">so all </w:t>
      </w:r>
      <w:r w:rsidR="00804F4C">
        <w:rPr>
          <w:rFonts w:ascii="Arial" w:hAnsi="Arial" w:cs="Arial"/>
        </w:rPr>
        <w:t xml:space="preserve">are aware </w:t>
      </w:r>
      <w:r w:rsidR="00735157">
        <w:rPr>
          <w:rFonts w:ascii="Arial" w:hAnsi="Arial" w:cs="Arial"/>
        </w:rPr>
        <w:t xml:space="preserve">of </w:t>
      </w:r>
      <w:r w:rsidR="00804F4C">
        <w:rPr>
          <w:rFonts w:ascii="Arial" w:hAnsi="Arial" w:cs="Arial"/>
        </w:rPr>
        <w:t>their obligations to prevent discrimination</w:t>
      </w:r>
      <w:r w:rsidR="00213494">
        <w:rPr>
          <w:rFonts w:ascii="Arial" w:hAnsi="Arial" w:cs="Arial"/>
        </w:rPr>
        <w:t xml:space="preserve"> from occurring</w:t>
      </w:r>
      <w:r w:rsidR="007B5FA5">
        <w:rPr>
          <w:rFonts w:ascii="Arial" w:hAnsi="Arial" w:cs="Arial"/>
        </w:rPr>
        <w:t xml:space="preserve">. </w:t>
      </w:r>
      <w:r w:rsidR="00756E0E" w:rsidRPr="0069728F">
        <w:rPr>
          <w:rFonts w:ascii="Arial" w:hAnsi="Arial" w:cs="Arial"/>
        </w:rPr>
        <w:t xml:space="preserve">The ADA </w:t>
      </w:r>
      <w:r w:rsidR="00756E0E">
        <w:rPr>
          <w:rFonts w:ascii="Arial" w:hAnsi="Arial" w:cs="Arial"/>
        </w:rPr>
        <w:t xml:space="preserve">and its objects </w:t>
      </w:r>
      <w:r w:rsidR="00756E0E" w:rsidRPr="0069728F">
        <w:rPr>
          <w:rFonts w:ascii="Arial" w:hAnsi="Arial" w:cs="Arial"/>
        </w:rPr>
        <w:t>need</w:t>
      </w:r>
      <w:r w:rsidR="00756E0E">
        <w:rPr>
          <w:rFonts w:ascii="Arial" w:hAnsi="Arial" w:cs="Arial"/>
        </w:rPr>
        <w:t xml:space="preserve"> </w:t>
      </w:r>
      <w:r w:rsidR="00756E0E" w:rsidRPr="0069728F">
        <w:rPr>
          <w:rFonts w:ascii="Arial" w:hAnsi="Arial" w:cs="Arial"/>
        </w:rPr>
        <w:t>to be</w:t>
      </w:r>
      <w:r w:rsidR="00756E0E">
        <w:rPr>
          <w:rFonts w:ascii="Arial" w:hAnsi="Arial" w:cs="Arial"/>
        </w:rPr>
        <w:t xml:space="preserve"> promoted </w:t>
      </w:r>
      <w:r w:rsidR="008A7BED">
        <w:rPr>
          <w:rFonts w:ascii="Arial" w:hAnsi="Arial" w:cs="Arial"/>
        </w:rPr>
        <w:t xml:space="preserve">as part of this </w:t>
      </w:r>
      <w:r w:rsidR="00A4371C">
        <w:rPr>
          <w:rFonts w:ascii="Arial" w:hAnsi="Arial" w:cs="Arial"/>
        </w:rPr>
        <w:t xml:space="preserve">community education </w:t>
      </w:r>
      <w:r w:rsidR="007920BF">
        <w:rPr>
          <w:rFonts w:ascii="Arial" w:hAnsi="Arial" w:cs="Arial"/>
        </w:rPr>
        <w:t xml:space="preserve">with the aim </w:t>
      </w:r>
      <w:r w:rsidR="00A4371C">
        <w:rPr>
          <w:rFonts w:ascii="Arial" w:hAnsi="Arial" w:cs="Arial"/>
        </w:rPr>
        <w:t xml:space="preserve">to combat </w:t>
      </w:r>
      <w:r w:rsidR="00756E0E" w:rsidRPr="002D5A4B">
        <w:rPr>
          <w:rFonts w:ascii="Arial" w:hAnsi="Arial" w:cs="Arial"/>
        </w:rPr>
        <w:t>attitudinal barriers</w:t>
      </w:r>
      <w:r w:rsidR="00756E0E">
        <w:rPr>
          <w:rFonts w:ascii="Arial" w:hAnsi="Arial" w:cs="Arial"/>
        </w:rPr>
        <w:t xml:space="preserve"> to inclusion</w:t>
      </w:r>
      <w:r w:rsidR="00756E0E">
        <w:rPr>
          <w:rFonts w:cstheme="minorHAnsi"/>
        </w:rPr>
        <w:t xml:space="preserve">, </w:t>
      </w:r>
      <w:r w:rsidR="00756E0E">
        <w:rPr>
          <w:rFonts w:ascii="Arial" w:hAnsi="Arial" w:cs="Arial"/>
        </w:rPr>
        <w:t>advance</w:t>
      </w:r>
      <w:r w:rsidR="00756E0E" w:rsidRPr="0069728F">
        <w:rPr>
          <w:rFonts w:ascii="Arial" w:hAnsi="Arial" w:cs="Arial"/>
        </w:rPr>
        <w:t xml:space="preserve"> and protect human rights</w:t>
      </w:r>
      <w:r w:rsidR="00756E0E">
        <w:rPr>
          <w:rFonts w:ascii="Arial" w:hAnsi="Arial" w:cs="Arial"/>
        </w:rPr>
        <w:t xml:space="preserve"> broadly</w:t>
      </w:r>
      <w:r w:rsidR="00756E0E" w:rsidRPr="0069728F">
        <w:rPr>
          <w:rFonts w:ascii="Arial" w:hAnsi="Arial" w:cs="Arial"/>
        </w:rPr>
        <w:t xml:space="preserve"> in </w:t>
      </w:r>
      <w:r w:rsidR="00756E0E">
        <w:rPr>
          <w:rFonts w:ascii="Arial" w:hAnsi="Arial" w:cs="Arial"/>
        </w:rPr>
        <w:t>NSW</w:t>
      </w:r>
      <w:r w:rsidR="007E5CDE">
        <w:rPr>
          <w:rFonts w:ascii="Arial" w:hAnsi="Arial" w:cs="Arial"/>
        </w:rPr>
        <w:t>,</w:t>
      </w:r>
      <w:r w:rsidR="00756E0E">
        <w:rPr>
          <w:rFonts w:ascii="Arial" w:hAnsi="Arial" w:cs="Arial"/>
        </w:rPr>
        <w:t xml:space="preserve"> and achieve substantive equality.</w:t>
      </w:r>
      <w:r w:rsidR="00795FFE">
        <w:rPr>
          <w:rFonts w:ascii="Arial" w:hAnsi="Arial" w:cs="Arial"/>
        </w:rPr>
        <w:t xml:space="preserve">   </w:t>
      </w:r>
      <w:r w:rsidR="00C23ACD" w:rsidRPr="00C23ACD">
        <w:rPr>
          <w:rFonts w:ascii="Arial" w:hAnsi="Arial" w:cs="Arial"/>
        </w:rPr>
        <w:t xml:space="preserve"> </w:t>
      </w:r>
    </w:p>
    <w:p w14:paraId="552AB919" w14:textId="77777777" w:rsidR="006E567A" w:rsidRDefault="006E567A" w:rsidP="008A3ECE">
      <w:pPr>
        <w:spacing w:before="0" w:after="5" w:line="312" w:lineRule="auto"/>
        <w:contextualSpacing/>
        <w:rPr>
          <w:rFonts w:ascii="Arial" w:hAnsi="Arial" w:cs="Arial"/>
        </w:rPr>
      </w:pPr>
    </w:p>
    <w:p w14:paraId="5A4EA138" w14:textId="1271868B" w:rsidR="006E567A" w:rsidRPr="0069728F" w:rsidRDefault="006E567A" w:rsidP="008A3ECE">
      <w:pPr>
        <w:pStyle w:val="Heading3"/>
        <w:spacing w:line="312" w:lineRule="auto"/>
      </w:pPr>
      <w:bookmarkStart w:id="83" w:name="_Toc146877518"/>
      <w:r>
        <w:t>Eliminating systemic discrimination</w:t>
      </w:r>
      <w:bookmarkEnd w:id="83"/>
      <w:r>
        <w:t xml:space="preserve"> </w:t>
      </w:r>
    </w:p>
    <w:p w14:paraId="158BCC0B" w14:textId="739E7338" w:rsidR="006E567A" w:rsidRDefault="006E567A" w:rsidP="008A3ECE">
      <w:pPr>
        <w:spacing w:before="0" w:after="5" w:line="312" w:lineRule="auto"/>
        <w:contextualSpacing/>
        <w:rPr>
          <w:rFonts w:ascii="Arial" w:hAnsi="Arial" w:cs="Arial"/>
        </w:rPr>
      </w:pPr>
      <w:r w:rsidRPr="0069728F">
        <w:rPr>
          <w:rFonts w:ascii="Arial" w:hAnsi="Arial" w:cs="Arial"/>
          <w:b/>
          <w:bCs/>
        </w:rPr>
        <w:t xml:space="preserve">Recommendation 4 – </w:t>
      </w:r>
      <w:r w:rsidRPr="0069728F">
        <w:rPr>
          <w:rFonts w:ascii="Arial" w:hAnsi="Arial" w:cs="Arial"/>
        </w:rPr>
        <w:t xml:space="preserve">The ADA must contain key objects and purposes </w:t>
      </w:r>
      <w:r w:rsidR="00F77613">
        <w:rPr>
          <w:rFonts w:ascii="Arial" w:hAnsi="Arial" w:cs="Arial"/>
        </w:rPr>
        <w:t>recognising</w:t>
      </w:r>
      <w:r w:rsidR="00F77613" w:rsidRPr="00112997">
        <w:rPr>
          <w:rFonts w:ascii="Arial" w:hAnsi="Arial" w:cs="Arial"/>
        </w:rPr>
        <w:t xml:space="preserve"> that</w:t>
      </w:r>
      <w:r w:rsidR="00112997" w:rsidRPr="00112997">
        <w:rPr>
          <w:rFonts w:ascii="Arial" w:hAnsi="Arial" w:cs="Arial"/>
        </w:rPr>
        <w:t xml:space="preserve"> systemic discrimination operates as a significant barrier to </w:t>
      </w:r>
      <w:r w:rsidR="00F512CE">
        <w:rPr>
          <w:rFonts w:ascii="Arial" w:hAnsi="Arial" w:cs="Arial"/>
        </w:rPr>
        <w:t xml:space="preserve">social </w:t>
      </w:r>
      <w:r w:rsidR="00112997" w:rsidRPr="00112997">
        <w:rPr>
          <w:rFonts w:ascii="Arial" w:hAnsi="Arial" w:cs="Arial"/>
        </w:rPr>
        <w:t>inclusion for people with disability</w:t>
      </w:r>
      <w:r w:rsidR="00112997">
        <w:rPr>
          <w:rFonts w:ascii="Arial" w:hAnsi="Arial" w:cs="Arial"/>
        </w:rPr>
        <w:t xml:space="preserve">, </w:t>
      </w:r>
      <w:r w:rsidR="00910E5F">
        <w:rPr>
          <w:rFonts w:ascii="Arial" w:hAnsi="Arial" w:cs="Arial"/>
        </w:rPr>
        <w:t xml:space="preserve">that </w:t>
      </w:r>
      <w:r w:rsidR="00112997">
        <w:rPr>
          <w:rFonts w:ascii="Arial" w:hAnsi="Arial" w:cs="Arial"/>
        </w:rPr>
        <w:t>f</w:t>
      </w:r>
      <w:r w:rsidRPr="0069728F">
        <w:rPr>
          <w:rFonts w:ascii="Arial" w:hAnsi="Arial" w:cs="Arial"/>
        </w:rPr>
        <w:t>ormal equality</w:t>
      </w:r>
      <w:r w:rsidR="00112997">
        <w:rPr>
          <w:rFonts w:ascii="Arial" w:hAnsi="Arial" w:cs="Arial"/>
        </w:rPr>
        <w:t xml:space="preserve"> has </w:t>
      </w:r>
      <w:r w:rsidR="00055A0A">
        <w:rPr>
          <w:rFonts w:ascii="Arial" w:hAnsi="Arial" w:cs="Arial"/>
        </w:rPr>
        <w:t>limitations</w:t>
      </w:r>
      <w:r w:rsidR="00112997">
        <w:rPr>
          <w:rFonts w:ascii="Arial" w:hAnsi="Arial" w:cs="Arial"/>
        </w:rPr>
        <w:t xml:space="preserve"> </w:t>
      </w:r>
      <w:r w:rsidR="00055A0A">
        <w:rPr>
          <w:rFonts w:ascii="Arial" w:hAnsi="Arial" w:cs="Arial"/>
        </w:rPr>
        <w:t>in</w:t>
      </w:r>
      <w:r w:rsidR="00112997">
        <w:rPr>
          <w:rFonts w:ascii="Arial" w:hAnsi="Arial" w:cs="Arial"/>
        </w:rPr>
        <w:t xml:space="preserve"> tackling </w:t>
      </w:r>
      <w:r w:rsidR="00055A0A">
        <w:rPr>
          <w:rFonts w:ascii="Arial" w:hAnsi="Arial" w:cs="Arial"/>
        </w:rPr>
        <w:t>systemic discrimination</w:t>
      </w:r>
      <w:r w:rsidRPr="0069728F">
        <w:rPr>
          <w:rFonts w:ascii="Arial" w:hAnsi="Arial" w:cs="Arial"/>
        </w:rPr>
        <w:t xml:space="preserve">, </w:t>
      </w:r>
      <w:r w:rsidR="00F512CE">
        <w:rPr>
          <w:rFonts w:ascii="Arial" w:hAnsi="Arial" w:cs="Arial"/>
        </w:rPr>
        <w:t xml:space="preserve">that </w:t>
      </w:r>
      <w:r w:rsidRPr="0069728F">
        <w:rPr>
          <w:rFonts w:ascii="Arial" w:hAnsi="Arial" w:cs="Arial"/>
        </w:rPr>
        <w:t>promot</w:t>
      </w:r>
      <w:r w:rsidR="00F512CE">
        <w:rPr>
          <w:rFonts w:ascii="Arial" w:hAnsi="Arial" w:cs="Arial"/>
        </w:rPr>
        <w:t>ing</w:t>
      </w:r>
      <w:r w:rsidRPr="0069728F">
        <w:rPr>
          <w:rFonts w:ascii="Arial" w:hAnsi="Arial" w:cs="Arial"/>
        </w:rPr>
        <w:t xml:space="preserve"> </w:t>
      </w:r>
      <w:r w:rsidR="00DC7B9A">
        <w:rPr>
          <w:rFonts w:ascii="Arial" w:hAnsi="Arial" w:cs="Arial"/>
        </w:rPr>
        <w:t>equality of opportunity and equality of outcomes</w:t>
      </w:r>
      <w:r w:rsidR="00055A0A">
        <w:rPr>
          <w:rFonts w:ascii="Arial" w:hAnsi="Arial" w:cs="Arial"/>
        </w:rPr>
        <w:t xml:space="preserve"> </w:t>
      </w:r>
      <w:r w:rsidR="00723682">
        <w:rPr>
          <w:rFonts w:ascii="Arial" w:hAnsi="Arial" w:cs="Arial"/>
        </w:rPr>
        <w:t>challen</w:t>
      </w:r>
      <w:r w:rsidR="00D733B2">
        <w:rPr>
          <w:rFonts w:ascii="Arial" w:hAnsi="Arial" w:cs="Arial"/>
        </w:rPr>
        <w:t>ge</w:t>
      </w:r>
      <w:r w:rsidR="007F166C">
        <w:rPr>
          <w:rFonts w:ascii="Arial" w:hAnsi="Arial" w:cs="Arial"/>
        </w:rPr>
        <w:t>s</w:t>
      </w:r>
      <w:r w:rsidR="00723682">
        <w:rPr>
          <w:rFonts w:ascii="Arial" w:hAnsi="Arial" w:cs="Arial"/>
        </w:rPr>
        <w:t xml:space="preserve"> </w:t>
      </w:r>
      <w:r w:rsidR="00100F27">
        <w:rPr>
          <w:rFonts w:ascii="Arial" w:hAnsi="Arial" w:cs="Arial"/>
        </w:rPr>
        <w:t>systemic</w:t>
      </w:r>
      <w:r w:rsidR="00723682">
        <w:rPr>
          <w:rFonts w:ascii="Arial" w:hAnsi="Arial" w:cs="Arial"/>
        </w:rPr>
        <w:t xml:space="preserve"> discrimination</w:t>
      </w:r>
      <w:r w:rsidR="00EA2405">
        <w:rPr>
          <w:rFonts w:ascii="Arial" w:hAnsi="Arial" w:cs="Arial"/>
        </w:rPr>
        <w:t xml:space="preserve">, and that </w:t>
      </w:r>
      <w:r w:rsidR="0000145B">
        <w:rPr>
          <w:rFonts w:ascii="Arial" w:hAnsi="Arial" w:cs="Arial"/>
        </w:rPr>
        <w:t>targeted</w:t>
      </w:r>
      <w:r w:rsidR="00EA2405">
        <w:rPr>
          <w:rFonts w:ascii="Arial" w:hAnsi="Arial" w:cs="Arial"/>
        </w:rPr>
        <w:t xml:space="preserve"> measures are </w:t>
      </w:r>
      <w:r w:rsidR="007F166C">
        <w:rPr>
          <w:rFonts w:ascii="Arial" w:hAnsi="Arial" w:cs="Arial"/>
        </w:rPr>
        <w:t>a key method</w:t>
      </w:r>
      <w:r w:rsidR="00EA2405">
        <w:rPr>
          <w:rFonts w:ascii="Arial" w:hAnsi="Arial" w:cs="Arial"/>
        </w:rPr>
        <w:t xml:space="preserve"> to advance </w:t>
      </w:r>
      <w:r w:rsidR="00586B7F">
        <w:rPr>
          <w:rFonts w:ascii="Arial" w:hAnsi="Arial" w:cs="Arial"/>
        </w:rPr>
        <w:t>the achievement of substantive equality</w:t>
      </w:r>
      <w:r w:rsidR="00F77613">
        <w:rPr>
          <w:rFonts w:ascii="Arial" w:hAnsi="Arial" w:cs="Arial"/>
        </w:rPr>
        <w:t xml:space="preserve">.    </w:t>
      </w:r>
      <w:r w:rsidR="000F5E47">
        <w:rPr>
          <w:rFonts w:ascii="Arial" w:hAnsi="Arial" w:cs="Arial"/>
        </w:rPr>
        <w:t xml:space="preserve"> </w:t>
      </w:r>
    </w:p>
    <w:p w14:paraId="2F1F8EA6" w14:textId="77777777" w:rsidR="006E567A" w:rsidRDefault="006E567A" w:rsidP="008A3ECE">
      <w:pPr>
        <w:spacing w:before="0" w:after="5" w:line="312" w:lineRule="auto"/>
        <w:contextualSpacing/>
        <w:rPr>
          <w:rFonts w:ascii="Arial" w:hAnsi="Arial" w:cs="Arial"/>
        </w:rPr>
      </w:pPr>
    </w:p>
    <w:p w14:paraId="4DF41924" w14:textId="682C0D6B" w:rsidR="006E567A" w:rsidRPr="006E567A" w:rsidRDefault="006E567A" w:rsidP="008A3ECE">
      <w:pPr>
        <w:pStyle w:val="Heading3"/>
        <w:spacing w:line="312" w:lineRule="auto"/>
      </w:pPr>
      <w:bookmarkStart w:id="84" w:name="_Toc146877519"/>
      <w:r>
        <w:t>Positive duties: reasonable adjustments and preventing discrimination</w:t>
      </w:r>
      <w:bookmarkEnd w:id="84"/>
    </w:p>
    <w:bookmarkEnd w:id="80"/>
    <w:p w14:paraId="28755318" w14:textId="6FDE4F88" w:rsidR="006E567A" w:rsidRPr="0069728F" w:rsidRDefault="006E567A" w:rsidP="008A3ECE">
      <w:pPr>
        <w:spacing w:before="0" w:after="5" w:line="312" w:lineRule="auto"/>
        <w:contextualSpacing/>
        <w:rPr>
          <w:rFonts w:ascii="Arial" w:hAnsi="Arial" w:cs="Arial"/>
        </w:rPr>
      </w:pPr>
      <w:r w:rsidRPr="0069728F">
        <w:rPr>
          <w:rFonts w:ascii="Arial" w:hAnsi="Arial" w:cs="Arial"/>
          <w:b/>
          <w:bCs/>
        </w:rPr>
        <w:t xml:space="preserve">Recommendation 5 – </w:t>
      </w:r>
      <w:r w:rsidRPr="0069728F">
        <w:rPr>
          <w:rFonts w:ascii="Arial" w:hAnsi="Arial" w:cs="Arial"/>
        </w:rPr>
        <w:t xml:space="preserve">The ADA must contain positive duties on relevant duty holders </w:t>
      </w:r>
      <w:r w:rsidR="00883757">
        <w:rPr>
          <w:rFonts w:ascii="Arial" w:hAnsi="Arial" w:cs="Arial"/>
        </w:rPr>
        <w:t>as identified in the ADA</w:t>
      </w:r>
      <w:r w:rsidR="00F512CE">
        <w:rPr>
          <w:rFonts w:ascii="Arial" w:hAnsi="Arial" w:cs="Arial"/>
        </w:rPr>
        <w:t>,</w:t>
      </w:r>
      <w:r w:rsidR="00883757">
        <w:rPr>
          <w:rFonts w:ascii="Arial" w:hAnsi="Arial" w:cs="Arial"/>
        </w:rPr>
        <w:t xml:space="preserve"> </w:t>
      </w:r>
      <w:r w:rsidRPr="0069728F">
        <w:rPr>
          <w:rFonts w:ascii="Arial" w:hAnsi="Arial" w:cs="Arial"/>
        </w:rPr>
        <w:t>to provide reasonable adjustments and to prevent and eliminate discrimination up to the point of ‘unjustifiable hardship’.</w:t>
      </w:r>
    </w:p>
    <w:p w14:paraId="38019177" w14:textId="77777777" w:rsidR="006E567A" w:rsidRPr="0069728F" w:rsidRDefault="006E567A" w:rsidP="008A3ECE">
      <w:pPr>
        <w:spacing w:before="0" w:after="5" w:line="312" w:lineRule="auto"/>
        <w:contextualSpacing/>
        <w:rPr>
          <w:rFonts w:ascii="Arial" w:hAnsi="Arial" w:cs="Arial"/>
        </w:rPr>
      </w:pPr>
    </w:p>
    <w:p w14:paraId="2F366297" w14:textId="55DEEF9F" w:rsidR="006E567A" w:rsidRDefault="006E567A" w:rsidP="008A3ECE">
      <w:pPr>
        <w:spacing w:before="0" w:after="5" w:line="312" w:lineRule="auto"/>
        <w:contextualSpacing/>
        <w:rPr>
          <w:rFonts w:ascii="Arial" w:hAnsi="Arial" w:cs="Arial"/>
        </w:rPr>
      </w:pPr>
      <w:r w:rsidRPr="0069728F">
        <w:rPr>
          <w:rFonts w:ascii="Arial" w:hAnsi="Arial" w:cs="Arial"/>
          <w:b/>
          <w:bCs/>
        </w:rPr>
        <w:t>Recommendation 6 –</w:t>
      </w:r>
      <w:r w:rsidRPr="0069728F">
        <w:rPr>
          <w:rFonts w:ascii="Arial" w:hAnsi="Arial" w:cs="Arial"/>
        </w:rPr>
        <w:t xml:space="preserve"> The ADA </w:t>
      </w:r>
      <w:r w:rsidR="00D61FEC">
        <w:rPr>
          <w:rFonts w:ascii="Arial" w:hAnsi="Arial" w:cs="Arial"/>
        </w:rPr>
        <w:t>must</w:t>
      </w:r>
      <w:r w:rsidRPr="0069728F">
        <w:rPr>
          <w:rFonts w:ascii="Arial" w:hAnsi="Arial" w:cs="Arial"/>
        </w:rPr>
        <w:t xml:space="preserve"> state that an aim </w:t>
      </w:r>
      <w:r w:rsidR="00D61FEC">
        <w:rPr>
          <w:rFonts w:ascii="Arial" w:hAnsi="Arial" w:cs="Arial"/>
        </w:rPr>
        <w:t xml:space="preserve">or purpose </w:t>
      </w:r>
      <w:r w:rsidRPr="0069728F">
        <w:rPr>
          <w:rFonts w:ascii="Arial" w:hAnsi="Arial" w:cs="Arial"/>
        </w:rPr>
        <w:t>of the Act is to encourage a ‘prevent</w:t>
      </w:r>
      <w:r w:rsidR="00AC3D73">
        <w:rPr>
          <w:rFonts w:ascii="Arial" w:hAnsi="Arial" w:cs="Arial"/>
        </w:rPr>
        <w:t>at</w:t>
      </w:r>
      <w:r w:rsidRPr="0069728F">
        <w:rPr>
          <w:rFonts w:ascii="Arial" w:hAnsi="Arial" w:cs="Arial"/>
        </w:rPr>
        <w:t xml:space="preserve">ive culture’ towards discrimination </w:t>
      </w:r>
      <w:r w:rsidR="00D61FEC">
        <w:rPr>
          <w:rFonts w:ascii="Arial" w:hAnsi="Arial" w:cs="Arial"/>
        </w:rPr>
        <w:t>amongst</w:t>
      </w:r>
      <w:r w:rsidRPr="0069728F">
        <w:rPr>
          <w:rFonts w:ascii="Arial" w:hAnsi="Arial" w:cs="Arial"/>
        </w:rPr>
        <w:t xml:space="preserve"> all members of the community not just those in the public sphere</w:t>
      </w:r>
      <w:r w:rsidR="00D61FEC">
        <w:rPr>
          <w:rFonts w:ascii="Arial" w:hAnsi="Arial" w:cs="Arial"/>
        </w:rPr>
        <w:t xml:space="preserve"> or who are otherwise identified as having a </w:t>
      </w:r>
      <w:r w:rsidR="00D61FEC">
        <w:rPr>
          <w:rFonts w:ascii="Arial" w:hAnsi="Arial" w:cs="Arial"/>
        </w:rPr>
        <w:lastRenderedPageBreak/>
        <w:t>specific duty to prevent discrimination</w:t>
      </w:r>
      <w:r w:rsidRPr="0069728F">
        <w:rPr>
          <w:rFonts w:ascii="Arial" w:hAnsi="Arial" w:cs="Arial"/>
        </w:rPr>
        <w:t xml:space="preserve">, in line with the Australian Human Rights Commission’s </w:t>
      </w:r>
      <w:r w:rsidRPr="0069728F">
        <w:rPr>
          <w:rFonts w:ascii="Arial" w:hAnsi="Arial" w:cs="Arial"/>
          <w:i/>
          <w:iCs/>
        </w:rPr>
        <w:t xml:space="preserve">Free &amp; Equal </w:t>
      </w:r>
      <w:r w:rsidRPr="0069728F">
        <w:rPr>
          <w:rFonts w:ascii="Arial" w:hAnsi="Arial" w:cs="Arial"/>
        </w:rPr>
        <w:t>model.</w:t>
      </w:r>
    </w:p>
    <w:p w14:paraId="547104F5" w14:textId="77777777" w:rsidR="006E567A" w:rsidRDefault="006E567A" w:rsidP="008A3ECE">
      <w:pPr>
        <w:spacing w:before="0" w:after="5" w:line="312" w:lineRule="auto"/>
        <w:contextualSpacing/>
        <w:rPr>
          <w:rFonts w:ascii="Arial" w:hAnsi="Arial" w:cs="Arial"/>
        </w:rPr>
      </w:pPr>
    </w:p>
    <w:p w14:paraId="0ED81D7F" w14:textId="77777777" w:rsidR="006E567A" w:rsidRPr="0069728F" w:rsidRDefault="006E567A" w:rsidP="008A3ECE">
      <w:pPr>
        <w:pStyle w:val="Heading3"/>
        <w:spacing w:line="312" w:lineRule="auto"/>
      </w:pPr>
      <w:bookmarkStart w:id="85" w:name="_Toc146877520"/>
      <w:r>
        <w:t>Improving access to justice</w:t>
      </w:r>
      <w:bookmarkEnd w:id="85"/>
      <w:r>
        <w:t xml:space="preserve"> </w:t>
      </w:r>
    </w:p>
    <w:p w14:paraId="7AD24FD2" w14:textId="77777777" w:rsidR="00B2769D" w:rsidRDefault="006E567A" w:rsidP="008A3ECE">
      <w:pPr>
        <w:spacing w:line="312" w:lineRule="auto"/>
        <w:rPr>
          <w:rFonts w:ascii="Arial" w:hAnsi="Arial" w:cs="Arial"/>
        </w:rPr>
      </w:pPr>
      <w:r w:rsidRPr="0069728F">
        <w:rPr>
          <w:rFonts w:ascii="Arial" w:hAnsi="Arial" w:cs="Arial"/>
          <w:b/>
          <w:bCs/>
        </w:rPr>
        <w:t xml:space="preserve">Recommendation 7 – </w:t>
      </w:r>
      <w:r w:rsidRPr="0069728F">
        <w:rPr>
          <w:rFonts w:ascii="Arial" w:hAnsi="Arial" w:cs="Arial"/>
        </w:rPr>
        <w:t xml:space="preserve">The ADA </w:t>
      </w:r>
      <w:r w:rsidR="004B43AC">
        <w:rPr>
          <w:rFonts w:ascii="Arial" w:hAnsi="Arial" w:cs="Arial"/>
        </w:rPr>
        <w:t>must</w:t>
      </w:r>
      <w:r w:rsidRPr="0069728F">
        <w:rPr>
          <w:rFonts w:ascii="Arial" w:hAnsi="Arial" w:cs="Arial"/>
        </w:rPr>
        <w:t xml:space="preserve"> include provisions guaranteeing</w:t>
      </w:r>
      <w:r w:rsidR="002F3731">
        <w:rPr>
          <w:rFonts w:ascii="Arial" w:hAnsi="Arial" w:cs="Arial"/>
        </w:rPr>
        <w:t>:</w:t>
      </w:r>
    </w:p>
    <w:p w14:paraId="7B9AC547" w14:textId="7D739074" w:rsidR="00B2769D" w:rsidRDefault="00291A98" w:rsidP="008A3ECE">
      <w:pPr>
        <w:pStyle w:val="ListParagraph"/>
        <w:numPr>
          <w:ilvl w:val="0"/>
          <w:numId w:val="33"/>
        </w:numPr>
        <w:spacing w:line="312" w:lineRule="auto"/>
        <w:rPr>
          <w:rFonts w:cs="Arial"/>
        </w:rPr>
      </w:pPr>
      <w:r w:rsidRPr="00B2769D">
        <w:rPr>
          <w:rFonts w:cs="Arial"/>
        </w:rPr>
        <w:t xml:space="preserve">independent </w:t>
      </w:r>
      <w:r w:rsidR="006E567A" w:rsidRPr="00B2769D">
        <w:rPr>
          <w:rFonts w:cs="Arial"/>
        </w:rPr>
        <w:t xml:space="preserve">fully funded </w:t>
      </w:r>
      <w:r w:rsidR="00356562" w:rsidRPr="00B2769D">
        <w:rPr>
          <w:rFonts w:cs="Arial"/>
        </w:rPr>
        <w:t>decision</w:t>
      </w:r>
      <w:r w:rsidR="00B2769D">
        <w:rPr>
          <w:rFonts w:cs="Arial"/>
        </w:rPr>
        <w:t>-making</w:t>
      </w:r>
      <w:r w:rsidR="00356562" w:rsidRPr="00B2769D">
        <w:rPr>
          <w:rFonts w:cs="Arial"/>
        </w:rPr>
        <w:t xml:space="preserve"> support services including </w:t>
      </w:r>
      <w:r w:rsidR="006E567A" w:rsidRPr="00B2769D">
        <w:rPr>
          <w:rFonts w:cs="Arial"/>
        </w:rPr>
        <w:t>support</w:t>
      </w:r>
      <w:r w:rsidR="00B2769D">
        <w:rPr>
          <w:rFonts w:cs="Arial"/>
        </w:rPr>
        <w:t xml:space="preserve">ed </w:t>
      </w:r>
      <w:r w:rsidR="006E567A" w:rsidRPr="00B2769D">
        <w:rPr>
          <w:rFonts w:cs="Arial"/>
        </w:rPr>
        <w:t>decision-making</w:t>
      </w:r>
      <w:r w:rsidR="00356562" w:rsidRPr="00B2769D">
        <w:rPr>
          <w:rFonts w:cs="Arial"/>
        </w:rPr>
        <w:t xml:space="preserve"> </w:t>
      </w:r>
      <w:r w:rsidR="006E567A" w:rsidRPr="00B2769D">
        <w:rPr>
          <w:rFonts w:cs="Arial"/>
        </w:rPr>
        <w:t xml:space="preserve">for complainants </w:t>
      </w:r>
      <w:r w:rsidR="00D04032" w:rsidRPr="00B2769D">
        <w:rPr>
          <w:rFonts w:cs="Arial"/>
        </w:rPr>
        <w:t>where needed</w:t>
      </w:r>
    </w:p>
    <w:p w14:paraId="7C9895EB" w14:textId="0E4009CD" w:rsidR="00B2769D" w:rsidRDefault="0059640D" w:rsidP="008A3ECE">
      <w:pPr>
        <w:pStyle w:val="ListParagraph"/>
        <w:numPr>
          <w:ilvl w:val="0"/>
          <w:numId w:val="33"/>
        </w:numPr>
        <w:spacing w:line="312" w:lineRule="auto"/>
        <w:rPr>
          <w:rFonts w:cs="Arial"/>
        </w:rPr>
      </w:pPr>
      <w:r w:rsidRPr="00B2769D">
        <w:rPr>
          <w:rFonts w:cs="Arial"/>
        </w:rPr>
        <w:t>that decisions made through supported decision</w:t>
      </w:r>
      <w:r w:rsidR="00BF25C7" w:rsidRPr="00B2769D">
        <w:rPr>
          <w:rFonts w:cs="Arial"/>
        </w:rPr>
        <w:t>-</w:t>
      </w:r>
      <w:r w:rsidRPr="00B2769D">
        <w:rPr>
          <w:rFonts w:cs="Arial"/>
        </w:rPr>
        <w:t xml:space="preserve">making </w:t>
      </w:r>
      <w:r w:rsidR="009F6F4D" w:rsidRPr="00B2769D">
        <w:rPr>
          <w:rFonts w:cs="Arial"/>
        </w:rPr>
        <w:t xml:space="preserve">by the person requiring support </w:t>
      </w:r>
      <w:r w:rsidRPr="00B2769D">
        <w:rPr>
          <w:rFonts w:cs="Arial"/>
        </w:rPr>
        <w:t xml:space="preserve">are regarded </w:t>
      </w:r>
      <w:r w:rsidR="009F6F4D" w:rsidRPr="00B2769D">
        <w:rPr>
          <w:rFonts w:cs="Arial"/>
        </w:rPr>
        <w:t xml:space="preserve">at law </w:t>
      </w:r>
      <w:r w:rsidRPr="00B2769D">
        <w:rPr>
          <w:rFonts w:cs="Arial"/>
        </w:rPr>
        <w:t>as being those of the person requiring support</w:t>
      </w:r>
      <w:r w:rsidR="007C71D2">
        <w:rPr>
          <w:rFonts w:cs="Arial"/>
        </w:rPr>
        <w:t>;</w:t>
      </w:r>
      <w:r w:rsidR="00BF25C7" w:rsidRPr="00B2769D">
        <w:rPr>
          <w:rFonts w:cs="Arial"/>
        </w:rPr>
        <w:t xml:space="preserve"> and</w:t>
      </w:r>
    </w:p>
    <w:p w14:paraId="13F05998" w14:textId="47D6200E" w:rsidR="006E567A" w:rsidRPr="00B2769D" w:rsidRDefault="006E567A" w:rsidP="008A3ECE">
      <w:pPr>
        <w:pStyle w:val="ListParagraph"/>
        <w:numPr>
          <w:ilvl w:val="0"/>
          <w:numId w:val="33"/>
        </w:numPr>
        <w:spacing w:line="312" w:lineRule="auto"/>
        <w:rPr>
          <w:rFonts w:cs="Arial"/>
        </w:rPr>
      </w:pPr>
      <w:r w:rsidRPr="00B2769D">
        <w:rPr>
          <w:rFonts w:cs="Arial"/>
        </w:rPr>
        <w:t>that explanatory material</w:t>
      </w:r>
      <w:r w:rsidR="00584188" w:rsidRPr="00B2769D">
        <w:rPr>
          <w:rFonts w:cs="Arial"/>
        </w:rPr>
        <w:t>s</w:t>
      </w:r>
      <w:r w:rsidRPr="00B2769D">
        <w:rPr>
          <w:rFonts w:cs="Arial"/>
        </w:rPr>
        <w:t xml:space="preserve"> on the complaint process </w:t>
      </w:r>
      <w:r w:rsidR="00B01614" w:rsidRPr="00B2769D">
        <w:rPr>
          <w:rFonts w:cs="Arial"/>
        </w:rPr>
        <w:t xml:space="preserve">are </w:t>
      </w:r>
      <w:r w:rsidRPr="00B2769D">
        <w:rPr>
          <w:rFonts w:cs="Arial"/>
        </w:rPr>
        <w:t>made available in a variety of accessible formats, modalities and languages considering the diversity of disability.</w:t>
      </w:r>
    </w:p>
    <w:p w14:paraId="28E67FAB" w14:textId="25AA1E38" w:rsidR="00E33018" w:rsidRPr="0069728F" w:rsidRDefault="000301F8" w:rsidP="008A3ECE">
      <w:pPr>
        <w:spacing w:line="312" w:lineRule="auto"/>
        <w:rPr>
          <w:rFonts w:ascii="Arial" w:hAnsi="Arial" w:cs="Arial"/>
        </w:rPr>
      </w:pPr>
      <w:r w:rsidRPr="004D6C8A">
        <w:rPr>
          <w:rFonts w:ascii="Arial" w:hAnsi="Arial" w:cs="Arial"/>
          <w:b/>
          <w:bCs/>
        </w:rPr>
        <w:t>Recommendation 8</w:t>
      </w:r>
      <w:r>
        <w:rPr>
          <w:rFonts w:ascii="Arial" w:hAnsi="Arial" w:cs="Arial"/>
        </w:rPr>
        <w:t xml:space="preserve"> </w:t>
      </w:r>
      <w:r w:rsidR="00160105">
        <w:rPr>
          <w:rFonts w:ascii="Arial" w:hAnsi="Arial" w:cs="Arial"/>
        </w:rPr>
        <w:t>–</w:t>
      </w:r>
      <w:r>
        <w:rPr>
          <w:rFonts w:ascii="Arial" w:hAnsi="Arial" w:cs="Arial"/>
        </w:rPr>
        <w:t xml:space="preserve"> </w:t>
      </w:r>
      <w:r w:rsidR="00160105">
        <w:rPr>
          <w:rFonts w:ascii="Arial" w:hAnsi="Arial" w:cs="Arial"/>
        </w:rPr>
        <w:t xml:space="preserve">Legal Aid NSW and Community Legal Centres in NSW must be funded </w:t>
      </w:r>
      <w:r w:rsidR="00E26783">
        <w:rPr>
          <w:rFonts w:ascii="Arial" w:hAnsi="Arial" w:cs="Arial"/>
        </w:rPr>
        <w:t>so</w:t>
      </w:r>
      <w:r w:rsidR="00757009">
        <w:rPr>
          <w:rFonts w:ascii="Arial" w:hAnsi="Arial" w:cs="Arial"/>
        </w:rPr>
        <w:t xml:space="preserve"> that all </w:t>
      </w:r>
      <w:r w:rsidR="00E26783">
        <w:rPr>
          <w:rFonts w:ascii="Arial" w:hAnsi="Arial" w:cs="Arial"/>
        </w:rPr>
        <w:t>persons</w:t>
      </w:r>
      <w:r w:rsidR="00757009">
        <w:rPr>
          <w:rFonts w:ascii="Arial" w:hAnsi="Arial" w:cs="Arial"/>
        </w:rPr>
        <w:t xml:space="preserve"> experiencing discrimination can access assistance with </w:t>
      </w:r>
      <w:r w:rsidR="005865F2">
        <w:rPr>
          <w:rFonts w:ascii="Arial" w:hAnsi="Arial" w:cs="Arial"/>
        </w:rPr>
        <w:t>legal tasks</w:t>
      </w:r>
      <w:r w:rsidR="00757009">
        <w:rPr>
          <w:rFonts w:ascii="Arial" w:hAnsi="Arial" w:cs="Arial"/>
        </w:rPr>
        <w:t xml:space="preserve">, advice, and </w:t>
      </w:r>
      <w:r w:rsidR="00E26783">
        <w:rPr>
          <w:rFonts w:ascii="Arial" w:hAnsi="Arial" w:cs="Arial"/>
        </w:rPr>
        <w:t>critical representation when</w:t>
      </w:r>
      <w:r w:rsidR="00A6708C">
        <w:rPr>
          <w:rFonts w:ascii="Arial" w:hAnsi="Arial" w:cs="Arial"/>
        </w:rPr>
        <w:t xml:space="preserve"> seeking to make a complaint</w:t>
      </w:r>
      <w:r w:rsidR="007F0762">
        <w:rPr>
          <w:rFonts w:ascii="Arial" w:hAnsi="Arial" w:cs="Arial"/>
        </w:rPr>
        <w:t xml:space="preserve"> under the ADA</w:t>
      </w:r>
      <w:r w:rsidR="00A6708C">
        <w:rPr>
          <w:rFonts w:ascii="Arial" w:hAnsi="Arial" w:cs="Arial"/>
        </w:rPr>
        <w:t>.</w:t>
      </w:r>
      <w:r w:rsidR="00E26783">
        <w:rPr>
          <w:rFonts w:ascii="Arial" w:hAnsi="Arial" w:cs="Arial"/>
        </w:rPr>
        <w:t xml:space="preserve"> </w:t>
      </w:r>
    </w:p>
    <w:p w14:paraId="6EF8C5C9" w14:textId="08D25FE7" w:rsidR="00A72116" w:rsidRDefault="006E567A" w:rsidP="008A3ECE">
      <w:pPr>
        <w:pStyle w:val="BodyText"/>
        <w:spacing w:line="312" w:lineRule="auto"/>
      </w:pPr>
      <w:r w:rsidRPr="0069728F">
        <w:rPr>
          <w:b/>
          <w:bCs/>
        </w:rPr>
        <w:t xml:space="preserve">Recommendation </w:t>
      </w:r>
      <w:r w:rsidR="00422494">
        <w:rPr>
          <w:b/>
          <w:bCs/>
        </w:rPr>
        <w:t>9</w:t>
      </w:r>
      <w:r w:rsidRPr="0069728F">
        <w:rPr>
          <w:b/>
          <w:bCs/>
        </w:rPr>
        <w:t xml:space="preserve"> – </w:t>
      </w:r>
      <w:r w:rsidRPr="0069728F">
        <w:t xml:space="preserve">The powers of Anti-Discrimination NSW (or new body to administer the ADA) </w:t>
      </w:r>
      <w:r w:rsidR="007659C3">
        <w:t>must</w:t>
      </w:r>
      <w:r w:rsidRPr="0069728F">
        <w:t xml:space="preserve"> be reviewed with an emphasis on strengthening its ability to identify, investigate, and challenge systemic discrimination</w:t>
      </w:r>
      <w:r w:rsidR="007659C3">
        <w:t xml:space="preserve"> independently of receiving a complaint</w:t>
      </w:r>
      <w:r w:rsidRPr="0069728F">
        <w:t>. The body that administers the ADA must be provided with adequate funding to fully undertake its functions and meet the aims and objects of the new legislation</w:t>
      </w:r>
      <w:r w:rsidR="00A72116">
        <w:t xml:space="preserve"> </w:t>
      </w:r>
      <w:r w:rsidR="00422494">
        <w:t>including</w:t>
      </w:r>
      <w:r w:rsidR="00A72116">
        <w:t>:</w:t>
      </w:r>
    </w:p>
    <w:p w14:paraId="795F0731" w14:textId="77777777" w:rsidR="00A72116" w:rsidRDefault="00422494" w:rsidP="008A3ECE">
      <w:pPr>
        <w:pStyle w:val="BodyText"/>
        <w:numPr>
          <w:ilvl w:val="0"/>
          <w:numId w:val="32"/>
        </w:numPr>
        <w:spacing w:line="312" w:lineRule="auto"/>
      </w:pPr>
      <w:r>
        <w:t>an expand</w:t>
      </w:r>
      <w:r w:rsidR="00AD531D">
        <w:t>ed</w:t>
      </w:r>
      <w:r>
        <w:t xml:space="preserve"> </w:t>
      </w:r>
      <w:r w:rsidR="00AD531D">
        <w:t>rights awareness campaign</w:t>
      </w:r>
    </w:p>
    <w:p w14:paraId="4FE6C39C" w14:textId="4237C8A9" w:rsidR="00A72116" w:rsidRDefault="00291A98" w:rsidP="008A3ECE">
      <w:pPr>
        <w:pStyle w:val="BodyText"/>
        <w:numPr>
          <w:ilvl w:val="0"/>
          <w:numId w:val="32"/>
        </w:numPr>
        <w:spacing w:line="312" w:lineRule="auto"/>
      </w:pPr>
      <w:r>
        <w:t xml:space="preserve">the provision of </w:t>
      </w:r>
      <w:r w:rsidR="00A72116">
        <w:t>a range decision-making supports</w:t>
      </w:r>
      <w:r w:rsidR="007C71D2">
        <w:t>;</w:t>
      </w:r>
      <w:r w:rsidR="00F53460">
        <w:t xml:space="preserve"> and </w:t>
      </w:r>
    </w:p>
    <w:p w14:paraId="06A9E880" w14:textId="43F366B4" w:rsidR="006E567A" w:rsidRPr="0069728F" w:rsidRDefault="00F53460" w:rsidP="008A3ECE">
      <w:pPr>
        <w:pStyle w:val="BodyText"/>
        <w:numPr>
          <w:ilvl w:val="0"/>
          <w:numId w:val="32"/>
        </w:numPr>
        <w:spacing w:line="312" w:lineRule="auto"/>
      </w:pPr>
      <w:r>
        <w:t xml:space="preserve">expanding direct information and assistance services aimed at improving access to </w:t>
      </w:r>
      <w:r w:rsidR="000D25AD">
        <w:t>justice</w:t>
      </w:r>
      <w:r w:rsidR="00A72116">
        <w:t xml:space="preserve"> for people who wish to make a discrimination complaint.</w:t>
      </w:r>
    </w:p>
    <w:p w14:paraId="3F492688" w14:textId="3DF48789" w:rsidR="006E567A" w:rsidRDefault="006E567A" w:rsidP="008A3ECE">
      <w:pPr>
        <w:pStyle w:val="BodyText"/>
        <w:spacing w:line="312" w:lineRule="auto"/>
      </w:pPr>
      <w:r w:rsidRPr="0069728F">
        <w:rPr>
          <w:b/>
          <w:bCs/>
        </w:rPr>
        <w:t xml:space="preserve">Recommendation </w:t>
      </w:r>
      <w:r w:rsidR="00422494">
        <w:rPr>
          <w:b/>
          <w:bCs/>
        </w:rPr>
        <w:t>10</w:t>
      </w:r>
      <w:r w:rsidRPr="0069728F">
        <w:t xml:space="preserve"> – The nature of the powers, </w:t>
      </w:r>
      <w:r w:rsidR="00F53460" w:rsidRPr="0069728F">
        <w:t>functions,</w:t>
      </w:r>
      <w:r w:rsidRPr="0069728F">
        <w:t xml:space="preserve"> and budgetary requirements of Anti-Discrimination NSW (or the new body to administer the ADA) must be the basis for a future consultative process.</w:t>
      </w:r>
    </w:p>
    <w:p w14:paraId="5F101F1E" w14:textId="5A16C245" w:rsidR="008442E0" w:rsidRPr="008A3ECE" w:rsidRDefault="00CE0948" w:rsidP="008A3ECE">
      <w:pPr>
        <w:pStyle w:val="Heading1"/>
        <w:spacing w:after="240" w:line="312" w:lineRule="auto"/>
        <w:rPr>
          <w:sz w:val="52"/>
          <w:szCs w:val="52"/>
        </w:rPr>
      </w:pPr>
      <w:bookmarkStart w:id="86" w:name="_Toc146877521"/>
      <w:bookmarkEnd w:id="56"/>
      <w:bookmarkEnd w:id="59"/>
      <w:bookmarkEnd w:id="58"/>
      <w:bookmarkEnd w:id="79"/>
      <w:bookmarkEnd w:id="81"/>
      <w:bookmarkEnd w:id="82"/>
      <w:r w:rsidRPr="008A3ECE">
        <w:rPr>
          <w:sz w:val="52"/>
          <w:szCs w:val="52"/>
        </w:rPr>
        <w:lastRenderedPageBreak/>
        <w:t xml:space="preserve">Part </w:t>
      </w:r>
      <w:r w:rsidR="00940780" w:rsidRPr="008A3ECE">
        <w:rPr>
          <w:sz w:val="52"/>
          <w:szCs w:val="52"/>
        </w:rPr>
        <w:t>1 - Context</w:t>
      </w:r>
      <w:bookmarkEnd w:id="86"/>
      <w:r w:rsidR="00940780" w:rsidRPr="008A3ECE">
        <w:rPr>
          <w:sz w:val="52"/>
          <w:szCs w:val="52"/>
        </w:rPr>
        <w:t xml:space="preserve"> </w:t>
      </w:r>
    </w:p>
    <w:p w14:paraId="777A9A7F" w14:textId="3AD9BFCE" w:rsidR="00DE52C3" w:rsidRPr="00871656" w:rsidRDefault="001429DB" w:rsidP="008A3ECE">
      <w:pPr>
        <w:pStyle w:val="BodyText"/>
        <w:spacing w:line="312" w:lineRule="auto"/>
        <w:rPr>
          <w:rFonts w:asciiTheme="minorHAnsi" w:hAnsiTheme="minorHAnsi" w:cstheme="minorHAnsi"/>
        </w:rPr>
      </w:pPr>
      <w:r w:rsidRPr="00871656">
        <w:rPr>
          <w:rFonts w:asciiTheme="minorHAnsi" w:hAnsiTheme="minorHAnsi" w:cstheme="minorHAnsi"/>
        </w:rPr>
        <w:t xml:space="preserve">There are </w:t>
      </w:r>
      <w:r w:rsidR="00D72176" w:rsidRPr="00871656">
        <w:rPr>
          <w:rFonts w:asciiTheme="minorHAnsi" w:hAnsiTheme="minorHAnsi" w:cstheme="minorHAnsi"/>
        </w:rPr>
        <w:t xml:space="preserve">three </w:t>
      </w:r>
      <w:r w:rsidR="002162FA" w:rsidRPr="00871656">
        <w:rPr>
          <w:rFonts w:asciiTheme="minorHAnsi" w:hAnsiTheme="minorHAnsi" w:cstheme="minorHAnsi"/>
        </w:rPr>
        <w:t xml:space="preserve">interrelated </w:t>
      </w:r>
      <w:r w:rsidR="00D72176" w:rsidRPr="00871656">
        <w:rPr>
          <w:rFonts w:asciiTheme="minorHAnsi" w:hAnsiTheme="minorHAnsi" w:cstheme="minorHAnsi"/>
        </w:rPr>
        <w:t>contexts</w:t>
      </w:r>
      <w:r w:rsidRPr="00871656">
        <w:rPr>
          <w:rFonts w:asciiTheme="minorHAnsi" w:hAnsiTheme="minorHAnsi" w:cstheme="minorHAnsi"/>
        </w:rPr>
        <w:t xml:space="preserve"> providing the </w:t>
      </w:r>
      <w:r w:rsidR="00ED2778" w:rsidRPr="00871656">
        <w:rPr>
          <w:rFonts w:asciiTheme="minorHAnsi" w:hAnsiTheme="minorHAnsi" w:cstheme="minorHAnsi"/>
        </w:rPr>
        <w:t>conceptual foundation</w:t>
      </w:r>
      <w:r w:rsidRPr="00871656">
        <w:rPr>
          <w:rFonts w:asciiTheme="minorHAnsi" w:hAnsiTheme="minorHAnsi" w:cstheme="minorHAnsi"/>
        </w:rPr>
        <w:t xml:space="preserve"> for this submission</w:t>
      </w:r>
      <w:r w:rsidR="00DE52C3" w:rsidRPr="00871656">
        <w:rPr>
          <w:rFonts w:asciiTheme="minorHAnsi" w:hAnsiTheme="minorHAnsi" w:cstheme="minorHAnsi"/>
        </w:rPr>
        <w:t xml:space="preserve"> </w:t>
      </w:r>
      <w:r w:rsidRPr="00871656">
        <w:rPr>
          <w:rFonts w:asciiTheme="minorHAnsi" w:hAnsiTheme="minorHAnsi" w:cstheme="minorHAnsi"/>
        </w:rPr>
        <w:t xml:space="preserve">and </w:t>
      </w:r>
      <w:r w:rsidR="00ED2778" w:rsidRPr="00871656">
        <w:rPr>
          <w:rFonts w:asciiTheme="minorHAnsi" w:hAnsiTheme="minorHAnsi" w:cstheme="minorHAnsi"/>
        </w:rPr>
        <w:t xml:space="preserve">which </w:t>
      </w:r>
      <w:r w:rsidR="002162FA" w:rsidRPr="00871656">
        <w:rPr>
          <w:rFonts w:asciiTheme="minorHAnsi" w:hAnsiTheme="minorHAnsi" w:cstheme="minorHAnsi"/>
        </w:rPr>
        <w:t xml:space="preserve">should be considered </w:t>
      </w:r>
      <w:r w:rsidR="0085507A" w:rsidRPr="00871656">
        <w:rPr>
          <w:rFonts w:asciiTheme="minorHAnsi" w:hAnsiTheme="minorHAnsi" w:cstheme="minorHAnsi"/>
        </w:rPr>
        <w:t>when</w:t>
      </w:r>
      <w:r w:rsidR="00153092" w:rsidRPr="00871656">
        <w:rPr>
          <w:rFonts w:asciiTheme="minorHAnsi" w:hAnsiTheme="minorHAnsi" w:cstheme="minorHAnsi"/>
        </w:rPr>
        <w:t xml:space="preserve"> reviewing the </w:t>
      </w:r>
      <w:r w:rsidR="00ED2778" w:rsidRPr="00871656">
        <w:rPr>
          <w:rFonts w:asciiTheme="minorHAnsi" w:hAnsiTheme="minorHAnsi" w:cstheme="minorHAnsi"/>
        </w:rPr>
        <w:t>ADA</w:t>
      </w:r>
      <w:r w:rsidR="00153092" w:rsidRPr="00871656">
        <w:rPr>
          <w:rFonts w:asciiTheme="minorHAnsi" w:hAnsiTheme="minorHAnsi" w:cstheme="minorHAnsi"/>
        </w:rPr>
        <w:t xml:space="preserve">. </w:t>
      </w:r>
      <w:r w:rsidR="00ED2778" w:rsidRPr="00871656">
        <w:rPr>
          <w:rFonts w:asciiTheme="minorHAnsi" w:hAnsiTheme="minorHAnsi" w:cstheme="minorHAnsi"/>
        </w:rPr>
        <w:t>These are</w:t>
      </w:r>
      <w:r w:rsidR="00DE52C3" w:rsidRPr="00871656">
        <w:rPr>
          <w:rFonts w:asciiTheme="minorHAnsi" w:hAnsiTheme="minorHAnsi" w:cstheme="minorHAnsi"/>
        </w:rPr>
        <w:t>:</w:t>
      </w:r>
    </w:p>
    <w:p w14:paraId="68F38AB9" w14:textId="50949257" w:rsidR="00DE52C3" w:rsidRPr="00940780" w:rsidRDefault="00153092" w:rsidP="008A3ECE">
      <w:pPr>
        <w:pStyle w:val="BodyText"/>
        <w:numPr>
          <w:ilvl w:val="0"/>
          <w:numId w:val="23"/>
        </w:numPr>
        <w:spacing w:line="312" w:lineRule="auto"/>
        <w:rPr>
          <w:rFonts w:asciiTheme="minorHAnsi" w:hAnsiTheme="minorHAnsi" w:cstheme="minorHAnsi"/>
        </w:rPr>
      </w:pPr>
      <w:r w:rsidRPr="00940780">
        <w:rPr>
          <w:rFonts w:asciiTheme="minorHAnsi" w:hAnsiTheme="minorHAnsi" w:cstheme="minorHAnsi"/>
        </w:rPr>
        <w:t>human rights</w:t>
      </w:r>
    </w:p>
    <w:p w14:paraId="49B0D6C8" w14:textId="12FAC795" w:rsidR="00DE52C3" w:rsidRPr="00940780" w:rsidRDefault="00DE52C3" w:rsidP="008A3ECE">
      <w:pPr>
        <w:pStyle w:val="BodyText"/>
        <w:numPr>
          <w:ilvl w:val="0"/>
          <w:numId w:val="23"/>
        </w:numPr>
        <w:spacing w:line="312" w:lineRule="auto"/>
        <w:rPr>
          <w:rFonts w:asciiTheme="minorHAnsi" w:hAnsiTheme="minorHAnsi" w:cstheme="minorHAnsi"/>
        </w:rPr>
      </w:pPr>
      <w:r w:rsidRPr="00940780">
        <w:rPr>
          <w:rFonts w:asciiTheme="minorHAnsi" w:hAnsiTheme="minorHAnsi" w:cstheme="minorHAnsi"/>
        </w:rPr>
        <w:t>i</w:t>
      </w:r>
      <w:r w:rsidR="00911858" w:rsidRPr="00940780">
        <w:rPr>
          <w:rFonts w:asciiTheme="minorHAnsi" w:hAnsiTheme="minorHAnsi" w:cstheme="minorHAnsi"/>
        </w:rPr>
        <w:t>ntersectionality</w:t>
      </w:r>
      <w:r w:rsidR="007C71D2">
        <w:rPr>
          <w:rFonts w:asciiTheme="minorHAnsi" w:hAnsiTheme="minorHAnsi" w:cstheme="minorHAnsi"/>
        </w:rPr>
        <w:t>;</w:t>
      </w:r>
      <w:r w:rsidRPr="00940780">
        <w:rPr>
          <w:rFonts w:asciiTheme="minorHAnsi" w:hAnsiTheme="minorHAnsi" w:cstheme="minorHAnsi"/>
        </w:rPr>
        <w:t xml:space="preserve"> and</w:t>
      </w:r>
    </w:p>
    <w:p w14:paraId="2DA3AF24" w14:textId="4A3B07A7" w:rsidR="001429DB" w:rsidRPr="00940780" w:rsidRDefault="00894691" w:rsidP="008A3ECE">
      <w:pPr>
        <w:pStyle w:val="BodyText"/>
        <w:numPr>
          <w:ilvl w:val="0"/>
          <w:numId w:val="23"/>
        </w:numPr>
        <w:spacing w:line="312" w:lineRule="auto"/>
        <w:rPr>
          <w:rFonts w:asciiTheme="minorHAnsi" w:hAnsiTheme="minorHAnsi" w:cstheme="minorHAnsi"/>
        </w:rPr>
      </w:pPr>
      <w:r w:rsidRPr="00940780">
        <w:rPr>
          <w:rFonts w:asciiTheme="minorHAnsi" w:hAnsiTheme="minorHAnsi" w:cstheme="minorHAnsi"/>
        </w:rPr>
        <w:t>other legal and policy considerations such as Australia’s Disability Strategy 2021-2031.</w:t>
      </w:r>
    </w:p>
    <w:p w14:paraId="7ED2D017" w14:textId="2DFB9394" w:rsidR="008442E0" w:rsidRPr="004D6C8A" w:rsidRDefault="008442E0" w:rsidP="008A3ECE">
      <w:pPr>
        <w:pStyle w:val="Heading3"/>
        <w:spacing w:line="312" w:lineRule="auto"/>
        <w:rPr>
          <w:rFonts w:cstheme="minorHAnsi"/>
          <w:sz w:val="40"/>
          <w:szCs w:val="40"/>
        </w:rPr>
      </w:pPr>
      <w:bookmarkStart w:id="87" w:name="_Toc146877522"/>
      <w:r w:rsidRPr="004D6C8A">
        <w:rPr>
          <w:rFonts w:cstheme="minorHAnsi"/>
          <w:sz w:val="40"/>
          <w:szCs w:val="40"/>
        </w:rPr>
        <w:t>Human rights</w:t>
      </w:r>
      <w:bookmarkEnd w:id="87"/>
      <w:r w:rsidRPr="004D6C8A">
        <w:rPr>
          <w:rFonts w:cstheme="minorHAnsi"/>
          <w:sz w:val="40"/>
          <w:szCs w:val="40"/>
        </w:rPr>
        <w:t xml:space="preserve"> </w:t>
      </w:r>
    </w:p>
    <w:p w14:paraId="2A03E3DE" w14:textId="229F6909" w:rsidR="00DC3D0C" w:rsidRPr="00871656" w:rsidRDefault="00DC3D0C" w:rsidP="008A3ECE">
      <w:pPr>
        <w:pStyle w:val="Heading4"/>
        <w:spacing w:line="312" w:lineRule="auto"/>
        <w:rPr>
          <w:rFonts w:asciiTheme="minorHAnsi" w:eastAsia="Calibri" w:hAnsiTheme="minorHAnsi" w:cstheme="minorHAnsi"/>
        </w:rPr>
      </w:pPr>
      <w:r w:rsidRPr="00871656">
        <w:rPr>
          <w:rFonts w:asciiTheme="minorHAnsi" w:eastAsia="Calibri" w:hAnsiTheme="minorHAnsi" w:cstheme="minorHAnsi"/>
        </w:rPr>
        <w:t>Human Rights Framework</w:t>
      </w:r>
    </w:p>
    <w:p w14:paraId="14625773" w14:textId="47C638CD" w:rsidR="00A0675C" w:rsidRPr="00871656" w:rsidRDefault="00ED0953" w:rsidP="008A3ECE">
      <w:pPr>
        <w:pStyle w:val="BodyText"/>
        <w:spacing w:line="312" w:lineRule="auto"/>
        <w:rPr>
          <w:rFonts w:asciiTheme="minorHAnsi" w:eastAsia="Calibri" w:hAnsiTheme="minorHAnsi" w:cstheme="minorHAnsi"/>
          <w:color w:val="auto"/>
          <w:kern w:val="2"/>
          <w14:ligatures w14:val="standardContextual"/>
        </w:rPr>
      </w:pPr>
      <w:r w:rsidRPr="00871656">
        <w:rPr>
          <w:rFonts w:asciiTheme="minorHAnsi" w:eastAsia="Calibri" w:hAnsiTheme="minorHAnsi" w:cstheme="minorHAnsi"/>
          <w:color w:val="auto"/>
          <w:kern w:val="2"/>
          <w14:ligatures w14:val="standardContextual"/>
        </w:rPr>
        <w:t>This</w:t>
      </w:r>
      <w:r w:rsidR="008442E0" w:rsidRPr="00871656">
        <w:rPr>
          <w:rFonts w:asciiTheme="minorHAnsi" w:eastAsia="Calibri" w:hAnsiTheme="minorHAnsi" w:cstheme="minorHAnsi"/>
          <w:color w:val="auto"/>
          <w:kern w:val="2"/>
          <w14:ligatures w14:val="standardContextual"/>
        </w:rPr>
        <w:t xml:space="preserve"> submission is undertaken in the context of Australia’s current review of </w:t>
      </w:r>
      <w:r w:rsidR="00940780">
        <w:rPr>
          <w:rFonts w:asciiTheme="minorHAnsi" w:eastAsia="Calibri" w:hAnsiTheme="minorHAnsi" w:cstheme="minorHAnsi"/>
          <w:color w:val="auto"/>
          <w:kern w:val="2"/>
          <w14:ligatures w14:val="standardContextual"/>
        </w:rPr>
        <w:t>its</w:t>
      </w:r>
      <w:r w:rsidR="008442E0" w:rsidRPr="00871656">
        <w:rPr>
          <w:rFonts w:asciiTheme="minorHAnsi" w:eastAsia="Calibri" w:hAnsiTheme="minorHAnsi" w:cstheme="minorHAnsi"/>
          <w:color w:val="auto"/>
          <w:kern w:val="2"/>
          <w14:ligatures w14:val="standardContextual"/>
        </w:rPr>
        <w:t xml:space="preserve"> National Human Rights Framework</w:t>
      </w:r>
      <w:r w:rsidR="00421771" w:rsidRPr="00871656">
        <w:rPr>
          <w:rFonts w:asciiTheme="minorHAnsi" w:eastAsia="Calibri" w:hAnsiTheme="minorHAnsi" w:cstheme="minorHAnsi"/>
          <w:color w:val="auto"/>
          <w:kern w:val="2"/>
          <w14:ligatures w14:val="standardContextual"/>
        </w:rPr>
        <w:t xml:space="preserve"> (NHRF)</w:t>
      </w:r>
      <w:r w:rsidR="008442E0" w:rsidRPr="00871656">
        <w:rPr>
          <w:rFonts w:asciiTheme="minorHAnsi" w:eastAsia="Calibri" w:hAnsiTheme="minorHAnsi" w:cstheme="minorHAnsi"/>
          <w:color w:val="auto"/>
          <w:kern w:val="2"/>
          <w14:ligatures w14:val="standardContextual"/>
        </w:rPr>
        <w:t>.</w:t>
      </w:r>
      <w:r w:rsidR="008442E0" w:rsidRPr="00871656">
        <w:rPr>
          <w:rStyle w:val="FootnoteReference"/>
          <w:rFonts w:asciiTheme="minorHAnsi" w:eastAsia="Calibri" w:hAnsiTheme="minorHAnsi" w:cstheme="minorHAnsi"/>
          <w:color w:val="auto"/>
          <w:kern w:val="2"/>
          <w14:ligatures w14:val="standardContextual"/>
        </w:rPr>
        <w:footnoteReference w:id="16"/>
      </w:r>
      <w:r w:rsidR="008442E0" w:rsidRPr="00871656">
        <w:rPr>
          <w:rFonts w:asciiTheme="minorHAnsi" w:eastAsia="Calibri" w:hAnsiTheme="minorHAnsi" w:cstheme="minorHAnsi"/>
          <w:color w:val="auto"/>
          <w:kern w:val="2"/>
          <w14:ligatures w14:val="standardContextual"/>
        </w:rPr>
        <w:t xml:space="preserve"> </w:t>
      </w:r>
      <w:r w:rsidR="007F7134" w:rsidRPr="00871656">
        <w:rPr>
          <w:rFonts w:asciiTheme="minorHAnsi" w:eastAsia="Calibri" w:hAnsiTheme="minorHAnsi" w:cstheme="minorHAnsi"/>
          <w:color w:val="auto"/>
          <w:kern w:val="2"/>
          <w14:ligatures w14:val="standardContextual"/>
        </w:rPr>
        <w:t>PWDA</w:t>
      </w:r>
      <w:r w:rsidR="00D315C4" w:rsidRPr="00871656">
        <w:rPr>
          <w:rFonts w:asciiTheme="minorHAnsi" w:eastAsia="Calibri" w:hAnsiTheme="minorHAnsi" w:cstheme="minorHAnsi"/>
          <w:color w:val="auto"/>
          <w:kern w:val="2"/>
          <w14:ligatures w14:val="standardContextual"/>
        </w:rPr>
        <w:t xml:space="preserve"> agrees with</w:t>
      </w:r>
      <w:r w:rsidR="007F7134" w:rsidRPr="00871656">
        <w:rPr>
          <w:rFonts w:asciiTheme="minorHAnsi" w:eastAsia="Calibri" w:hAnsiTheme="minorHAnsi" w:cstheme="minorHAnsi"/>
          <w:color w:val="auto"/>
          <w:kern w:val="2"/>
          <w14:ligatures w14:val="standardContextual"/>
        </w:rPr>
        <w:t xml:space="preserve"> </w:t>
      </w:r>
      <w:r w:rsidR="00421771" w:rsidRPr="00871656">
        <w:rPr>
          <w:rFonts w:asciiTheme="minorHAnsi" w:eastAsia="Calibri" w:hAnsiTheme="minorHAnsi" w:cstheme="minorHAnsi"/>
          <w:color w:val="auto"/>
          <w:kern w:val="2"/>
          <w14:ligatures w14:val="standardContextual"/>
        </w:rPr>
        <w:t xml:space="preserve">the </w:t>
      </w:r>
      <w:r w:rsidR="0065590F" w:rsidRPr="00871656">
        <w:rPr>
          <w:rFonts w:asciiTheme="minorHAnsi" w:eastAsia="Calibri" w:hAnsiTheme="minorHAnsi" w:cstheme="minorHAnsi"/>
          <w:color w:val="auto"/>
          <w:kern w:val="2"/>
          <w14:ligatures w14:val="standardContextual"/>
        </w:rPr>
        <w:t>Australian Human Rights Commission</w:t>
      </w:r>
      <w:r w:rsidR="00940780">
        <w:rPr>
          <w:rFonts w:asciiTheme="minorHAnsi" w:eastAsia="Calibri" w:hAnsiTheme="minorHAnsi" w:cstheme="minorHAnsi"/>
          <w:color w:val="auto"/>
          <w:kern w:val="2"/>
          <w14:ligatures w14:val="standardContextual"/>
        </w:rPr>
        <w:t>’s</w:t>
      </w:r>
      <w:r w:rsidR="0065590F" w:rsidRPr="00871656">
        <w:rPr>
          <w:rFonts w:asciiTheme="minorHAnsi" w:eastAsia="Calibri" w:hAnsiTheme="minorHAnsi" w:cstheme="minorHAnsi"/>
          <w:color w:val="auto"/>
          <w:kern w:val="2"/>
          <w14:ligatures w14:val="standardContextual"/>
        </w:rPr>
        <w:t xml:space="preserve"> </w:t>
      </w:r>
      <w:r w:rsidR="00AC1C15" w:rsidRPr="00871656">
        <w:rPr>
          <w:rFonts w:asciiTheme="minorHAnsi" w:eastAsia="Calibri" w:hAnsiTheme="minorHAnsi" w:cstheme="minorHAnsi"/>
          <w:color w:val="auto"/>
          <w:kern w:val="2"/>
          <w14:ligatures w14:val="standardContextual"/>
        </w:rPr>
        <w:t xml:space="preserve">(AHRC) </w:t>
      </w:r>
      <w:r w:rsidR="00F00544" w:rsidRPr="00871656">
        <w:rPr>
          <w:rFonts w:asciiTheme="minorHAnsi" w:eastAsia="Calibri" w:hAnsiTheme="minorHAnsi" w:cstheme="minorHAnsi"/>
          <w:color w:val="auto"/>
          <w:kern w:val="2"/>
          <w14:ligatures w14:val="standardContextual"/>
        </w:rPr>
        <w:t xml:space="preserve">vision on how this framework </w:t>
      </w:r>
      <w:r w:rsidR="00940780">
        <w:rPr>
          <w:rFonts w:asciiTheme="minorHAnsi" w:eastAsia="Calibri" w:hAnsiTheme="minorHAnsi" w:cstheme="minorHAnsi"/>
          <w:color w:val="auto"/>
          <w:kern w:val="2"/>
          <w14:ligatures w14:val="standardContextual"/>
        </w:rPr>
        <w:t>should l</w:t>
      </w:r>
      <w:r w:rsidR="00F00544" w:rsidRPr="00871656">
        <w:rPr>
          <w:rFonts w:asciiTheme="minorHAnsi" w:eastAsia="Calibri" w:hAnsiTheme="minorHAnsi" w:cstheme="minorHAnsi"/>
          <w:color w:val="auto"/>
          <w:kern w:val="2"/>
          <w14:ligatures w14:val="standardContextual"/>
        </w:rPr>
        <w:t>o</w:t>
      </w:r>
      <w:r w:rsidR="00585B55" w:rsidRPr="00871656">
        <w:rPr>
          <w:rFonts w:asciiTheme="minorHAnsi" w:eastAsia="Calibri" w:hAnsiTheme="minorHAnsi" w:cstheme="minorHAnsi"/>
          <w:color w:val="auto"/>
          <w:kern w:val="2"/>
          <w14:ligatures w14:val="standardContextual"/>
        </w:rPr>
        <w:t>ok</w:t>
      </w:r>
      <w:r w:rsidR="00AC1C15" w:rsidRPr="00871656">
        <w:rPr>
          <w:rFonts w:asciiTheme="minorHAnsi" w:eastAsia="Calibri" w:hAnsiTheme="minorHAnsi" w:cstheme="minorHAnsi"/>
          <w:color w:val="auto"/>
          <w:kern w:val="2"/>
          <w14:ligatures w14:val="standardContextual"/>
        </w:rPr>
        <w:t>.</w:t>
      </w:r>
      <w:r w:rsidR="00AC1C15" w:rsidRPr="00871656">
        <w:rPr>
          <w:rStyle w:val="FootnoteReference"/>
          <w:rFonts w:asciiTheme="minorHAnsi" w:eastAsia="Calibri" w:hAnsiTheme="minorHAnsi" w:cstheme="minorHAnsi"/>
          <w:color w:val="auto"/>
          <w:kern w:val="2"/>
          <w14:ligatures w14:val="standardContextual"/>
        </w:rPr>
        <w:footnoteReference w:id="17"/>
      </w:r>
      <w:r w:rsidR="005F465E" w:rsidRPr="00871656">
        <w:rPr>
          <w:rFonts w:asciiTheme="minorHAnsi" w:eastAsia="Calibri" w:hAnsiTheme="minorHAnsi" w:cstheme="minorHAnsi"/>
          <w:color w:val="auto"/>
          <w:kern w:val="2"/>
          <w14:ligatures w14:val="standardContextual"/>
        </w:rPr>
        <w:t xml:space="preserve"> </w:t>
      </w:r>
      <w:r w:rsidR="004663F8" w:rsidRPr="00871656">
        <w:rPr>
          <w:rFonts w:asciiTheme="minorHAnsi" w:eastAsia="Calibri" w:hAnsiTheme="minorHAnsi" w:cstheme="minorHAnsi"/>
          <w:color w:val="auto"/>
          <w:kern w:val="2"/>
          <w14:ligatures w14:val="standardContextual"/>
        </w:rPr>
        <w:t xml:space="preserve">A key foundation of </w:t>
      </w:r>
      <w:r w:rsidR="00421771" w:rsidRPr="00871656">
        <w:rPr>
          <w:rFonts w:asciiTheme="minorHAnsi" w:eastAsia="Calibri" w:hAnsiTheme="minorHAnsi" w:cstheme="minorHAnsi"/>
          <w:color w:val="auto"/>
          <w:kern w:val="2"/>
          <w14:ligatures w14:val="standardContextual"/>
        </w:rPr>
        <w:t xml:space="preserve">the </w:t>
      </w:r>
      <w:r w:rsidR="00585B55" w:rsidRPr="00871656">
        <w:rPr>
          <w:rFonts w:asciiTheme="minorHAnsi" w:eastAsia="Calibri" w:hAnsiTheme="minorHAnsi" w:cstheme="minorHAnsi"/>
          <w:color w:val="auto"/>
          <w:kern w:val="2"/>
          <w14:ligatures w14:val="standardContextual"/>
        </w:rPr>
        <w:t xml:space="preserve">AHRC </w:t>
      </w:r>
      <w:r w:rsidR="00B834EF" w:rsidRPr="00871656">
        <w:rPr>
          <w:rFonts w:asciiTheme="minorHAnsi" w:eastAsia="Calibri" w:hAnsiTheme="minorHAnsi" w:cstheme="minorHAnsi"/>
          <w:color w:val="auto"/>
          <w:kern w:val="2"/>
          <w14:ligatures w14:val="standardContextual"/>
        </w:rPr>
        <w:t>framework</w:t>
      </w:r>
      <w:r w:rsidR="004663F8" w:rsidRPr="00871656">
        <w:rPr>
          <w:rFonts w:asciiTheme="minorHAnsi" w:eastAsia="Calibri" w:hAnsiTheme="minorHAnsi" w:cstheme="minorHAnsi"/>
          <w:color w:val="auto"/>
          <w:kern w:val="2"/>
          <w14:ligatures w14:val="standardContextual"/>
        </w:rPr>
        <w:t xml:space="preserve"> is </w:t>
      </w:r>
      <w:r w:rsidR="00BA1A2F" w:rsidRPr="00871656">
        <w:rPr>
          <w:rFonts w:asciiTheme="minorHAnsi" w:eastAsia="Calibri" w:hAnsiTheme="minorHAnsi" w:cstheme="minorHAnsi"/>
          <w:color w:val="auto"/>
          <w:kern w:val="2"/>
          <w14:ligatures w14:val="standardContextual"/>
        </w:rPr>
        <w:t xml:space="preserve">enhanced </w:t>
      </w:r>
      <w:r w:rsidR="00833972" w:rsidRPr="00871656">
        <w:rPr>
          <w:rFonts w:asciiTheme="minorHAnsi" w:eastAsia="Calibri" w:hAnsiTheme="minorHAnsi" w:cstheme="minorHAnsi"/>
          <w:color w:val="auto"/>
          <w:kern w:val="2"/>
          <w14:ligatures w14:val="standardContextual"/>
        </w:rPr>
        <w:t>human rights</w:t>
      </w:r>
      <w:r w:rsidR="00B834EF" w:rsidRPr="00871656">
        <w:rPr>
          <w:rFonts w:asciiTheme="minorHAnsi" w:eastAsia="Calibri" w:hAnsiTheme="minorHAnsi" w:cstheme="minorHAnsi"/>
          <w:color w:val="auto"/>
          <w:kern w:val="2"/>
          <w14:ligatures w14:val="standardContextual"/>
        </w:rPr>
        <w:t xml:space="preserve"> education</w:t>
      </w:r>
      <w:r w:rsidR="00DC3D0C" w:rsidRPr="00871656">
        <w:rPr>
          <w:rFonts w:asciiTheme="minorHAnsi" w:eastAsia="Calibri" w:hAnsiTheme="minorHAnsi" w:cstheme="minorHAnsi"/>
          <w:color w:val="auto"/>
          <w:kern w:val="2"/>
          <w14:ligatures w14:val="standardContextual"/>
        </w:rPr>
        <w:t xml:space="preserve"> </w:t>
      </w:r>
      <w:r w:rsidR="00BA1A2F" w:rsidRPr="00871656">
        <w:rPr>
          <w:rFonts w:asciiTheme="minorHAnsi" w:eastAsia="Calibri" w:hAnsiTheme="minorHAnsi" w:cstheme="minorHAnsi"/>
          <w:color w:val="auto"/>
          <w:kern w:val="2"/>
          <w14:ligatures w14:val="standardContextual"/>
        </w:rPr>
        <w:t xml:space="preserve">throughout the community, </w:t>
      </w:r>
      <w:r w:rsidR="00DC3D0C" w:rsidRPr="00871656">
        <w:rPr>
          <w:rFonts w:asciiTheme="minorHAnsi" w:eastAsia="Calibri" w:hAnsiTheme="minorHAnsi" w:cstheme="minorHAnsi"/>
          <w:color w:val="auto"/>
          <w:kern w:val="2"/>
          <w14:ligatures w14:val="standardContextual"/>
        </w:rPr>
        <w:t>and positive duties</w:t>
      </w:r>
      <w:r w:rsidR="00F855AC" w:rsidRPr="00871656">
        <w:rPr>
          <w:rFonts w:asciiTheme="minorHAnsi" w:eastAsia="Calibri" w:hAnsiTheme="minorHAnsi" w:cstheme="minorHAnsi"/>
          <w:color w:val="auto"/>
          <w:kern w:val="2"/>
          <w14:ligatures w14:val="standardContextual"/>
        </w:rPr>
        <w:t xml:space="preserve"> including on public </w:t>
      </w:r>
      <w:r w:rsidR="00AD00CF" w:rsidRPr="00871656">
        <w:rPr>
          <w:rFonts w:asciiTheme="minorHAnsi" w:eastAsia="Calibri" w:hAnsiTheme="minorHAnsi" w:cstheme="minorHAnsi"/>
          <w:color w:val="auto"/>
          <w:kern w:val="2"/>
          <w14:ligatures w14:val="standardContextual"/>
        </w:rPr>
        <w:t>authorities</w:t>
      </w:r>
      <w:r w:rsidR="00E27B5F" w:rsidRPr="00871656">
        <w:rPr>
          <w:rFonts w:asciiTheme="minorHAnsi" w:eastAsia="Calibri" w:hAnsiTheme="minorHAnsi" w:cstheme="minorHAnsi"/>
          <w:color w:val="auto"/>
          <w:kern w:val="2"/>
          <w14:ligatures w14:val="standardContextual"/>
        </w:rPr>
        <w:t xml:space="preserve"> to act and make decisions that are compatible with </w:t>
      </w:r>
      <w:r w:rsidR="00AD00CF" w:rsidRPr="00871656">
        <w:rPr>
          <w:rFonts w:asciiTheme="minorHAnsi" w:eastAsia="Calibri" w:hAnsiTheme="minorHAnsi" w:cstheme="minorHAnsi"/>
          <w:color w:val="auto"/>
          <w:kern w:val="2"/>
          <w14:ligatures w14:val="standardContextual"/>
        </w:rPr>
        <w:t>human</w:t>
      </w:r>
      <w:r w:rsidR="00E27B5F" w:rsidRPr="00871656">
        <w:rPr>
          <w:rFonts w:asciiTheme="minorHAnsi" w:eastAsia="Calibri" w:hAnsiTheme="minorHAnsi" w:cstheme="minorHAnsi"/>
          <w:color w:val="auto"/>
          <w:kern w:val="2"/>
          <w14:ligatures w14:val="standardContextual"/>
        </w:rPr>
        <w:t xml:space="preserve"> rights</w:t>
      </w:r>
      <w:r w:rsidR="00F855AC" w:rsidRPr="00871656">
        <w:rPr>
          <w:rFonts w:asciiTheme="minorHAnsi" w:eastAsia="Calibri" w:hAnsiTheme="minorHAnsi" w:cstheme="minorHAnsi"/>
          <w:color w:val="auto"/>
          <w:kern w:val="2"/>
          <w14:ligatures w14:val="standardContextual"/>
        </w:rPr>
        <w:t>.</w:t>
      </w:r>
      <w:r w:rsidR="00833972" w:rsidRPr="00871656">
        <w:rPr>
          <w:rFonts w:asciiTheme="minorHAnsi" w:eastAsia="Calibri" w:hAnsiTheme="minorHAnsi" w:cstheme="minorHAnsi"/>
          <w:color w:val="auto"/>
          <w:kern w:val="2"/>
          <w14:ligatures w14:val="standardContextual"/>
        </w:rPr>
        <w:t xml:space="preserve"> </w:t>
      </w:r>
    </w:p>
    <w:p w14:paraId="41AE09E9" w14:textId="5DE5DF3D" w:rsidR="00BC5899" w:rsidRPr="00871656" w:rsidRDefault="00770B4F" w:rsidP="008A3ECE">
      <w:pPr>
        <w:pStyle w:val="BodyText"/>
        <w:spacing w:line="312" w:lineRule="auto"/>
        <w:rPr>
          <w:rFonts w:asciiTheme="minorHAnsi" w:eastAsia="Calibri" w:hAnsiTheme="minorHAnsi" w:cstheme="minorHAnsi"/>
          <w:color w:val="auto"/>
          <w:kern w:val="2"/>
          <w14:ligatures w14:val="standardContextual"/>
        </w:rPr>
      </w:pPr>
      <w:r w:rsidRPr="00871656">
        <w:rPr>
          <w:rFonts w:asciiTheme="minorHAnsi" w:eastAsia="Calibri" w:hAnsiTheme="minorHAnsi" w:cstheme="minorHAnsi"/>
          <w:color w:val="auto"/>
          <w:kern w:val="2"/>
          <w14:ligatures w14:val="standardContextual"/>
        </w:rPr>
        <w:t xml:space="preserve">The </w:t>
      </w:r>
      <w:r w:rsidR="00F25AAD" w:rsidRPr="00871656">
        <w:rPr>
          <w:rFonts w:asciiTheme="minorHAnsi" w:eastAsia="Calibri" w:hAnsiTheme="minorHAnsi" w:cstheme="minorHAnsi"/>
          <w:color w:val="auto"/>
          <w:kern w:val="2"/>
          <w14:ligatures w14:val="standardContextual"/>
        </w:rPr>
        <w:t xml:space="preserve">President of the AHRC </w:t>
      </w:r>
      <w:r w:rsidR="00C04E8D" w:rsidRPr="00871656">
        <w:rPr>
          <w:rFonts w:asciiTheme="minorHAnsi" w:eastAsia="Calibri" w:hAnsiTheme="minorHAnsi" w:cstheme="minorHAnsi"/>
          <w:color w:val="auto"/>
          <w:kern w:val="2"/>
          <w14:ligatures w14:val="standardContextual"/>
        </w:rPr>
        <w:t>recently stated that:</w:t>
      </w:r>
      <w:r w:rsidR="00F25AAD" w:rsidRPr="00871656">
        <w:rPr>
          <w:rFonts w:asciiTheme="minorHAnsi" w:eastAsia="Calibri" w:hAnsiTheme="minorHAnsi" w:cstheme="minorHAnsi"/>
          <w:color w:val="auto"/>
          <w:kern w:val="2"/>
          <w14:ligatures w14:val="standardContextual"/>
        </w:rPr>
        <w:t xml:space="preserve"> </w:t>
      </w:r>
    </w:p>
    <w:p w14:paraId="38B579C9" w14:textId="6F6A84D7" w:rsidR="00911858" w:rsidRPr="00940780" w:rsidRDefault="002B5FC2" w:rsidP="008A3ECE">
      <w:pPr>
        <w:pStyle w:val="BodyText"/>
        <w:spacing w:line="312" w:lineRule="auto"/>
        <w:ind w:left="720"/>
        <w:rPr>
          <w:rFonts w:asciiTheme="minorHAnsi" w:eastAsia="Calibri" w:hAnsiTheme="minorHAnsi" w:cstheme="minorHAnsi"/>
          <w:i/>
          <w:iCs/>
          <w:color w:val="auto"/>
          <w:kern w:val="2"/>
          <w14:ligatures w14:val="standardContextual"/>
        </w:rPr>
      </w:pPr>
      <w:r w:rsidRPr="00940780">
        <w:rPr>
          <w:rFonts w:asciiTheme="minorHAnsi" w:eastAsia="Calibri" w:hAnsiTheme="minorHAnsi" w:cstheme="minorHAnsi"/>
          <w:i/>
          <w:iCs/>
          <w:color w:val="auto"/>
          <w:kern w:val="2"/>
          <w14:ligatures w14:val="standardContextual"/>
        </w:rPr>
        <w:t>The primary benefit of the National Human Rights Framework is that it will f</w:t>
      </w:r>
      <w:r w:rsidR="00B06968" w:rsidRPr="00940780">
        <w:rPr>
          <w:rFonts w:asciiTheme="minorHAnsi" w:eastAsia="Calibri" w:hAnsiTheme="minorHAnsi" w:cstheme="minorHAnsi"/>
          <w:i/>
          <w:iCs/>
          <w:color w:val="auto"/>
          <w:kern w:val="2"/>
          <w14:ligatures w14:val="standardContextual"/>
        </w:rPr>
        <w:t>oster a culture of respect for human right</w:t>
      </w:r>
      <w:r w:rsidR="00421771" w:rsidRPr="00940780">
        <w:rPr>
          <w:rFonts w:asciiTheme="minorHAnsi" w:eastAsia="Calibri" w:hAnsiTheme="minorHAnsi" w:cstheme="minorHAnsi"/>
          <w:i/>
          <w:iCs/>
          <w:color w:val="auto"/>
          <w:kern w:val="2"/>
          <w14:ligatures w14:val="standardContextual"/>
        </w:rPr>
        <w:t>s</w:t>
      </w:r>
      <w:r w:rsidR="00B06968" w:rsidRPr="00940780">
        <w:rPr>
          <w:rFonts w:asciiTheme="minorHAnsi" w:eastAsia="Calibri" w:hAnsiTheme="minorHAnsi" w:cstheme="minorHAnsi"/>
          <w:i/>
          <w:iCs/>
          <w:color w:val="auto"/>
          <w:kern w:val="2"/>
          <w14:ligatures w14:val="standardContextual"/>
        </w:rPr>
        <w:t xml:space="preserve"> throughout the whole of government and across the country</w:t>
      </w:r>
      <w:r w:rsidR="007B6C12" w:rsidRPr="00940780">
        <w:rPr>
          <w:rFonts w:asciiTheme="minorHAnsi" w:eastAsia="Calibri" w:hAnsiTheme="minorHAnsi" w:cstheme="minorHAnsi"/>
          <w:i/>
          <w:iCs/>
          <w:color w:val="auto"/>
          <w:kern w:val="2"/>
          <w14:ligatures w14:val="standardContextual"/>
        </w:rPr>
        <w:t>.</w:t>
      </w:r>
      <w:r w:rsidR="00BC5899" w:rsidRPr="00940780">
        <w:rPr>
          <w:rFonts w:asciiTheme="minorHAnsi" w:eastAsia="Calibri" w:hAnsiTheme="minorHAnsi" w:cstheme="minorHAnsi"/>
          <w:i/>
          <w:iCs/>
          <w:color w:val="auto"/>
          <w:kern w:val="2"/>
          <w14:ligatures w14:val="standardContextual"/>
        </w:rPr>
        <w:t xml:space="preserve"> It would likely contribute to a better understanding and awareness of Australia’s human rights obligations, increasing acceptance of them, and provide greater prominence to human rights through the demonstration of political will by </w:t>
      </w:r>
      <w:r w:rsidR="00BC5899" w:rsidRPr="00940780">
        <w:rPr>
          <w:rFonts w:asciiTheme="minorHAnsi" w:eastAsia="Calibri" w:hAnsiTheme="minorHAnsi" w:cstheme="minorHAnsi"/>
          <w:i/>
          <w:iCs/>
          <w:color w:val="auto"/>
          <w:kern w:val="2"/>
          <w14:ligatures w14:val="standardContextual"/>
        </w:rPr>
        <w:lastRenderedPageBreak/>
        <w:t>the Government and Parliament. It would provide the foundation for, and enhance, ‘rights-mindedness’ in policy, law and decision making.</w:t>
      </w:r>
      <w:r w:rsidR="00C04E8D" w:rsidRPr="00940780">
        <w:rPr>
          <w:rStyle w:val="FootnoteReference"/>
          <w:rFonts w:asciiTheme="minorHAnsi" w:eastAsia="Calibri" w:hAnsiTheme="minorHAnsi" w:cstheme="minorHAnsi"/>
          <w:color w:val="auto"/>
          <w:kern w:val="2"/>
          <w14:ligatures w14:val="standardContextual"/>
        </w:rPr>
        <w:footnoteReference w:id="18"/>
      </w:r>
    </w:p>
    <w:p w14:paraId="064B0D84" w14:textId="3607B46D" w:rsidR="00A0675C" w:rsidRPr="00871656" w:rsidRDefault="00397DA9" w:rsidP="008A3ECE">
      <w:pPr>
        <w:pStyle w:val="BodyText"/>
        <w:spacing w:line="312" w:lineRule="auto"/>
        <w:rPr>
          <w:rFonts w:asciiTheme="minorHAnsi" w:eastAsia="Calibri" w:hAnsiTheme="minorHAnsi" w:cstheme="minorHAnsi"/>
          <w:color w:val="auto"/>
          <w:kern w:val="2"/>
          <w14:ligatures w14:val="standardContextual"/>
        </w:rPr>
      </w:pPr>
      <w:r w:rsidRPr="00871656">
        <w:rPr>
          <w:rFonts w:asciiTheme="minorHAnsi" w:eastAsia="Calibri" w:hAnsiTheme="minorHAnsi" w:cstheme="minorHAnsi"/>
          <w:color w:val="auto"/>
          <w:kern w:val="2"/>
          <w14:ligatures w14:val="standardContextual"/>
        </w:rPr>
        <w:t xml:space="preserve">PWDA believes that </w:t>
      </w:r>
      <w:r w:rsidR="0085507A" w:rsidRPr="00871656">
        <w:rPr>
          <w:rFonts w:asciiTheme="minorHAnsi" w:eastAsia="Calibri" w:hAnsiTheme="minorHAnsi" w:cstheme="minorHAnsi"/>
          <w:color w:val="auto"/>
          <w:kern w:val="2"/>
          <w14:ligatures w14:val="standardContextual"/>
        </w:rPr>
        <w:t xml:space="preserve">fostering </w:t>
      </w:r>
      <w:r w:rsidR="00871656" w:rsidRPr="00871656">
        <w:rPr>
          <w:rFonts w:asciiTheme="minorHAnsi" w:eastAsia="Calibri" w:hAnsiTheme="minorHAnsi" w:cstheme="minorHAnsi"/>
          <w:color w:val="auto"/>
          <w:kern w:val="2"/>
          <w14:ligatures w14:val="standardContextual"/>
        </w:rPr>
        <w:t xml:space="preserve">such </w:t>
      </w:r>
      <w:r w:rsidR="0051585A" w:rsidRPr="00871656">
        <w:rPr>
          <w:rFonts w:asciiTheme="minorHAnsi" w:eastAsia="Calibri" w:hAnsiTheme="minorHAnsi" w:cstheme="minorHAnsi"/>
          <w:color w:val="auto"/>
          <w:kern w:val="2"/>
          <w14:ligatures w14:val="standardContextual"/>
        </w:rPr>
        <w:t>‘</w:t>
      </w:r>
      <w:r w:rsidR="0085507A" w:rsidRPr="00871656">
        <w:rPr>
          <w:rFonts w:asciiTheme="minorHAnsi" w:eastAsia="Calibri" w:hAnsiTheme="minorHAnsi" w:cstheme="minorHAnsi"/>
          <w:color w:val="auto"/>
          <w:kern w:val="2"/>
          <w14:ligatures w14:val="standardContextual"/>
        </w:rPr>
        <w:t xml:space="preserve">a culture of respect for human rights throughout the whole of </w:t>
      </w:r>
      <w:r w:rsidR="00A0675C" w:rsidRPr="00871656">
        <w:rPr>
          <w:rFonts w:asciiTheme="minorHAnsi" w:eastAsia="Calibri" w:hAnsiTheme="minorHAnsi" w:cstheme="minorHAnsi"/>
          <w:color w:val="auto"/>
          <w:kern w:val="2"/>
          <w14:ligatures w14:val="standardContextual"/>
        </w:rPr>
        <w:t>G</w:t>
      </w:r>
      <w:r w:rsidR="0085507A" w:rsidRPr="00871656">
        <w:rPr>
          <w:rFonts w:asciiTheme="minorHAnsi" w:eastAsia="Calibri" w:hAnsiTheme="minorHAnsi" w:cstheme="minorHAnsi"/>
          <w:color w:val="auto"/>
          <w:kern w:val="2"/>
          <w14:ligatures w14:val="standardContextual"/>
        </w:rPr>
        <w:t>overnment and across the country</w:t>
      </w:r>
      <w:r w:rsidR="0051585A" w:rsidRPr="00871656">
        <w:rPr>
          <w:rFonts w:asciiTheme="minorHAnsi" w:eastAsia="Calibri" w:hAnsiTheme="minorHAnsi" w:cstheme="minorHAnsi"/>
          <w:color w:val="auto"/>
          <w:kern w:val="2"/>
          <w14:ligatures w14:val="standardContextual"/>
        </w:rPr>
        <w:t>’</w:t>
      </w:r>
      <w:r w:rsidR="00F04F50" w:rsidRPr="00871656">
        <w:rPr>
          <w:rFonts w:asciiTheme="minorHAnsi" w:eastAsia="Calibri" w:hAnsiTheme="minorHAnsi" w:cstheme="minorHAnsi"/>
          <w:color w:val="auto"/>
          <w:kern w:val="2"/>
          <w14:ligatures w14:val="standardContextual"/>
        </w:rPr>
        <w:t xml:space="preserve"> </w:t>
      </w:r>
      <w:r w:rsidR="008546B1">
        <w:rPr>
          <w:rFonts w:asciiTheme="minorHAnsi" w:eastAsia="Calibri" w:hAnsiTheme="minorHAnsi" w:cstheme="minorHAnsi"/>
          <w:color w:val="auto"/>
          <w:kern w:val="2"/>
          <w14:ligatures w14:val="standardContextual"/>
        </w:rPr>
        <w:t>must</w:t>
      </w:r>
      <w:r w:rsidR="008546B1" w:rsidRPr="00871656">
        <w:rPr>
          <w:rFonts w:asciiTheme="minorHAnsi" w:eastAsia="Calibri" w:hAnsiTheme="minorHAnsi" w:cstheme="minorHAnsi"/>
          <w:color w:val="auto"/>
          <w:kern w:val="2"/>
          <w14:ligatures w14:val="standardContextual"/>
        </w:rPr>
        <w:t xml:space="preserve"> </w:t>
      </w:r>
      <w:r w:rsidR="00F04F50" w:rsidRPr="00871656">
        <w:rPr>
          <w:rFonts w:asciiTheme="minorHAnsi" w:eastAsia="Calibri" w:hAnsiTheme="minorHAnsi" w:cstheme="minorHAnsi"/>
          <w:color w:val="auto"/>
          <w:kern w:val="2"/>
          <w14:ligatures w14:val="standardContextual"/>
        </w:rPr>
        <w:t>be a</w:t>
      </w:r>
      <w:r w:rsidR="00A0455C" w:rsidRPr="00871656">
        <w:rPr>
          <w:rFonts w:asciiTheme="minorHAnsi" w:eastAsia="Calibri" w:hAnsiTheme="minorHAnsi" w:cstheme="minorHAnsi"/>
          <w:color w:val="auto"/>
          <w:kern w:val="2"/>
          <w14:ligatures w14:val="standardContextual"/>
        </w:rPr>
        <w:t>n important</w:t>
      </w:r>
      <w:r w:rsidR="00F04F50" w:rsidRPr="00871656">
        <w:rPr>
          <w:rFonts w:asciiTheme="minorHAnsi" w:eastAsia="Calibri" w:hAnsiTheme="minorHAnsi" w:cstheme="minorHAnsi"/>
          <w:color w:val="auto"/>
          <w:kern w:val="2"/>
          <w14:ligatures w14:val="standardContextual"/>
        </w:rPr>
        <w:t xml:space="preserve"> purpose and benefit delivered by the</w:t>
      </w:r>
      <w:r w:rsidR="0085507A" w:rsidRPr="00871656">
        <w:rPr>
          <w:rFonts w:asciiTheme="minorHAnsi" w:eastAsia="Calibri" w:hAnsiTheme="minorHAnsi" w:cstheme="minorHAnsi"/>
          <w:color w:val="auto"/>
          <w:kern w:val="2"/>
          <w14:ligatures w14:val="standardContextual"/>
        </w:rPr>
        <w:t xml:space="preserve"> </w:t>
      </w:r>
      <w:r w:rsidRPr="00871656">
        <w:rPr>
          <w:rFonts w:asciiTheme="minorHAnsi" w:eastAsia="Calibri" w:hAnsiTheme="minorHAnsi" w:cstheme="minorHAnsi"/>
          <w:color w:val="auto"/>
          <w:kern w:val="2"/>
          <w14:ligatures w14:val="standardContextual"/>
        </w:rPr>
        <w:t>ADA</w:t>
      </w:r>
      <w:r w:rsidR="00704FA9" w:rsidRPr="00871656">
        <w:rPr>
          <w:rFonts w:asciiTheme="minorHAnsi" w:eastAsia="Calibri" w:hAnsiTheme="minorHAnsi" w:cstheme="minorHAnsi"/>
          <w:color w:val="auto"/>
          <w:kern w:val="2"/>
          <w14:ligatures w14:val="standardContextual"/>
        </w:rPr>
        <w:t xml:space="preserve">. </w:t>
      </w:r>
    </w:p>
    <w:p w14:paraId="1E50E423" w14:textId="57EEAA06" w:rsidR="0081184A" w:rsidRPr="00871656" w:rsidRDefault="00A0675C" w:rsidP="008A3ECE">
      <w:pPr>
        <w:pStyle w:val="BodyText"/>
        <w:spacing w:line="312" w:lineRule="auto"/>
        <w:rPr>
          <w:rFonts w:asciiTheme="minorHAnsi" w:eastAsia="Calibri" w:hAnsiTheme="minorHAnsi" w:cstheme="minorHAnsi"/>
          <w:color w:val="auto"/>
          <w:kern w:val="2"/>
          <w14:ligatures w14:val="standardContextual"/>
        </w:rPr>
      </w:pPr>
      <w:r w:rsidRPr="00871656">
        <w:rPr>
          <w:rFonts w:asciiTheme="minorHAnsi" w:eastAsia="Calibri" w:hAnsiTheme="minorHAnsi" w:cstheme="minorHAnsi"/>
          <w:color w:val="auto"/>
          <w:kern w:val="2"/>
          <w14:ligatures w14:val="standardContextual"/>
        </w:rPr>
        <w:t>Noting that NSW is a jurisdiction that has no human rights legislation, a</w:t>
      </w:r>
      <w:r w:rsidR="00704FA9" w:rsidRPr="00871656">
        <w:rPr>
          <w:rFonts w:asciiTheme="minorHAnsi" w:eastAsia="Calibri" w:hAnsiTheme="minorHAnsi" w:cstheme="minorHAnsi"/>
          <w:color w:val="auto"/>
          <w:kern w:val="2"/>
          <w14:ligatures w14:val="standardContextual"/>
        </w:rPr>
        <w:t xml:space="preserve"> step t</w:t>
      </w:r>
      <w:r w:rsidR="0087159F" w:rsidRPr="00871656">
        <w:rPr>
          <w:rFonts w:asciiTheme="minorHAnsi" w:eastAsia="Calibri" w:hAnsiTheme="minorHAnsi" w:cstheme="minorHAnsi"/>
          <w:color w:val="auto"/>
          <w:kern w:val="2"/>
          <w14:ligatures w14:val="standardContextual"/>
        </w:rPr>
        <w:t xml:space="preserve">o achieve </w:t>
      </w:r>
      <w:r w:rsidR="00940780" w:rsidRPr="00871656">
        <w:rPr>
          <w:rFonts w:asciiTheme="minorHAnsi" w:eastAsia="Calibri" w:hAnsiTheme="minorHAnsi" w:cstheme="minorHAnsi"/>
          <w:color w:val="auto"/>
          <w:kern w:val="2"/>
          <w14:ligatures w14:val="standardContextual"/>
        </w:rPr>
        <w:t xml:space="preserve">a culture of respect for human rights </w:t>
      </w:r>
      <w:r w:rsidR="00704FA9" w:rsidRPr="00871656">
        <w:rPr>
          <w:rFonts w:asciiTheme="minorHAnsi" w:eastAsia="Calibri" w:hAnsiTheme="minorHAnsi" w:cstheme="minorHAnsi"/>
          <w:color w:val="auto"/>
          <w:kern w:val="2"/>
          <w14:ligatures w14:val="standardContextual"/>
        </w:rPr>
        <w:t xml:space="preserve">is to </w:t>
      </w:r>
      <w:r w:rsidR="001B3520" w:rsidRPr="00871656">
        <w:rPr>
          <w:rFonts w:asciiTheme="minorHAnsi" w:eastAsia="Calibri" w:hAnsiTheme="minorHAnsi" w:cstheme="minorHAnsi"/>
          <w:color w:val="auto"/>
          <w:kern w:val="2"/>
          <w14:ligatures w14:val="standardContextual"/>
        </w:rPr>
        <w:t xml:space="preserve">reflect and support the </w:t>
      </w:r>
      <w:r w:rsidR="00C36251" w:rsidRPr="00871656">
        <w:rPr>
          <w:rFonts w:asciiTheme="minorHAnsi" w:eastAsia="Calibri" w:hAnsiTheme="minorHAnsi" w:cstheme="minorHAnsi"/>
          <w:color w:val="auto"/>
          <w:kern w:val="2"/>
          <w14:ligatures w14:val="standardContextual"/>
        </w:rPr>
        <w:t xml:space="preserve">structure and </w:t>
      </w:r>
      <w:r w:rsidR="001B3520" w:rsidRPr="00871656">
        <w:rPr>
          <w:rFonts w:asciiTheme="minorHAnsi" w:eastAsia="Calibri" w:hAnsiTheme="minorHAnsi" w:cstheme="minorHAnsi"/>
          <w:color w:val="auto"/>
          <w:kern w:val="2"/>
          <w14:ligatures w14:val="standardContextual"/>
        </w:rPr>
        <w:t xml:space="preserve">goals of a </w:t>
      </w:r>
      <w:r w:rsidR="00BF39F9" w:rsidRPr="00871656">
        <w:rPr>
          <w:rFonts w:asciiTheme="minorHAnsi" w:eastAsia="Calibri" w:hAnsiTheme="minorHAnsi" w:cstheme="minorHAnsi"/>
          <w:color w:val="auto"/>
          <w:kern w:val="2"/>
          <w14:ligatures w14:val="standardContextual"/>
        </w:rPr>
        <w:t xml:space="preserve">NHRF </w:t>
      </w:r>
      <w:r w:rsidR="001B3520" w:rsidRPr="00871656">
        <w:rPr>
          <w:rFonts w:asciiTheme="minorHAnsi" w:eastAsia="Calibri" w:hAnsiTheme="minorHAnsi" w:cstheme="minorHAnsi"/>
          <w:color w:val="auto"/>
          <w:kern w:val="2"/>
          <w14:ligatures w14:val="standardContextual"/>
        </w:rPr>
        <w:t xml:space="preserve">as </w:t>
      </w:r>
      <w:r w:rsidR="002B724B" w:rsidRPr="00871656">
        <w:rPr>
          <w:rFonts w:asciiTheme="minorHAnsi" w:eastAsia="Calibri" w:hAnsiTheme="minorHAnsi" w:cstheme="minorHAnsi"/>
          <w:color w:val="auto"/>
          <w:kern w:val="2"/>
          <w14:ligatures w14:val="standardContextual"/>
        </w:rPr>
        <w:t xml:space="preserve">outlined by the </w:t>
      </w:r>
      <w:r w:rsidR="00C36251" w:rsidRPr="00871656">
        <w:rPr>
          <w:rFonts w:asciiTheme="minorHAnsi" w:eastAsia="Calibri" w:hAnsiTheme="minorHAnsi" w:cstheme="minorHAnsi"/>
          <w:color w:val="auto"/>
          <w:kern w:val="2"/>
          <w14:ligatures w14:val="standardContextual"/>
        </w:rPr>
        <w:t>AHRC</w:t>
      </w:r>
      <w:r w:rsidR="00A0455C" w:rsidRPr="00871656">
        <w:rPr>
          <w:rFonts w:asciiTheme="minorHAnsi" w:eastAsia="Calibri" w:hAnsiTheme="minorHAnsi" w:cstheme="minorHAnsi"/>
          <w:color w:val="auto"/>
          <w:kern w:val="2"/>
          <w14:ligatures w14:val="standardContextual"/>
        </w:rPr>
        <w:t>,</w:t>
      </w:r>
      <w:r w:rsidR="00704FA9" w:rsidRPr="00871656">
        <w:rPr>
          <w:rFonts w:asciiTheme="minorHAnsi" w:eastAsia="Calibri" w:hAnsiTheme="minorHAnsi" w:cstheme="minorHAnsi"/>
          <w:color w:val="auto"/>
          <w:kern w:val="2"/>
          <w14:ligatures w14:val="standardContextual"/>
        </w:rPr>
        <w:t xml:space="preserve"> in the ADA</w:t>
      </w:r>
      <w:r w:rsidR="00BA1A2F" w:rsidRPr="00871656">
        <w:rPr>
          <w:rFonts w:asciiTheme="minorHAnsi" w:eastAsia="Calibri" w:hAnsiTheme="minorHAnsi" w:cstheme="minorHAnsi"/>
          <w:color w:val="auto"/>
          <w:kern w:val="2"/>
          <w14:ligatures w14:val="standardContextual"/>
        </w:rPr>
        <w:t>.</w:t>
      </w:r>
      <w:r w:rsidR="00577ECE" w:rsidRPr="00871656">
        <w:rPr>
          <w:rFonts w:asciiTheme="minorHAnsi" w:eastAsia="Calibri" w:hAnsiTheme="minorHAnsi" w:cstheme="minorHAnsi"/>
          <w:color w:val="auto"/>
          <w:kern w:val="2"/>
          <w14:ligatures w14:val="standardContextual"/>
        </w:rPr>
        <w:t xml:space="preserve"> </w:t>
      </w:r>
      <w:r w:rsidR="00CB7B35" w:rsidRPr="00871656">
        <w:rPr>
          <w:rFonts w:asciiTheme="minorHAnsi" w:eastAsia="Calibri" w:hAnsiTheme="minorHAnsi" w:cstheme="minorHAnsi"/>
          <w:color w:val="auto"/>
          <w:kern w:val="2"/>
          <w14:ligatures w14:val="standardContextual"/>
        </w:rPr>
        <w:t>Aligning the ADA with a national human rights approach is</w:t>
      </w:r>
      <w:r w:rsidR="00C36251" w:rsidRPr="00871656">
        <w:rPr>
          <w:rFonts w:asciiTheme="minorHAnsi" w:eastAsia="Calibri" w:hAnsiTheme="minorHAnsi" w:cstheme="minorHAnsi"/>
          <w:color w:val="auto"/>
          <w:kern w:val="2"/>
          <w14:ligatures w14:val="standardContextual"/>
        </w:rPr>
        <w:t xml:space="preserve"> critical </w:t>
      </w:r>
      <w:r w:rsidR="00CB7B35" w:rsidRPr="00871656">
        <w:rPr>
          <w:rFonts w:asciiTheme="minorHAnsi" w:eastAsia="Calibri" w:hAnsiTheme="minorHAnsi" w:cstheme="minorHAnsi"/>
          <w:color w:val="auto"/>
          <w:kern w:val="2"/>
          <w14:ligatures w14:val="standardContextual"/>
        </w:rPr>
        <w:t>as</w:t>
      </w:r>
      <w:r w:rsidR="00C36251" w:rsidRPr="00871656">
        <w:rPr>
          <w:rFonts w:asciiTheme="minorHAnsi" w:eastAsia="Calibri" w:hAnsiTheme="minorHAnsi" w:cstheme="minorHAnsi"/>
          <w:color w:val="auto"/>
          <w:kern w:val="2"/>
          <w14:ligatures w14:val="standardContextual"/>
        </w:rPr>
        <w:t xml:space="preserve"> th</w:t>
      </w:r>
      <w:r w:rsidR="00940780">
        <w:rPr>
          <w:rFonts w:asciiTheme="minorHAnsi" w:eastAsia="Calibri" w:hAnsiTheme="minorHAnsi" w:cstheme="minorHAnsi"/>
          <w:color w:val="auto"/>
          <w:kern w:val="2"/>
          <w14:ligatures w14:val="standardContextual"/>
        </w:rPr>
        <w:t>e ADA will be</w:t>
      </w:r>
      <w:r w:rsidR="00C36251" w:rsidRPr="00871656">
        <w:rPr>
          <w:rFonts w:asciiTheme="minorHAnsi" w:eastAsia="Calibri" w:hAnsiTheme="minorHAnsi" w:cstheme="minorHAnsi"/>
          <w:color w:val="auto"/>
          <w:kern w:val="2"/>
          <w14:ligatures w14:val="standardContextual"/>
        </w:rPr>
        <w:t xml:space="preserve"> the primary document for the protection of rights and prevention of discrimination in NSW</w:t>
      </w:r>
      <w:r w:rsidRPr="00871656">
        <w:rPr>
          <w:rFonts w:asciiTheme="minorHAnsi" w:eastAsia="Calibri" w:hAnsiTheme="minorHAnsi" w:cstheme="minorHAnsi"/>
          <w:color w:val="auto"/>
          <w:kern w:val="2"/>
          <w14:ligatures w14:val="standardContextual"/>
        </w:rPr>
        <w:t>.</w:t>
      </w:r>
    </w:p>
    <w:p w14:paraId="3FC5F028" w14:textId="0E1147A7" w:rsidR="0081184A" w:rsidRPr="00871656" w:rsidRDefault="00C36251" w:rsidP="008A3ECE">
      <w:pPr>
        <w:pStyle w:val="Heading4"/>
        <w:spacing w:line="312" w:lineRule="auto"/>
        <w:rPr>
          <w:rFonts w:asciiTheme="minorHAnsi" w:eastAsia="Calibri" w:hAnsiTheme="minorHAnsi" w:cstheme="minorHAnsi"/>
        </w:rPr>
      </w:pPr>
      <w:r w:rsidRPr="00871656">
        <w:rPr>
          <w:rFonts w:asciiTheme="minorHAnsi" w:eastAsia="Calibri" w:hAnsiTheme="minorHAnsi" w:cstheme="minorHAnsi"/>
        </w:rPr>
        <w:t xml:space="preserve">Human </w:t>
      </w:r>
      <w:r w:rsidR="00A6794C" w:rsidRPr="00871656">
        <w:rPr>
          <w:rFonts w:asciiTheme="minorHAnsi" w:eastAsia="Calibri" w:hAnsiTheme="minorHAnsi" w:cstheme="minorHAnsi"/>
        </w:rPr>
        <w:t>r</w:t>
      </w:r>
      <w:r w:rsidRPr="00871656">
        <w:rPr>
          <w:rFonts w:asciiTheme="minorHAnsi" w:eastAsia="Calibri" w:hAnsiTheme="minorHAnsi" w:cstheme="minorHAnsi"/>
        </w:rPr>
        <w:t xml:space="preserve">ights </w:t>
      </w:r>
      <w:r w:rsidR="00842527" w:rsidRPr="00871656">
        <w:rPr>
          <w:rFonts w:asciiTheme="minorHAnsi" w:eastAsia="Calibri" w:hAnsiTheme="minorHAnsi" w:cstheme="minorHAnsi"/>
        </w:rPr>
        <w:t>m</w:t>
      </w:r>
      <w:r w:rsidRPr="00871656">
        <w:rPr>
          <w:rFonts w:asciiTheme="minorHAnsi" w:eastAsia="Calibri" w:hAnsiTheme="minorHAnsi" w:cstheme="minorHAnsi"/>
        </w:rPr>
        <w:t>odel of disability</w:t>
      </w:r>
    </w:p>
    <w:p w14:paraId="217037EB" w14:textId="568B58DA" w:rsidR="00A0675C" w:rsidRPr="00871656" w:rsidRDefault="00EE16EE" w:rsidP="008A3ECE">
      <w:pPr>
        <w:pStyle w:val="BodyText"/>
        <w:spacing w:line="312" w:lineRule="auto"/>
        <w:rPr>
          <w:rFonts w:asciiTheme="minorHAnsi" w:eastAsia="Calibri" w:hAnsiTheme="minorHAnsi" w:cstheme="minorHAnsi"/>
          <w:color w:val="auto"/>
          <w:kern w:val="2"/>
          <w14:ligatures w14:val="standardContextual"/>
        </w:rPr>
      </w:pPr>
      <w:r w:rsidRPr="00871656">
        <w:rPr>
          <w:rFonts w:asciiTheme="minorHAnsi" w:eastAsia="Calibri" w:hAnsiTheme="minorHAnsi" w:cstheme="minorHAnsi"/>
          <w:color w:val="auto"/>
          <w:kern w:val="2"/>
          <w14:ligatures w14:val="standardContextual"/>
        </w:rPr>
        <w:t>A review of the ADA must</w:t>
      </w:r>
      <w:r w:rsidR="00940780">
        <w:rPr>
          <w:rFonts w:asciiTheme="minorHAnsi" w:eastAsia="Calibri" w:hAnsiTheme="minorHAnsi" w:cstheme="minorHAnsi"/>
          <w:color w:val="auto"/>
          <w:kern w:val="2"/>
          <w14:ligatures w14:val="standardContextual"/>
        </w:rPr>
        <w:t xml:space="preserve"> also</w:t>
      </w:r>
      <w:r w:rsidRPr="00871656">
        <w:rPr>
          <w:rFonts w:asciiTheme="minorHAnsi" w:eastAsia="Calibri" w:hAnsiTheme="minorHAnsi" w:cstheme="minorHAnsi"/>
          <w:color w:val="auto"/>
          <w:kern w:val="2"/>
          <w14:ligatures w14:val="standardContextual"/>
        </w:rPr>
        <w:t xml:space="preserve"> be informed by a human rights </w:t>
      </w:r>
      <w:r w:rsidR="00C36251" w:rsidRPr="00871656">
        <w:rPr>
          <w:rFonts w:asciiTheme="minorHAnsi" w:eastAsia="Calibri" w:hAnsiTheme="minorHAnsi" w:cstheme="minorHAnsi"/>
          <w:color w:val="auto"/>
          <w:kern w:val="2"/>
          <w14:ligatures w14:val="standardContextual"/>
        </w:rPr>
        <w:t>model of disability</w:t>
      </w:r>
      <w:r w:rsidR="00940780">
        <w:rPr>
          <w:rFonts w:asciiTheme="minorHAnsi" w:eastAsia="Calibri" w:hAnsiTheme="minorHAnsi" w:cstheme="minorHAnsi"/>
          <w:color w:val="auto"/>
          <w:kern w:val="2"/>
          <w14:ligatures w14:val="standardContextual"/>
        </w:rPr>
        <w:t>.</w:t>
      </w:r>
    </w:p>
    <w:p w14:paraId="41CA20FA" w14:textId="66576461" w:rsidR="008442E0" w:rsidRPr="00871656" w:rsidRDefault="00C36251" w:rsidP="008A3ECE">
      <w:pPr>
        <w:pStyle w:val="BodyText"/>
        <w:spacing w:line="312" w:lineRule="auto"/>
        <w:rPr>
          <w:rFonts w:asciiTheme="minorHAnsi" w:eastAsia="Calibri" w:hAnsiTheme="minorHAnsi" w:cstheme="minorHAnsi"/>
          <w:color w:val="auto"/>
          <w:kern w:val="2"/>
          <w14:ligatures w14:val="standardContextual"/>
        </w:rPr>
      </w:pPr>
      <w:r w:rsidRPr="00871656">
        <w:rPr>
          <w:rFonts w:asciiTheme="minorHAnsi" w:eastAsia="Calibri" w:hAnsiTheme="minorHAnsi" w:cstheme="minorHAnsi"/>
          <w:color w:val="auto"/>
          <w:kern w:val="2"/>
          <w14:ligatures w14:val="standardContextual"/>
        </w:rPr>
        <w:t xml:space="preserve">A human rights model of disability </w:t>
      </w:r>
      <w:r w:rsidR="00EE16EE" w:rsidRPr="00871656">
        <w:rPr>
          <w:rFonts w:asciiTheme="minorHAnsi" w:eastAsia="Calibri" w:hAnsiTheme="minorHAnsi" w:cstheme="minorHAnsi"/>
          <w:color w:val="auto"/>
          <w:kern w:val="2"/>
          <w14:ligatures w14:val="standardContextual"/>
        </w:rPr>
        <w:t>recogni</w:t>
      </w:r>
      <w:r w:rsidR="00A0675C" w:rsidRPr="00871656">
        <w:rPr>
          <w:rFonts w:asciiTheme="minorHAnsi" w:eastAsia="Calibri" w:hAnsiTheme="minorHAnsi" w:cstheme="minorHAnsi"/>
          <w:color w:val="auto"/>
          <w:kern w:val="2"/>
          <w14:ligatures w14:val="standardContextual"/>
        </w:rPr>
        <w:t>s</w:t>
      </w:r>
      <w:r w:rsidR="00EE16EE" w:rsidRPr="00871656">
        <w:rPr>
          <w:rFonts w:asciiTheme="minorHAnsi" w:eastAsia="Calibri" w:hAnsiTheme="minorHAnsi" w:cstheme="minorHAnsi"/>
          <w:color w:val="auto"/>
          <w:kern w:val="2"/>
          <w14:ligatures w14:val="standardContextual"/>
        </w:rPr>
        <w:t xml:space="preserve">es all people have inherent dignity and </w:t>
      </w:r>
      <w:r w:rsidR="00BC147D" w:rsidRPr="00871656">
        <w:rPr>
          <w:rFonts w:asciiTheme="minorHAnsi" w:eastAsia="Calibri" w:hAnsiTheme="minorHAnsi" w:cstheme="minorHAnsi"/>
          <w:color w:val="auto"/>
          <w:kern w:val="2"/>
          <w14:ligatures w14:val="standardContextual"/>
        </w:rPr>
        <w:t>worth and</w:t>
      </w:r>
      <w:r w:rsidR="00B34264" w:rsidRPr="00871656">
        <w:rPr>
          <w:rFonts w:asciiTheme="minorHAnsi" w:eastAsia="Calibri" w:hAnsiTheme="minorHAnsi" w:cstheme="minorHAnsi"/>
          <w:color w:val="auto"/>
          <w:kern w:val="2"/>
          <w14:ligatures w14:val="standardContextual"/>
        </w:rPr>
        <w:t xml:space="preserve"> </w:t>
      </w:r>
      <w:r w:rsidR="00BC147D" w:rsidRPr="00871656">
        <w:rPr>
          <w:rFonts w:asciiTheme="minorHAnsi" w:eastAsia="Calibri" w:hAnsiTheme="minorHAnsi" w:cstheme="minorHAnsi"/>
          <w:color w:val="auto"/>
          <w:kern w:val="2"/>
          <w14:ligatures w14:val="standardContextual"/>
        </w:rPr>
        <w:t>encompasses</w:t>
      </w:r>
      <w:r w:rsidR="00B34264" w:rsidRPr="00871656">
        <w:rPr>
          <w:rFonts w:asciiTheme="minorHAnsi" w:eastAsia="Calibri" w:hAnsiTheme="minorHAnsi" w:cstheme="minorHAnsi"/>
          <w:color w:val="auto"/>
          <w:kern w:val="2"/>
          <w14:ligatures w14:val="standardContextual"/>
        </w:rPr>
        <w:t xml:space="preserve"> an understanding of intersectionality </w:t>
      </w:r>
      <w:r w:rsidR="00BC147D" w:rsidRPr="00871656">
        <w:rPr>
          <w:rFonts w:asciiTheme="minorHAnsi" w:eastAsia="Calibri" w:hAnsiTheme="minorHAnsi" w:cstheme="minorHAnsi"/>
          <w:color w:val="auto"/>
          <w:kern w:val="2"/>
          <w14:ligatures w14:val="standardContextual"/>
        </w:rPr>
        <w:t>and diversity.</w:t>
      </w:r>
      <w:r w:rsidR="005F69E3" w:rsidRPr="00871656">
        <w:rPr>
          <w:rStyle w:val="FootnoteReference"/>
          <w:rFonts w:asciiTheme="minorHAnsi" w:eastAsia="Calibri" w:hAnsiTheme="minorHAnsi" w:cstheme="minorHAnsi"/>
          <w:color w:val="auto"/>
          <w:kern w:val="2"/>
          <w14:ligatures w14:val="standardContextual"/>
        </w:rPr>
        <w:footnoteReference w:id="19"/>
      </w:r>
      <w:r w:rsidR="00DF009D" w:rsidRPr="00871656">
        <w:rPr>
          <w:rFonts w:asciiTheme="minorHAnsi" w:eastAsia="Calibri" w:hAnsiTheme="minorHAnsi" w:cstheme="minorHAnsi"/>
          <w:color w:val="auto"/>
          <w:kern w:val="2"/>
          <w14:ligatures w14:val="standardContextual"/>
        </w:rPr>
        <w:t xml:space="preserve"> The </w:t>
      </w:r>
      <w:r w:rsidR="00DD31E2" w:rsidRPr="00871656">
        <w:rPr>
          <w:rFonts w:asciiTheme="minorHAnsi" w:eastAsia="Calibri" w:hAnsiTheme="minorHAnsi" w:cstheme="minorHAnsi"/>
          <w:color w:val="auto"/>
          <w:kern w:val="2"/>
          <w14:ligatures w14:val="standardContextual"/>
        </w:rPr>
        <w:t>Committee on the Rights of Persons with Disabilities</w:t>
      </w:r>
      <w:r w:rsidR="005F69E3" w:rsidRPr="00871656">
        <w:rPr>
          <w:rFonts w:asciiTheme="minorHAnsi" w:eastAsia="Calibri" w:hAnsiTheme="minorHAnsi" w:cstheme="minorHAnsi"/>
          <w:color w:val="auto"/>
          <w:kern w:val="2"/>
          <w14:ligatures w14:val="standardContextual"/>
        </w:rPr>
        <w:t xml:space="preserve"> </w:t>
      </w:r>
      <w:r w:rsidR="00AF7793" w:rsidRPr="00871656">
        <w:rPr>
          <w:rFonts w:asciiTheme="minorHAnsi" w:eastAsia="Calibri" w:hAnsiTheme="minorHAnsi" w:cstheme="minorHAnsi"/>
          <w:color w:val="auto"/>
          <w:kern w:val="2"/>
          <w14:ligatures w14:val="standardContextual"/>
        </w:rPr>
        <w:t xml:space="preserve">(the Committee) </w:t>
      </w:r>
      <w:r w:rsidR="00BC147D" w:rsidRPr="00871656">
        <w:rPr>
          <w:rFonts w:asciiTheme="minorHAnsi" w:eastAsia="Calibri" w:hAnsiTheme="minorHAnsi" w:cstheme="minorHAnsi"/>
          <w:color w:val="auto"/>
          <w:kern w:val="2"/>
          <w14:ligatures w14:val="standardContextual"/>
        </w:rPr>
        <w:t xml:space="preserve">links a human rights model with intersectionality </w:t>
      </w:r>
      <w:r w:rsidR="00C02058" w:rsidRPr="00871656">
        <w:rPr>
          <w:rFonts w:asciiTheme="minorHAnsi" w:eastAsia="Calibri" w:hAnsiTheme="minorHAnsi" w:cstheme="minorHAnsi"/>
          <w:color w:val="auto"/>
          <w:kern w:val="2"/>
          <w14:ligatures w14:val="standardContextual"/>
        </w:rPr>
        <w:t>stat</w:t>
      </w:r>
      <w:r w:rsidR="00BC147D" w:rsidRPr="00871656">
        <w:rPr>
          <w:rFonts w:asciiTheme="minorHAnsi" w:eastAsia="Calibri" w:hAnsiTheme="minorHAnsi" w:cstheme="minorHAnsi"/>
          <w:color w:val="auto"/>
          <w:kern w:val="2"/>
          <w14:ligatures w14:val="standardContextual"/>
        </w:rPr>
        <w:t>ing</w:t>
      </w:r>
      <w:r w:rsidR="00DF009D" w:rsidRPr="00871656">
        <w:rPr>
          <w:rFonts w:asciiTheme="minorHAnsi" w:eastAsia="Calibri" w:hAnsiTheme="minorHAnsi" w:cstheme="minorHAnsi"/>
          <w:color w:val="auto"/>
          <w:kern w:val="2"/>
          <w14:ligatures w14:val="standardContextual"/>
        </w:rPr>
        <w:t>:</w:t>
      </w:r>
    </w:p>
    <w:p w14:paraId="696FCA84" w14:textId="03028C88" w:rsidR="00AE0A43" w:rsidRPr="00940780" w:rsidRDefault="00657D97" w:rsidP="008A3ECE">
      <w:pPr>
        <w:pStyle w:val="BodyText"/>
        <w:spacing w:line="312" w:lineRule="auto"/>
        <w:ind w:left="720"/>
        <w:rPr>
          <w:rFonts w:asciiTheme="minorHAnsi" w:eastAsia="Calibri" w:hAnsiTheme="minorHAnsi" w:cstheme="minorHAnsi"/>
          <w:i/>
          <w:iCs/>
          <w:color w:val="auto"/>
          <w:kern w:val="2"/>
          <w14:ligatures w14:val="standardContextual"/>
        </w:rPr>
      </w:pPr>
      <w:r w:rsidRPr="00940780">
        <w:rPr>
          <w:rFonts w:asciiTheme="minorHAnsi" w:eastAsia="Calibri" w:hAnsiTheme="minorHAnsi" w:cstheme="minorHAnsi"/>
          <w:i/>
          <w:iCs/>
          <w:color w:val="auto"/>
          <w:kern w:val="2"/>
          <w14:ligatures w14:val="standardContextual"/>
        </w:rPr>
        <w:t>The human rights model of disability recognizes that disability is a social construct and impairments must not be taken as a legitimate ground for the denial or restriction of human rights. It acknowledges that disability is one of several layers of identity. Hence, disability laws and policies must take the diversity of persons with disabilities into account. It also recognizes that human rights are interdependent, interrelated and indivisible.</w:t>
      </w:r>
      <w:r w:rsidR="00604557" w:rsidRPr="00940780">
        <w:rPr>
          <w:rStyle w:val="FootnoteReference"/>
          <w:rFonts w:asciiTheme="minorHAnsi" w:eastAsia="Calibri" w:hAnsiTheme="minorHAnsi" w:cstheme="minorHAnsi"/>
          <w:color w:val="auto"/>
          <w:kern w:val="2"/>
          <w14:ligatures w14:val="standardContextual"/>
        </w:rPr>
        <w:footnoteReference w:id="20"/>
      </w:r>
    </w:p>
    <w:p w14:paraId="4C6BD12A" w14:textId="77777777" w:rsidR="00277161" w:rsidRPr="004D6C8A" w:rsidRDefault="00277161" w:rsidP="008A3ECE">
      <w:pPr>
        <w:pStyle w:val="Heading3"/>
        <w:spacing w:line="312" w:lineRule="auto"/>
        <w:rPr>
          <w:sz w:val="40"/>
          <w:szCs w:val="40"/>
        </w:rPr>
      </w:pPr>
      <w:bookmarkStart w:id="88" w:name="_Toc146877523"/>
      <w:r w:rsidRPr="004D6C8A">
        <w:rPr>
          <w:sz w:val="40"/>
          <w:szCs w:val="40"/>
        </w:rPr>
        <w:t>Intersectionality</w:t>
      </w:r>
      <w:bookmarkEnd w:id="88"/>
    </w:p>
    <w:p w14:paraId="2D3B056B" w14:textId="460CFF06" w:rsidR="00AF7793" w:rsidRPr="00871656" w:rsidRDefault="00277161" w:rsidP="008A3ECE">
      <w:pPr>
        <w:pStyle w:val="BodyText"/>
        <w:spacing w:line="312" w:lineRule="auto"/>
        <w:rPr>
          <w:rFonts w:asciiTheme="minorHAnsi" w:hAnsiTheme="minorHAnsi" w:cstheme="minorHAnsi"/>
          <w:color w:val="auto"/>
        </w:rPr>
      </w:pPr>
      <w:r w:rsidRPr="00871656">
        <w:rPr>
          <w:rFonts w:asciiTheme="minorHAnsi" w:hAnsiTheme="minorHAnsi" w:cstheme="minorHAnsi"/>
          <w:color w:val="auto"/>
        </w:rPr>
        <w:t xml:space="preserve">The concept of </w:t>
      </w:r>
      <w:r w:rsidR="0051585A" w:rsidRPr="00871656">
        <w:rPr>
          <w:rFonts w:asciiTheme="minorHAnsi" w:hAnsiTheme="minorHAnsi" w:cstheme="minorHAnsi"/>
          <w:color w:val="auto"/>
        </w:rPr>
        <w:t>‘</w:t>
      </w:r>
      <w:r w:rsidRPr="00871656">
        <w:rPr>
          <w:rFonts w:asciiTheme="minorHAnsi" w:hAnsiTheme="minorHAnsi" w:cstheme="minorHAnsi"/>
          <w:color w:val="auto"/>
        </w:rPr>
        <w:t>intersectional discrimination</w:t>
      </w:r>
      <w:r w:rsidR="0051585A" w:rsidRPr="00871656">
        <w:rPr>
          <w:rFonts w:asciiTheme="minorHAnsi" w:hAnsiTheme="minorHAnsi" w:cstheme="minorHAnsi"/>
          <w:color w:val="auto"/>
        </w:rPr>
        <w:t>’</w:t>
      </w:r>
      <w:r w:rsidRPr="00871656">
        <w:rPr>
          <w:rFonts w:asciiTheme="minorHAnsi" w:hAnsiTheme="minorHAnsi" w:cstheme="minorHAnsi"/>
          <w:color w:val="auto"/>
        </w:rPr>
        <w:t xml:space="preserve"> (also referred to as </w:t>
      </w:r>
      <w:r w:rsidR="0051585A" w:rsidRPr="00871656">
        <w:rPr>
          <w:rFonts w:asciiTheme="minorHAnsi" w:hAnsiTheme="minorHAnsi" w:cstheme="minorHAnsi"/>
          <w:color w:val="auto"/>
        </w:rPr>
        <w:t>‘</w:t>
      </w:r>
      <w:r w:rsidRPr="00871656">
        <w:rPr>
          <w:rFonts w:asciiTheme="minorHAnsi" w:hAnsiTheme="minorHAnsi" w:cstheme="minorHAnsi"/>
          <w:color w:val="auto"/>
        </w:rPr>
        <w:t>intersectional disadvantage</w:t>
      </w:r>
      <w:r w:rsidR="0051585A" w:rsidRPr="00871656">
        <w:rPr>
          <w:rFonts w:asciiTheme="minorHAnsi" w:hAnsiTheme="minorHAnsi" w:cstheme="minorHAnsi"/>
          <w:color w:val="auto"/>
        </w:rPr>
        <w:t>’</w:t>
      </w:r>
      <w:r w:rsidRPr="00871656">
        <w:rPr>
          <w:rStyle w:val="FootnoteReference"/>
          <w:rFonts w:asciiTheme="minorHAnsi" w:hAnsiTheme="minorHAnsi" w:cstheme="minorHAnsi"/>
          <w:color w:val="auto"/>
        </w:rPr>
        <w:footnoteReference w:id="21"/>
      </w:r>
      <w:r w:rsidRPr="00871656">
        <w:rPr>
          <w:rFonts w:asciiTheme="minorHAnsi" w:hAnsiTheme="minorHAnsi" w:cstheme="minorHAnsi"/>
          <w:color w:val="auto"/>
        </w:rPr>
        <w:t xml:space="preserve">) refers to a situation where a person can experience multiple overlapping </w:t>
      </w:r>
      <w:r w:rsidRPr="00871656">
        <w:rPr>
          <w:rFonts w:asciiTheme="minorHAnsi" w:hAnsiTheme="minorHAnsi" w:cstheme="minorHAnsi"/>
          <w:color w:val="auto"/>
        </w:rPr>
        <w:lastRenderedPageBreak/>
        <w:t>forms of discrimination based upon them having a variety of attributes linked to disadvantage such as being female,</w:t>
      </w:r>
      <w:r w:rsidR="00A0675C" w:rsidRPr="00871656">
        <w:rPr>
          <w:rFonts w:asciiTheme="minorHAnsi" w:hAnsiTheme="minorHAnsi" w:cstheme="minorHAnsi"/>
          <w:color w:val="auto"/>
        </w:rPr>
        <w:t xml:space="preserve"> being</w:t>
      </w:r>
      <w:r w:rsidRPr="00871656">
        <w:rPr>
          <w:rFonts w:asciiTheme="minorHAnsi" w:hAnsiTheme="minorHAnsi" w:cstheme="minorHAnsi"/>
          <w:color w:val="auto"/>
        </w:rPr>
        <w:t xml:space="preserve"> from a culturally and linguistically diverse background, and having a disability.</w:t>
      </w:r>
      <w:r w:rsidRPr="00871656">
        <w:rPr>
          <w:rStyle w:val="FootnoteReference"/>
          <w:rFonts w:asciiTheme="minorHAnsi" w:hAnsiTheme="minorHAnsi" w:cstheme="minorHAnsi"/>
          <w:color w:val="auto"/>
        </w:rPr>
        <w:footnoteReference w:id="22"/>
      </w:r>
      <w:r w:rsidRPr="00871656">
        <w:rPr>
          <w:rFonts w:asciiTheme="minorHAnsi" w:hAnsiTheme="minorHAnsi" w:cstheme="minorHAnsi"/>
          <w:color w:val="auto"/>
        </w:rPr>
        <w:t xml:space="preserve"> </w:t>
      </w:r>
    </w:p>
    <w:p w14:paraId="7EA543C0" w14:textId="5E4149CF" w:rsidR="00AA1A96" w:rsidRDefault="001C07CA" w:rsidP="008A3ECE">
      <w:pPr>
        <w:pStyle w:val="BodyText"/>
        <w:spacing w:line="312" w:lineRule="auto"/>
        <w:rPr>
          <w:rFonts w:asciiTheme="minorHAnsi" w:hAnsiTheme="minorHAnsi" w:cstheme="minorHAnsi"/>
          <w:color w:val="auto"/>
        </w:rPr>
      </w:pPr>
      <w:r w:rsidRPr="00871656">
        <w:rPr>
          <w:rFonts w:asciiTheme="minorHAnsi" w:hAnsiTheme="minorHAnsi" w:cstheme="minorHAnsi"/>
          <w:color w:val="auto"/>
        </w:rPr>
        <w:t>The AHRC has indicated that intersectionality is an area that needs to be managed effectively and reflected clearly in discrimination legislation.</w:t>
      </w:r>
      <w:r w:rsidRPr="00871656">
        <w:rPr>
          <w:rStyle w:val="FootnoteReference"/>
          <w:rFonts w:asciiTheme="minorHAnsi" w:hAnsiTheme="minorHAnsi" w:cstheme="minorHAnsi"/>
          <w:color w:val="auto"/>
        </w:rPr>
        <w:footnoteReference w:id="23"/>
      </w:r>
      <w:r w:rsidR="00AB099C">
        <w:rPr>
          <w:rFonts w:asciiTheme="minorHAnsi" w:hAnsiTheme="minorHAnsi" w:cstheme="minorHAnsi"/>
          <w:color w:val="auto"/>
        </w:rPr>
        <w:t xml:space="preserve"> </w:t>
      </w:r>
      <w:r w:rsidR="00277161" w:rsidRPr="00871656">
        <w:rPr>
          <w:rFonts w:asciiTheme="minorHAnsi" w:hAnsiTheme="minorHAnsi" w:cstheme="minorHAnsi"/>
          <w:color w:val="auto"/>
        </w:rPr>
        <w:t xml:space="preserve">Applying an </w:t>
      </w:r>
      <w:r w:rsidR="00342054" w:rsidRPr="00871656">
        <w:rPr>
          <w:rFonts w:asciiTheme="minorHAnsi" w:hAnsiTheme="minorHAnsi" w:cstheme="minorHAnsi"/>
          <w:color w:val="auto"/>
        </w:rPr>
        <w:t>‘</w:t>
      </w:r>
      <w:r w:rsidR="00277161" w:rsidRPr="00871656">
        <w:rPr>
          <w:rFonts w:asciiTheme="minorHAnsi" w:hAnsiTheme="minorHAnsi" w:cstheme="minorHAnsi"/>
          <w:color w:val="auto"/>
        </w:rPr>
        <w:t>intersectional lens</w:t>
      </w:r>
      <w:r w:rsidR="00342054" w:rsidRPr="00871656">
        <w:rPr>
          <w:rFonts w:asciiTheme="minorHAnsi" w:hAnsiTheme="minorHAnsi" w:cstheme="minorHAnsi"/>
          <w:color w:val="auto"/>
        </w:rPr>
        <w:t>’</w:t>
      </w:r>
      <w:r w:rsidR="00277161" w:rsidRPr="00871656">
        <w:rPr>
          <w:rFonts w:asciiTheme="minorHAnsi" w:hAnsiTheme="minorHAnsi" w:cstheme="minorHAnsi"/>
          <w:color w:val="auto"/>
        </w:rPr>
        <w:t xml:space="preserve"> that acknowledges intersectionality between attributes and across systems helps us consider the impact of laws and whether a particular legislative</w:t>
      </w:r>
      <w:r w:rsidR="0078121F" w:rsidRPr="00871656">
        <w:rPr>
          <w:rFonts w:asciiTheme="minorHAnsi" w:hAnsiTheme="minorHAnsi" w:cstheme="minorHAnsi"/>
          <w:color w:val="auto"/>
        </w:rPr>
        <w:t xml:space="preserve"> or policy</w:t>
      </w:r>
      <w:r w:rsidR="00277161" w:rsidRPr="00871656">
        <w:rPr>
          <w:rFonts w:asciiTheme="minorHAnsi" w:hAnsiTheme="minorHAnsi" w:cstheme="minorHAnsi"/>
          <w:color w:val="auto"/>
        </w:rPr>
        <w:t xml:space="preserve"> response is appropriate given the likelihood of intersectionality.</w:t>
      </w:r>
      <w:r w:rsidR="00277161" w:rsidRPr="00871656">
        <w:rPr>
          <w:rStyle w:val="FootnoteReference"/>
          <w:rFonts w:asciiTheme="minorHAnsi" w:hAnsiTheme="minorHAnsi" w:cstheme="minorHAnsi"/>
          <w:color w:val="auto"/>
        </w:rPr>
        <w:footnoteReference w:id="24"/>
      </w:r>
      <w:r w:rsidR="001E4ED3" w:rsidRPr="00871656">
        <w:rPr>
          <w:rFonts w:asciiTheme="minorHAnsi" w:hAnsiTheme="minorHAnsi" w:cstheme="minorHAnsi"/>
          <w:color w:val="auto"/>
        </w:rPr>
        <w:t xml:space="preserve"> </w:t>
      </w:r>
    </w:p>
    <w:p w14:paraId="53FAFDC9" w14:textId="08995D84" w:rsidR="00277161" w:rsidRPr="00871656" w:rsidRDefault="00277161" w:rsidP="008A3ECE">
      <w:pPr>
        <w:pStyle w:val="BodyText"/>
        <w:spacing w:line="312" w:lineRule="auto"/>
        <w:rPr>
          <w:rFonts w:asciiTheme="minorHAnsi" w:hAnsiTheme="minorHAnsi" w:cstheme="minorHAnsi"/>
          <w:color w:val="auto"/>
        </w:rPr>
      </w:pPr>
      <w:r w:rsidRPr="00871656">
        <w:rPr>
          <w:rFonts w:asciiTheme="minorHAnsi" w:hAnsiTheme="minorHAnsi" w:cstheme="minorHAnsi"/>
          <w:color w:val="auto"/>
        </w:rPr>
        <w:t xml:space="preserve">The intersectional lens is a key </w:t>
      </w:r>
      <w:r w:rsidR="00A0455C" w:rsidRPr="00871656">
        <w:rPr>
          <w:rFonts w:asciiTheme="minorHAnsi" w:hAnsiTheme="minorHAnsi" w:cstheme="minorHAnsi"/>
          <w:color w:val="auto"/>
        </w:rPr>
        <w:t>method</w:t>
      </w:r>
      <w:r w:rsidRPr="00871656">
        <w:rPr>
          <w:rFonts w:asciiTheme="minorHAnsi" w:hAnsiTheme="minorHAnsi" w:cstheme="minorHAnsi"/>
          <w:color w:val="auto"/>
        </w:rPr>
        <w:t xml:space="preserve"> policymakers can </w:t>
      </w:r>
      <w:r w:rsidR="00A0455C" w:rsidRPr="00871656">
        <w:rPr>
          <w:rFonts w:asciiTheme="minorHAnsi" w:hAnsiTheme="minorHAnsi" w:cstheme="minorHAnsi"/>
          <w:color w:val="auto"/>
        </w:rPr>
        <w:t xml:space="preserve">use to </w:t>
      </w:r>
      <w:r w:rsidRPr="00871656">
        <w:rPr>
          <w:rFonts w:asciiTheme="minorHAnsi" w:hAnsiTheme="minorHAnsi" w:cstheme="minorHAnsi"/>
          <w:color w:val="auto"/>
        </w:rPr>
        <w:t>ensure those who experience significant disadvantage can be included in actions designed to reduce inequality.</w:t>
      </w:r>
      <w:r w:rsidRPr="00871656">
        <w:rPr>
          <w:rStyle w:val="FootnoteReference"/>
          <w:rFonts w:asciiTheme="minorHAnsi" w:hAnsiTheme="minorHAnsi" w:cstheme="minorHAnsi"/>
          <w:color w:val="auto"/>
        </w:rPr>
        <w:footnoteReference w:id="25"/>
      </w:r>
      <w:r w:rsidRPr="00871656">
        <w:rPr>
          <w:rFonts w:asciiTheme="minorHAnsi" w:hAnsiTheme="minorHAnsi" w:cstheme="minorHAnsi"/>
          <w:color w:val="auto"/>
        </w:rPr>
        <w:t xml:space="preserve"> </w:t>
      </w:r>
    </w:p>
    <w:p w14:paraId="495C9C44" w14:textId="1DE5E205" w:rsidR="00F36E92" w:rsidRPr="004D6C8A" w:rsidRDefault="00023215" w:rsidP="008A3ECE">
      <w:pPr>
        <w:pStyle w:val="Heading3"/>
        <w:spacing w:line="312" w:lineRule="auto"/>
        <w:rPr>
          <w:rFonts w:eastAsia="Calibri"/>
          <w:sz w:val="40"/>
          <w:szCs w:val="40"/>
        </w:rPr>
      </w:pPr>
      <w:bookmarkStart w:id="89" w:name="_Toc146877524"/>
      <w:r w:rsidRPr="004D6C8A">
        <w:rPr>
          <w:rFonts w:eastAsia="Calibri"/>
          <w:sz w:val="40"/>
          <w:szCs w:val="40"/>
        </w:rPr>
        <w:t>Other l</w:t>
      </w:r>
      <w:r w:rsidR="00F36E92" w:rsidRPr="004D6C8A">
        <w:rPr>
          <w:rFonts w:eastAsia="Calibri"/>
          <w:sz w:val="40"/>
          <w:szCs w:val="40"/>
        </w:rPr>
        <w:t xml:space="preserve">egal and policy </w:t>
      </w:r>
      <w:r w:rsidRPr="004D6C8A">
        <w:rPr>
          <w:rFonts w:eastAsia="Calibri"/>
          <w:sz w:val="40"/>
          <w:szCs w:val="40"/>
        </w:rPr>
        <w:t>considerations</w:t>
      </w:r>
      <w:bookmarkEnd w:id="89"/>
    </w:p>
    <w:p w14:paraId="05B38385" w14:textId="338BC23D" w:rsidR="001429DB" w:rsidRPr="00871656" w:rsidRDefault="001429DB" w:rsidP="008A3ECE">
      <w:pPr>
        <w:pStyle w:val="Heading4"/>
        <w:spacing w:line="312" w:lineRule="auto"/>
        <w:rPr>
          <w:rFonts w:asciiTheme="minorHAnsi" w:eastAsia="Calibri" w:hAnsiTheme="minorHAnsi" w:cstheme="minorHAnsi"/>
        </w:rPr>
      </w:pPr>
      <w:r w:rsidRPr="00871656">
        <w:rPr>
          <w:rFonts w:asciiTheme="minorHAnsi" w:eastAsia="Calibri" w:hAnsiTheme="minorHAnsi" w:cstheme="minorHAnsi"/>
        </w:rPr>
        <w:t>Commonwealth</w:t>
      </w:r>
    </w:p>
    <w:p w14:paraId="45641FC9" w14:textId="2D243438" w:rsidR="00704FA9" w:rsidRPr="00871656" w:rsidRDefault="00704FA9" w:rsidP="008A3ECE">
      <w:pPr>
        <w:pStyle w:val="BodyText"/>
        <w:spacing w:line="312" w:lineRule="auto"/>
        <w:rPr>
          <w:rFonts w:asciiTheme="minorHAnsi" w:hAnsiTheme="minorHAnsi" w:cstheme="minorHAnsi"/>
          <w:b/>
          <w:bCs/>
        </w:rPr>
      </w:pPr>
      <w:r w:rsidRPr="00871656">
        <w:rPr>
          <w:rFonts w:asciiTheme="minorHAnsi" w:hAnsiTheme="minorHAnsi" w:cstheme="minorHAnsi"/>
          <w:b/>
          <w:bCs/>
        </w:rPr>
        <w:t>Australia’s Disability Strategy 2021-2031</w:t>
      </w:r>
    </w:p>
    <w:p w14:paraId="20FA4586" w14:textId="5D6BF2EC" w:rsidR="00B2769D" w:rsidRPr="00871656" w:rsidRDefault="00F4194D" w:rsidP="008A3ECE">
      <w:pPr>
        <w:pStyle w:val="BodyText"/>
        <w:spacing w:line="312" w:lineRule="auto"/>
        <w:rPr>
          <w:rFonts w:asciiTheme="minorHAnsi" w:hAnsiTheme="minorHAnsi" w:cstheme="minorHAnsi"/>
          <w:color w:val="auto"/>
        </w:rPr>
      </w:pPr>
      <w:r w:rsidRPr="00871656">
        <w:rPr>
          <w:rFonts w:asciiTheme="minorHAnsi" w:hAnsiTheme="minorHAnsi" w:cstheme="minorHAnsi"/>
          <w:color w:val="auto"/>
        </w:rPr>
        <w:t>The ADA must support</w:t>
      </w:r>
      <w:r w:rsidR="00A0675C" w:rsidRPr="00871656">
        <w:rPr>
          <w:rFonts w:asciiTheme="minorHAnsi" w:hAnsiTheme="minorHAnsi" w:cstheme="minorHAnsi"/>
          <w:color w:val="auto"/>
        </w:rPr>
        <w:t xml:space="preserve"> the</w:t>
      </w:r>
      <w:r w:rsidRPr="00871656">
        <w:rPr>
          <w:rFonts w:asciiTheme="minorHAnsi" w:hAnsiTheme="minorHAnsi" w:cstheme="minorHAnsi"/>
          <w:color w:val="auto"/>
        </w:rPr>
        <w:t xml:space="preserve"> achievement of the </w:t>
      </w:r>
      <w:r w:rsidR="00072238">
        <w:rPr>
          <w:rFonts w:asciiTheme="minorHAnsi" w:hAnsiTheme="minorHAnsi" w:cstheme="minorHAnsi"/>
          <w:color w:val="auto"/>
        </w:rPr>
        <w:t>seven</w:t>
      </w:r>
      <w:r w:rsidR="00072238" w:rsidRPr="00871656">
        <w:rPr>
          <w:rFonts w:asciiTheme="minorHAnsi" w:hAnsiTheme="minorHAnsi" w:cstheme="minorHAnsi"/>
          <w:color w:val="auto"/>
        </w:rPr>
        <w:t xml:space="preserve"> </w:t>
      </w:r>
      <w:r w:rsidRPr="00871656">
        <w:rPr>
          <w:rFonts w:asciiTheme="minorHAnsi" w:hAnsiTheme="minorHAnsi" w:cstheme="minorHAnsi"/>
          <w:color w:val="auto"/>
        </w:rPr>
        <w:t xml:space="preserve">outcome areas contained </w:t>
      </w:r>
      <w:r w:rsidR="00FD7366">
        <w:rPr>
          <w:rFonts w:asciiTheme="minorHAnsi" w:hAnsiTheme="minorHAnsi" w:cstheme="minorHAnsi"/>
          <w:color w:val="auto"/>
        </w:rPr>
        <w:t xml:space="preserve">in </w:t>
      </w:r>
      <w:r w:rsidRPr="00871656">
        <w:rPr>
          <w:rFonts w:asciiTheme="minorHAnsi" w:hAnsiTheme="minorHAnsi" w:cstheme="minorHAnsi"/>
          <w:color w:val="auto"/>
        </w:rPr>
        <w:t>Australia’s Disability Strategy 2021-2031.</w:t>
      </w:r>
      <w:r w:rsidR="001A397A" w:rsidRPr="00871656">
        <w:rPr>
          <w:rStyle w:val="FootnoteReference"/>
          <w:rFonts w:asciiTheme="minorHAnsi" w:hAnsiTheme="minorHAnsi" w:cstheme="minorHAnsi"/>
          <w:color w:val="auto"/>
        </w:rPr>
        <w:footnoteReference w:id="26"/>
      </w:r>
      <w:r w:rsidR="007404E6" w:rsidRPr="00871656">
        <w:rPr>
          <w:rFonts w:asciiTheme="minorHAnsi" w:hAnsiTheme="minorHAnsi" w:cstheme="minorHAnsi"/>
          <w:color w:val="auto"/>
        </w:rPr>
        <w:t xml:space="preserve"> </w:t>
      </w:r>
    </w:p>
    <w:p w14:paraId="198F5E3E" w14:textId="77777777" w:rsidR="00AA1A96" w:rsidRDefault="00AA1A96" w:rsidP="008A3ECE">
      <w:pPr>
        <w:pStyle w:val="BodyText"/>
        <w:spacing w:before="0" w:line="312" w:lineRule="auto"/>
        <w:rPr>
          <w:rFonts w:asciiTheme="minorHAnsi" w:hAnsiTheme="minorHAnsi" w:cstheme="minorHAnsi"/>
          <w:b/>
          <w:bCs/>
          <w:color w:val="auto"/>
        </w:rPr>
      </w:pPr>
      <w:r>
        <w:rPr>
          <w:rFonts w:asciiTheme="minorHAnsi" w:hAnsiTheme="minorHAnsi" w:cstheme="minorHAnsi"/>
          <w:b/>
          <w:bCs/>
          <w:color w:val="auto"/>
        </w:rPr>
        <w:t>R</w:t>
      </w:r>
      <w:r w:rsidR="00704FA9" w:rsidRPr="00871656">
        <w:rPr>
          <w:rFonts w:asciiTheme="minorHAnsi" w:hAnsiTheme="minorHAnsi" w:cstheme="minorHAnsi"/>
          <w:b/>
          <w:bCs/>
          <w:color w:val="auto"/>
        </w:rPr>
        <w:t>eview of federal discrimination laws</w:t>
      </w:r>
    </w:p>
    <w:p w14:paraId="468DE56D" w14:textId="5133A351" w:rsidR="0078121F" w:rsidRPr="00AA1A96" w:rsidRDefault="006C085E" w:rsidP="008A3ECE">
      <w:pPr>
        <w:pStyle w:val="BodyText"/>
        <w:spacing w:before="0" w:line="312" w:lineRule="auto"/>
        <w:rPr>
          <w:rFonts w:asciiTheme="minorHAnsi" w:hAnsiTheme="minorHAnsi" w:cstheme="minorHAnsi"/>
          <w:color w:val="auto"/>
        </w:rPr>
      </w:pPr>
      <w:r w:rsidRPr="00871656">
        <w:rPr>
          <w:rFonts w:asciiTheme="minorHAnsi" w:hAnsiTheme="minorHAnsi" w:cstheme="minorHAnsi"/>
          <w:color w:val="auto"/>
        </w:rPr>
        <w:t>The review of the ADA should consider</w:t>
      </w:r>
      <w:r w:rsidR="00E35A90" w:rsidRPr="00871656">
        <w:rPr>
          <w:rFonts w:asciiTheme="minorHAnsi" w:hAnsiTheme="minorHAnsi" w:cstheme="minorHAnsi"/>
          <w:color w:val="auto"/>
        </w:rPr>
        <w:t xml:space="preserve"> reforms to federal discrimination laws </w:t>
      </w:r>
      <w:r w:rsidR="00F2742E" w:rsidRPr="00871656">
        <w:rPr>
          <w:rFonts w:asciiTheme="minorHAnsi" w:hAnsiTheme="minorHAnsi" w:cstheme="minorHAnsi"/>
          <w:color w:val="auto"/>
        </w:rPr>
        <w:t xml:space="preserve">proposed </w:t>
      </w:r>
      <w:r w:rsidR="00E35A90" w:rsidRPr="00871656">
        <w:rPr>
          <w:rFonts w:asciiTheme="minorHAnsi" w:hAnsiTheme="minorHAnsi" w:cstheme="minorHAnsi"/>
          <w:color w:val="auto"/>
        </w:rPr>
        <w:t xml:space="preserve">by the AHRC </w:t>
      </w:r>
      <w:r w:rsidR="00210C29" w:rsidRPr="00871656">
        <w:rPr>
          <w:rFonts w:asciiTheme="minorHAnsi" w:hAnsiTheme="minorHAnsi" w:cstheme="minorHAnsi"/>
          <w:color w:val="auto"/>
        </w:rPr>
        <w:t>in</w:t>
      </w:r>
      <w:r w:rsidR="00E35A90" w:rsidRPr="00871656">
        <w:rPr>
          <w:rFonts w:asciiTheme="minorHAnsi" w:hAnsiTheme="minorHAnsi" w:cstheme="minorHAnsi"/>
          <w:color w:val="auto"/>
        </w:rPr>
        <w:t xml:space="preserve"> its 2021 report, </w:t>
      </w:r>
      <w:r w:rsidR="00E35A90" w:rsidRPr="00871656">
        <w:rPr>
          <w:rFonts w:asciiTheme="minorHAnsi" w:hAnsiTheme="minorHAnsi" w:cstheme="minorHAnsi"/>
          <w:i/>
          <w:iCs/>
          <w:color w:val="auto"/>
        </w:rPr>
        <w:t>Free &amp; Equal. A reform agenda for federal discrimination laws</w:t>
      </w:r>
      <w:r w:rsidR="00E35A90" w:rsidRPr="00871656">
        <w:rPr>
          <w:rFonts w:asciiTheme="minorHAnsi" w:hAnsiTheme="minorHAnsi" w:cstheme="minorHAnsi"/>
          <w:color w:val="auto"/>
        </w:rPr>
        <w:t>.</w:t>
      </w:r>
      <w:r w:rsidR="001F7002" w:rsidRPr="00871656">
        <w:rPr>
          <w:rStyle w:val="FootnoteReference"/>
          <w:rFonts w:asciiTheme="minorHAnsi" w:hAnsiTheme="minorHAnsi" w:cstheme="minorHAnsi"/>
          <w:color w:val="auto"/>
        </w:rPr>
        <w:footnoteReference w:id="27"/>
      </w:r>
      <w:r w:rsidR="00E35A90" w:rsidRPr="00871656">
        <w:rPr>
          <w:rFonts w:asciiTheme="minorHAnsi" w:hAnsiTheme="minorHAnsi" w:cstheme="minorHAnsi"/>
          <w:color w:val="auto"/>
        </w:rPr>
        <w:t xml:space="preserve"> </w:t>
      </w:r>
      <w:r w:rsidR="00F2742E" w:rsidRPr="00871656">
        <w:rPr>
          <w:rFonts w:asciiTheme="minorHAnsi" w:hAnsiTheme="minorHAnsi" w:cstheme="minorHAnsi"/>
          <w:color w:val="auto"/>
        </w:rPr>
        <w:t xml:space="preserve"> </w:t>
      </w:r>
      <w:r w:rsidR="00D460FD" w:rsidRPr="00871656">
        <w:rPr>
          <w:rFonts w:asciiTheme="minorHAnsi" w:hAnsiTheme="minorHAnsi" w:cstheme="minorHAnsi"/>
          <w:color w:val="auto"/>
        </w:rPr>
        <w:t>PWDA</w:t>
      </w:r>
      <w:r w:rsidR="00E35A90" w:rsidRPr="00871656">
        <w:rPr>
          <w:rFonts w:asciiTheme="minorHAnsi" w:hAnsiTheme="minorHAnsi" w:cstheme="minorHAnsi"/>
          <w:color w:val="auto"/>
        </w:rPr>
        <w:t xml:space="preserve"> </w:t>
      </w:r>
      <w:r w:rsidR="00EA3F7B" w:rsidRPr="00871656">
        <w:rPr>
          <w:rFonts w:asciiTheme="minorHAnsi" w:hAnsiTheme="minorHAnsi" w:cstheme="minorHAnsi"/>
          <w:color w:val="auto"/>
        </w:rPr>
        <w:t>believes</w:t>
      </w:r>
      <w:r w:rsidR="00E35A90" w:rsidRPr="00871656">
        <w:rPr>
          <w:rFonts w:asciiTheme="minorHAnsi" w:hAnsiTheme="minorHAnsi" w:cstheme="minorHAnsi"/>
          <w:color w:val="auto"/>
        </w:rPr>
        <w:t xml:space="preserve"> </w:t>
      </w:r>
      <w:r w:rsidR="00AA1A96">
        <w:rPr>
          <w:rFonts w:asciiTheme="minorHAnsi" w:hAnsiTheme="minorHAnsi" w:cstheme="minorHAnsi"/>
          <w:color w:val="auto"/>
        </w:rPr>
        <w:t xml:space="preserve">the following </w:t>
      </w:r>
      <w:r w:rsidR="00E35A90" w:rsidRPr="00871656">
        <w:rPr>
          <w:rFonts w:asciiTheme="minorHAnsi" w:hAnsiTheme="minorHAnsi" w:cstheme="minorHAnsi"/>
          <w:color w:val="auto"/>
        </w:rPr>
        <w:t xml:space="preserve">recommendations in </w:t>
      </w:r>
      <w:r w:rsidR="00704FA9" w:rsidRPr="00871656">
        <w:rPr>
          <w:rFonts w:asciiTheme="minorHAnsi" w:hAnsiTheme="minorHAnsi" w:cstheme="minorHAnsi"/>
          <w:color w:val="auto"/>
        </w:rPr>
        <w:t xml:space="preserve">the </w:t>
      </w:r>
      <w:r w:rsidR="00704FA9" w:rsidRPr="00871656">
        <w:rPr>
          <w:rFonts w:asciiTheme="minorHAnsi" w:hAnsiTheme="minorHAnsi" w:cstheme="minorHAnsi"/>
          <w:i/>
          <w:iCs/>
          <w:color w:val="auto"/>
        </w:rPr>
        <w:t>Free &amp; Equal</w:t>
      </w:r>
      <w:r w:rsidR="00704FA9" w:rsidRPr="00871656">
        <w:rPr>
          <w:rFonts w:asciiTheme="minorHAnsi" w:hAnsiTheme="minorHAnsi" w:cstheme="minorHAnsi"/>
          <w:color w:val="auto"/>
        </w:rPr>
        <w:t xml:space="preserve"> reports</w:t>
      </w:r>
      <w:r w:rsidR="00E35A90" w:rsidRPr="00871656">
        <w:rPr>
          <w:rFonts w:asciiTheme="minorHAnsi" w:hAnsiTheme="minorHAnsi" w:cstheme="minorHAnsi"/>
          <w:color w:val="auto"/>
        </w:rPr>
        <w:t xml:space="preserve"> </w:t>
      </w:r>
      <w:r w:rsidR="00AA1A96">
        <w:rPr>
          <w:rFonts w:asciiTheme="minorHAnsi" w:hAnsiTheme="minorHAnsi" w:cstheme="minorHAnsi"/>
          <w:color w:val="auto"/>
        </w:rPr>
        <w:t xml:space="preserve">are </w:t>
      </w:r>
      <w:r w:rsidR="00AA1A96" w:rsidRPr="00871656">
        <w:rPr>
          <w:rFonts w:asciiTheme="minorHAnsi" w:hAnsiTheme="minorHAnsi" w:cstheme="minorHAnsi"/>
          <w:color w:val="auto"/>
        </w:rPr>
        <w:t>relevant to the current review of the ADA</w:t>
      </w:r>
      <w:r w:rsidR="00AA1A96">
        <w:rPr>
          <w:rFonts w:asciiTheme="minorHAnsi" w:hAnsiTheme="minorHAnsi" w:cstheme="minorHAnsi"/>
          <w:color w:val="auto"/>
        </w:rPr>
        <w:t>:</w:t>
      </w:r>
    </w:p>
    <w:p w14:paraId="25309475" w14:textId="2C1F3562" w:rsidR="0078121F" w:rsidRPr="00871656" w:rsidRDefault="003B0499" w:rsidP="008A3ECE">
      <w:pPr>
        <w:pStyle w:val="BodyText"/>
        <w:numPr>
          <w:ilvl w:val="0"/>
          <w:numId w:val="26"/>
        </w:numPr>
        <w:spacing w:before="0" w:line="312" w:lineRule="auto"/>
        <w:rPr>
          <w:rFonts w:asciiTheme="minorHAnsi" w:hAnsiTheme="minorHAnsi" w:cstheme="minorHAnsi"/>
          <w:color w:val="auto"/>
        </w:rPr>
      </w:pPr>
      <w:r w:rsidRPr="00871656">
        <w:rPr>
          <w:rFonts w:asciiTheme="minorHAnsi" w:hAnsiTheme="minorHAnsi" w:cstheme="minorHAnsi"/>
          <w:color w:val="auto"/>
        </w:rPr>
        <w:t xml:space="preserve">inserting </w:t>
      </w:r>
      <w:r w:rsidR="00EF7861" w:rsidRPr="00871656">
        <w:rPr>
          <w:rFonts w:asciiTheme="minorHAnsi" w:hAnsiTheme="minorHAnsi" w:cstheme="minorHAnsi"/>
          <w:color w:val="auto"/>
        </w:rPr>
        <w:t xml:space="preserve">positive duties to provide reasonable adjustment and prevent </w:t>
      </w:r>
      <w:r w:rsidR="0078121F" w:rsidRPr="00871656">
        <w:rPr>
          <w:rFonts w:asciiTheme="minorHAnsi" w:hAnsiTheme="minorHAnsi" w:cstheme="minorHAnsi"/>
          <w:color w:val="auto"/>
        </w:rPr>
        <w:t>discrimination</w:t>
      </w:r>
    </w:p>
    <w:p w14:paraId="3D5485A5" w14:textId="30119EA5" w:rsidR="0078121F" w:rsidRPr="00871656" w:rsidRDefault="0000457A" w:rsidP="008A3ECE">
      <w:pPr>
        <w:pStyle w:val="BodyText"/>
        <w:numPr>
          <w:ilvl w:val="0"/>
          <w:numId w:val="26"/>
        </w:numPr>
        <w:spacing w:before="0" w:line="312" w:lineRule="auto"/>
        <w:rPr>
          <w:rFonts w:asciiTheme="minorHAnsi" w:hAnsiTheme="minorHAnsi" w:cstheme="minorHAnsi"/>
          <w:color w:val="auto"/>
        </w:rPr>
      </w:pPr>
      <w:r w:rsidRPr="00871656">
        <w:rPr>
          <w:rFonts w:asciiTheme="minorHAnsi" w:hAnsiTheme="minorHAnsi" w:cstheme="minorHAnsi"/>
          <w:color w:val="auto"/>
        </w:rPr>
        <w:lastRenderedPageBreak/>
        <w:t>removing the comparator test for direct discrimination</w:t>
      </w:r>
      <w:r w:rsidR="0078121F" w:rsidRPr="00871656">
        <w:rPr>
          <w:rFonts w:asciiTheme="minorHAnsi" w:hAnsiTheme="minorHAnsi" w:cstheme="minorHAnsi"/>
          <w:color w:val="auto"/>
        </w:rPr>
        <w:t xml:space="preserve"> and simplifying tests for indirect discrimination </w:t>
      </w:r>
      <w:r w:rsidR="00EF7861" w:rsidRPr="00871656">
        <w:rPr>
          <w:rFonts w:asciiTheme="minorHAnsi" w:hAnsiTheme="minorHAnsi" w:cstheme="minorHAnsi"/>
          <w:color w:val="auto"/>
        </w:rPr>
        <w:t xml:space="preserve"> </w:t>
      </w:r>
    </w:p>
    <w:p w14:paraId="59CC8466" w14:textId="4040225B" w:rsidR="0078121F" w:rsidRPr="00871656" w:rsidRDefault="0069775B" w:rsidP="008A3ECE">
      <w:pPr>
        <w:pStyle w:val="BodyText"/>
        <w:numPr>
          <w:ilvl w:val="0"/>
          <w:numId w:val="26"/>
        </w:numPr>
        <w:spacing w:before="0" w:line="312" w:lineRule="auto"/>
        <w:rPr>
          <w:rFonts w:asciiTheme="minorHAnsi" w:hAnsiTheme="minorHAnsi" w:cstheme="minorHAnsi"/>
          <w:color w:val="auto"/>
        </w:rPr>
      </w:pPr>
      <w:r w:rsidRPr="00871656">
        <w:rPr>
          <w:rFonts w:asciiTheme="minorHAnsi" w:hAnsiTheme="minorHAnsi" w:cstheme="minorHAnsi"/>
          <w:color w:val="auto"/>
        </w:rPr>
        <w:t xml:space="preserve">ensuring </w:t>
      </w:r>
      <w:r w:rsidR="00AA1A96">
        <w:rPr>
          <w:rFonts w:asciiTheme="minorHAnsi" w:hAnsiTheme="minorHAnsi" w:cstheme="minorHAnsi"/>
          <w:color w:val="auto"/>
        </w:rPr>
        <w:t>laws</w:t>
      </w:r>
      <w:r w:rsidRPr="00871656">
        <w:rPr>
          <w:rFonts w:asciiTheme="minorHAnsi" w:hAnsiTheme="minorHAnsi" w:cstheme="minorHAnsi"/>
          <w:color w:val="auto"/>
        </w:rPr>
        <w:t xml:space="preserve"> </w:t>
      </w:r>
      <w:r w:rsidR="00AA1A96">
        <w:rPr>
          <w:rFonts w:asciiTheme="minorHAnsi" w:hAnsiTheme="minorHAnsi" w:cstheme="minorHAnsi"/>
          <w:color w:val="auto"/>
        </w:rPr>
        <w:t>are</w:t>
      </w:r>
      <w:r w:rsidRPr="00871656">
        <w:rPr>
          <w:rFonts w:asciiTheme="minorHAnsi" w:hAnsiTheme="minorHAnsi" w:cstheme="minorHAnsi"/>
          <w:color w:val="auto"/>
        </w:rPr>
        <w:t xml:space="preserve"> clear and simplified so it can be used </w:t>
      </w:r>
      <w:r w:rsidR="00EF7861" w:rsidRPr="00871656">
        <w:rPr>
          <w:rFonts w:asciiTheme="minorHAnsi" w:hAnsiTheme="minorHAnsi" w:cstheme="minorHAnsi"/>
          <w:color w:val="auto"/>
        </w:rPr>
        <w:t xml:space="preserve">for education </w:t>
      </w:r>
      <w:r w:rsidR="003B0499" w:rsidRPr="00871656">
        <w:rPr>
          <w:rFonts w:asciiTheme="minorHAnsi" w:hAnsiTheme="minorHAnsi" w:cstheme="minorHAnsi"/>
          <w:color w:val="auto"/>
        </w:rPr>
        <w:t>about human right</w:t>
      </w:r>
      <w:r w:rsidR="00210C29" w:rsidRPr="00871656">
        <w:rPr>
          <w:rFonts w:asciiTheme="minorHAnsi" w:hAnsiTheme="minorHAnsi" w:cstheme="minorHAnsi"/>
          <w:color w:val="auto"/>
        </w:rPr>
        <w:t>s</w:t>
      </w:r>
      <w:r w:rsidR="003B0499" w:rsidRPr="00871656">
        <w:rPr>
          <w:rFonts w:asciiTheme="minorHAnsi" w:hAnsiTheme="minorHAnsi" w:cstheme="minorHAnsi"/>
          <w:color w:val="auto"/>
        </w:rPr>
        <w:t xml:space="preserve"> </w:t>
      </w:r>
      <w:r w:rsidR="0078121F" w:rsidRPr="00871656">
        <w:rPr>
          <w:rFonts w:asciiTheme="minorHAnsi" w:hAnsiTheme="minorHAnsi" w:cstheme="minorHAnsi"/>
          <w:color w:val="auto"/>
        </w:rPr>
        <w:t>generally</w:t>
      </w:r>
      <w:r w:rsidR="008A3ECE">
        <w:rPr>
          <w:rFonts w:asciiTheme="minorHAnsi" w:hAnsiTheme="minorHAnsi" w:cstheme="minorHAnsi"/>
          <w:color w:val="auto"/>
        </w:rPr>
        <w:t>;</w:t>
      </w:r>
      <w:r w:rsidR="00871656" w:rsidRPr="00871656">
        <w:rPr>
          <w:rFonts w:asciiTheme="minorHAnsi" w:hAnsiTheme="minorHAnsi" w:cstheme="minorHAnsi"/>
          <w:color w:val="auto"/>
        </w:rPr>
        <w:t xml:space="preserve"> </w:t>
      </w:r>
      <w:r w:rsidR="0078121F" w:rsidRPr="00871656">
        <w:rPr>
          <w:rFonts w:asciiTheme="minorHAnsi" w:hAnsiTheme="minorHAnsi" w:cstheme="minorHAnsi"/>
          <w:color w:val="auto"/>
        </w:rPr>
        <w:t>and</w:t>
      </w:r>
    </w:p>
    <w:p w14:paraId="51969733" w14:textId="65AFC668" w:rsidR="0078121F" w:rsidRPr="00871656" w:rsidRDefault="004C5BF6" w:rsidP="008A3ECE">
      <w:pPr>
        <w:pStyle w:val="BodyText"/>
        <w:numPr>
          <w:ilvl w:val="0"/>
          <w:numId w:val="26"/>
        </w:numPr>
        <w:spacing w:before="0" w:line="312" w:lineRule="auto"/>
        <w:rPr>
          <w:rFonts w:asciiTheme="minorHAnsi" w:hAnsiTheme="minorHAnsi" w:cstheme="minorHAnsi"/>
          <w:color w:val="auto"/>
        </w:rPr>
      </w:pPr>
      <w:r>
        <w:rPr>
          <w:rFonts w:asciiTheme="minorHAnsi" w:hAnsiTheme="minorHAnsi" w:cstheme="minorHAnsi"/>
          <w:color w:val="auto"/>
        </w:rPr>
        <w:t xml:space="preserve">identifying </w:t>
      </w:r>
      <w:r w:rsidR="0078121F" w:rsidRPr="00871656">
        <w:rPr>
          <w:rFonts w:asciiTheme="minorHAnsi" w:hAnsiTheme="minorHAnsi" w:cstheme="minorHAnsi"/>
          <w:color w:val="auto"/>
        </w:rPr>
        <w:t>how discrimination law</w:t>
      </w:r>
      <w:r w:rsidR="00AA1A96">
        <w:rPr>
          <w:rFonts w:asciiTheme="minorHAnsi" w:hAnsiTheme="minorHAnsi" w:cstheme="minorHAnsi"/>
          <w:color w:val="auto"/>
        </w:rPr>
        <w:t xml:space="preserve"> reforms</w:t>
      </w:r>
      <w:r w:rsidR="0078121F" w:rsidRPr="00871656">
        <w:rPr>
          <w:rFonts w:asciiTheme="minorHAnsi" w:hAnsiTheme="minorHAnsi" w:cstheme="minorHAnsi"/>
          <w:color w:val="auto"/>
        </w:rPr>
        <w:t xml:space="preserve"> will support the aims of </w:t>
      </w:r>
      <w:r w:rsidR="00AA1A96">
        <w:rPr>
          <w:rFonts w:asciiTheme="minorHAnsi" w:hAnsiTheme="minorHAnsi" w:cstheme="minorHAnsi"/>
          <w:color w:val="auto"/>
        </w:rPr>
        <w:t xml:space="preserve">the </w:t>
      </w:r>
      <w:r w:rsidR="0078121F" w:rsidRPr="00871656">
        <w:rPr>
          <w:rFonts w:asciiTheme="minorHAnsi" w:hAnsiTheme="minorHAnsi" w:cstheme="minorHAnsi"/>
          <w:color w:val="auto"/>
        </w:rPr>
        <w:t xml:space="preserve">national disability </w:t>
      </w:r>
      <w:r w:rsidR="00871656" w:rsidRPr="00871656">
        <w:rPr>
          <w:rFonts w:asciiTheme="minorHAnsi" w:hAnsiTheme="minorHAnsi" w:cstheme="minorHAnsi"/>
          <w:color w:val="auto"/>
        </w:rPr>
        <w:t>strategy</w:t>
      </w:r>
      <w:r w:rsidR="00AA1A96">
        <w:rPr>
          <w:rFonts w:asciiTheme="minorHAnsi" w:hAnsiTheme="minorHAnsi" w:cstheme="minorHAnsi"/>
          <w:color w:val="auto"/>
        </w:rPr>
        <w:t>.</w:t>
      </w:r>
    </w:p>
    <w:p w14:paraId="39067DFA" w14:textId="6952A282" w:rsidR="001A397A" w:rsidRPr="00871656" w:rsidRDefault="00521552" w:rsidP="008A3ECE">
      <w:pPr>
        <w:pStyle w:val="Heading4"/>
        <w:spacing w:line="312" w:lineRule="auto"/>
        <w:rPr>
          <w:rFonts w:asciiTheme="minorHAnsi" w:hAnsiTheme="minorHAnsi" w:cstheme="minorHAnsi"/>
        </w:rPr>
      </w:pPr>
      <w:r w:rsidRPr="00871656">
        <w:rPr>
          <w:rFonts w:asciiTheme="minorHAnsi" w:hAnsiTheme="minorHAnsi" w:cstheme="minorHAnsi"/>
        </w:rPr>
        <w:t>New South Wales</w:t>
      </w:r>
    </w:p>
    <w:p w14:paraId="129DB5D0" w14:textId="74440C69" w:rsidR="00AB331A" w:rsidRPr="00871656" w:rsidRDefault="00B855F0" w:rsidP="008A3ECE">
      <w:pPr>
        <w:pStyle w:val="BodyText"/>
        <w:spacing w:line="312" w:lineRule="auto"/>
        <w:rPr>
          <w:rFonts w:asciiTheme="minorHAnsi" w:hAnsiTheme="minorHAnsi" w:cstheme="minorHAnsi"/>
          <w:color w:val="auto"/>
        </w:rPr>
      </w:pPr>
      <w:r w:rsidRPr="00871656">
        <w:rPr>
          <w:rFonts w:asciiTheme="minorHAnsi" w:hAnsiTheme="minorHAnsi" w:cstheme="minorHAnsi"/>
          <w:color w:val="auto"/>
        </w:rPr>
        <w:t xml:space="preserve">NSW has the </w:t>
      </w:r>
      <w:r w:rsidRPr="00871656">
        <w:rPr>
          <w:rFonts w:asciiTheme="minorHAnsi" w:hAnsiTheme="minorHAnsi" w:cstheme="minorHAnsi"/>
          <w:i/>
          <w:iCs/>
          <w:color w:val="auto"/>
        </w:rPr>
        <w:t>Disability Inclusion Act 2014</w:t>
      </w:r>
      <w:r w:rsidRPr="00871656">
        <w:rPr>
          <w:rFonts w:asciiTheme="minorHAnsi" w:hAnsiTheme="minorHAnsi" w:cstheme="minorHAnsi"/>
          <w:color w:val="auto"/>
        </w:rPr>
        <w:t xml:space="preserve"> (NSW)</w:t>
      </w:r>
      <w:r w:rsidR="00BB77A1" w:rsidRPr="00871656">
        <w:rPr>
          <w:rFonts w:asciiTheme="minorHAnsi" w:hAnsiTheme="minorHAnsi" w:cstheme="minorHAnsi"/>
          <w:color w:val="auto"/>
        </w:rPr>
        <w:t xml:space="preserve"> (DIA).</w:t>
      </w:r>
      <w:r w:rsidR="0001574C" w:rsidRPr="00871656">
        <w:rPr>
          <w:rStyle w:val="FootnoteReference"/>
          <w:rFonts w:asciiTheme="minorHAnsi" w:hAnsiTheme="minorHAnsi" w:cstheme="minorHAnsi"/>
          <w:color w:val="auto"/>
        </w:rPr>
        <w:footnoteReference w:id="28"/>
      </w:r>
      <w:r w:rsidR="00BB77A1" w:rsidRPr="00871656">
        <w:rPr>
          <w:rFonts w:asciiTheme="minorHAnsi" w:hAnsiTheme="minorHAnsi" w:cstheme="minorHAnsi"/>
          <w:color w:val="auto"/>
        </w:rPr>
        <w:t xml:space="preserve"> </w:t>
      </w:r>
      <w:r w:rsidR="004F57CA" w:rsidRPr="00871656">
        <w:rPr>
          <w:rFonts w:asciiTheme="minorHAnsi" w:hAnsiTheme="minorHAnsi" w:cstheme="minorHAnsi"/>
          <w:color w:val="auto"/>
        </w:rPr>
        <w:t xml:space="preserve">The objects of the DIA </w:t>
      </w:r>
      <w:r w:rsidR="002A20DB" w:rsidRPr="00871656">
        <w:rPr>
          <w:rFonts w:asciiTheme="minorHAnsi" w:hAnsiTheme="minorHAnsi" w:cstheme="minorHAnsi"/>
          <w:color w:val="auto"/>
        </w:rPr>
        <w:t>include</w:t>
      </w:r>
      <w:r w:rsidR="0078121F" w:rsidRPr="00871656">
        <w:rPr>
          <w:rFonts w:asciiTheme="minorHAnsi" w:hAnsiTheme="minorHAnsi" w:cstheme="minorHAnsi"/>
          <w:color w:val="auto"/>
        </w:rPr>
        <w:t xml:space="preserve"> </w:t>
      </w:r>
      <w:r w:rsidR="00AA1A96">
        <w:rPr>
          <w:rFonts w:asciiTheme="minorHAnsi" w:hAnsiTheme="minorHAnsi" w:cstheme="minorHAnsi"/>
          <w:color w:val="auto"/>
        </w:rPr>
        <w:t xml:space="preserve">the </w:t>
      </w:r>
      <w:r w:rsidR="0078121F" w:rsidRPr="00871656">
        <w:rPr>
          <w:rFonts w:asciiTheme="minorHAnsi" w:hAnsiTheme="minorHAnsi" w:cstheme="minorHAnsi"/>
          <w:color w:val="auto"/>
        </w:rPr>
        <w:t>a</w:t>
      </w:r>
      <w:r w:rsidR="00C03C83" w:rsidRPr="00871656">
        <w:rPr>
          <w:rFonts w:asciiTheme="minorHAnsi" w:hAnsiTheme="minorHAnsi" w:cstheme="minorHAnsi"/>
          <w:color w:val="auto"/>
        </w:rPr>
        <w:t>cknowledge</w:t>
      </w:r>
      <w:r w:rsidR="0078121F" w:rsidRPr="00871656">
        <w:rPr>
          <w:rFonts w:asciiTheme="minorHAnsi" w:hAnsiTheme="minorHAnsi" w:cstheme="minorHAnsi"/>
          <w:color w:val="auto"/>
        </w:rPr>
        <w:t>ment ‘</w:t>
      </w:r>
      <w:r w:rsidR="00C03C83" w:rsidRPr="00871656">
        <w:rPr>
          <w:rFonts w:asciiTheme="minorHAnsi" w:hAnsiTheme="minorHAnsi" w:cstheme="minorHAnsi"/>
          <w:color w:val="auto"/>
        </w:rPr>
        <w:t>that peo</w:t>
      </w:r>
      <w:r w:rsidR="00385DDC" w:rsidRPr="00871656">
        <w:rPr>
          <w:rFonts w:asciiTheme="minorHAnsi" w:hAnsiTheme="minorHAnsi" w:cstheme="minorHAnsi"/>
          <w:color w:val="auto"/>
        </w:rPr>
        <w:t>ple w</w:t>
      </w:r>
      <w:r w:rsidR="00C03C83" w:rsidRPr="00871656">
        <w:rPr>
          <w:rFonts w:asciiTheme="minorHAnsi" w:hAnsiTheme="minorHAnsi" w:cstheme="minorHAnsi"/>
          <w:color w:val="auto"/>
        </w:rPr>
        <w:t xml:space="preserve">ith disability have the same human rights as other members of the community and that the </w:t>
      </w:r>
      <w:r w:rsidR="00C03C83" w:rsidRPr="00AA1A96">
        <w:rPr>
          <w:rFonts w:asciiTheme="minorHAnsi" w:hAnsiTheme="minorHAnsi" w:cstheme="minorHAnsi"/>
          <w:i/>
          <w:iCs/>
          <w:color w:val="auto"/>
        </w:rPr>
        <w:t xml:space="preserve">State and </w:t>
      </w:r>
      <w:r w:rsidR="00385DDC" w:rsidRPr="00AA1A96">
        <w:rPr>
          <w:rFonts w:asciiTheme="minorHAnsi" w:hAnsiTheme="minorHAnsi" w:cstheme="minorHAnsi"/>
          <w:i/>
          <w:iCs/>
          <w:color w:val="auto"/>
        </w:rPr>
        <w:t>community have a responsibility to facilitate the exercise of those rights</w:t>
      </w:r>
      <w:r w:rsidR="00385DDC" w:rsidRPr="00871656">
        <w:rPr>
          <w:rFonts w:asciiTheme="minorHAnsi" w:hAnsiTheme="minorHAnsi" w:cstheme="minorHAnsi"/>
          <w:color w:val="auto"/>
        </w:rPr>
        <w:t>.</w:t>
      </w:r>
      <w:r w:rsidR="00342054" w:rsidRPr="00871656">
        <w:rPr>
          <w:rFonts w:asciiTheme="minorHAnsi" w:hAnsiTheme="minorHAnsi" w:cstheme="minorHAnsi"/>
          <w:color w:val="auto"/>
        </w:rPr>
        <w:t>’</w:t>
      </w:r>
      <w:r w:rsidR="00F40D3B" w:rsidRPr="00871656">
        <w:rPr>
          <w:rStyle w:val="FootnoteReference"/>
          <w:rFonts w:asciiTheme="minorHAnsi" w:hAnsiTheme="minorHAnsi" w:cstheme="minorHAnsi"/>
          <w:color w:val="auto"/>
        </w:rPr>
        <w:footnoteReference w:id="29"/>
      </w:r>
      <w:r w:rsidR="00F94465" w:rsidRPr="00871656">
        <w:rPr>
          <w:rFonts w:asciiTheme="minorHAnsi" w:hAnsiTheme="minorHAnsi" w:cstheme="minorHAnsi"/>
          <w:color w:val="auto"/>
        </w:rPr>
        <w:t xml:space="preserve"> </w:t>
      </w:r>
      <w:r w:rsidR="006605A9" w:rsidRPr="00871656">
        <w:rPr>
          <w:rFonts w:asciiTheme="minorHAnsi" w:hAnsiTheme="minorHAnsi" w:cstheme="minorHAnsi"/>
          <w:color w:val="auto"/>
        </w:rPr>
        <w:t>Section 3(</w:t>
      </w:r>
      <w:r w:rsidR="004F57CA" w:rsidRPr="00871656">
        <w:rPr>
          <w:rFonts w:asciiTheme="minorHAnsi" w:hAnsiTheme="minorHAnsi" w:cstheme="minorHAnsi"/>
          <w:color w:val="auto"/>
        </w:rPr>
        <w:t>e) notes a</w:t>
      </w:r>
      <w:r w:rsidR="00E57DEF" w:rsidRPr="00871656">
        <w:rPr>
          <w:rFonts w:asciiTheme="minorHAnsi" w:hAnsiTheme="minorHAnsi" w:cstheme="minorHAnsi"/>
          <w:color w:val="auto"/>
        </w:rPr>
        <w:t xml:space="preserve">n </w:t>
      </w:r>
      <w:r w:rsidR="004F57CA" w:rsidRPr="00871656">
        <w:rPr>
          <w:rFonts w:asciiTheme="minorHAnsi" w:hAnsiTheme="minorHAnsi" w:cstheme="minorHAnsi"/>
          <w:color w:val="auto"/>
        </w:rPr>
        <w:t>object</w:t>
      </w:r>
      <w:r w:rsidR="00E57DEF" w:rsidRPr="00871656">
        <w:rPr>
          <w:rFonts w:asciiTheme="minorHAnsi" w:hAnsiTheme="minorHAnsi" w:cstheme="minorHAnsi"/>
          <w:color w:val="auto"/>
        </w:rPr>
        <w:t xml:space="preserve"> of the</w:t>
      </w:r>
      <w:r w:rsidR="004F57CA" w:rsidRPr="00871656">
        <w:rPr>
          <w:rFonts w:asciiTheme="minorHAnsi" w:hAnsiTheme="minorHAnsi" w:cstheme="minorHAnsi"/>
          <w:color w:val="auto"/>
        </w:rPr>
        <w:t xml:space="preserve"> DIA</w:t>
      </w:r>
      <w:r w:rsidR="00E57DEF" w:rsidRPr="00871656">
        <w:rPr>
          <w:rFonts w:asciiTheme="minorHAnsi" w:hAnsiTheme="minorHAnsi" w:cstheme="minorHAnsi"/>
          <w:color w:val="auto"/>
        </w:rPr>
        <w:t xml:space="preserve"> is to </w:t>
      </w:r>
      <w:r w:rsidR="00342054" w:rsidRPr="00871656">
        <w:rPr>
          <w:rFonts w:asciiTheme="minorHAnsi" w:hAnsiTheme="minorHAnsi" w:cstheme="minorHAnsi"/>
          <w:color w:val="auto"/>
        </w:rPr>
        <w:t>‘</w:t>
      </w:r>
      <w:r w:rsidR="00E57DEF" w:rsidRPr="00871656">
        <w:rPr>
          <w:rFonts w:asciiTheme="minorHAnsi" w:hAnsiTheme="minorHAnsi" w:cstheme="minorHAnsi"/>
          <w:color w:val="auto"/>
        </w:rPr>
        <w:t xml:space="preserve">support, to the extent </w:t>
      </w:r>
      <w:r w:rsidR="004F57CA" w:rsidRPr="00871656">
        <w:rPr>
          <w:rFonts w:asciiTheme="minorHAnsi" w:hAnsiTheme="minorHAnsi" w:cstheme="minorHAnsi"/>
          <w:color w:val="auto"/>
        </w:rPr>
        <w:t>reasonably</w:t>
      </w:r>
      <w:r w:rsidR="00E57DEF" w:rsidRPr="00871656">
        <w:rPr>
          <w:rFonts w:asciiTheme="minorHAnsi" w:hAnsiTheme="minorHAnsi" w:cstheme="minorHAnsi"/>
          <w:color w:val="auto"/>
        </w:rPr>
        <w:t xml:space="preserve"> practicable, the purposes and principles </w:t>
      </w:r>
      <w:r w:rsidR="006605A9" w:rsidRPr="00871656">
        <w:rPr>
          <w:rFonts w:asciiTheme="minorHAnsi" w:hAnsiTheme="minorHAnsi" w:cstheme="minorHAnsi"/>
          <w:color w:val="auto"/>
        </w:rPr>
        <w:t xml:space="preserve">of the </w:t>
      </w:r>
      <w:r w:rsidR="006605A9" w:rsidRPr="00871656">
        <w:rPr>
          <w:rFonts w:asciiTheme="minorHAnsi" w:hAnsiTheme="minorHAnsi" w:cstheme="minorHAnsi"/>
          <w:i/>
          <w:iCs/>
          <w:color w:val="auto"/>
        </w:rPr>
        <w:t>United Nations Convention on the Rights of Persons with Disabilities</w:t>
      </w:r>
      <w:r w:rsidR="006605A9" w:rsidRPr="00871656">
        <w:rPr>
          <w:rFonts w:asciiTheme="minorHAnsi" w:hAnsiTheme="minorHAnsi" w:cstheme="minorHAnsi"/>
          <w:color w:val="auto"/>
        </w:rPr>
        <w:t>.</w:t>
      </w:r>
      <w:r w:rsidR="00342054" w:rsidRPr="00871656">
        <w:rPr>
          <w:rFonts w:asciiTheme="minorHAnsi" w:hAnsiTheme="minorHAnsi" w:cstheme="minorHAnsi"/>
          <w:color w:val="auto"/>
        </w:rPr>
        <w:t>’</w:t>
      </w:r>
      <w:r w:rsidR="002A20DB" w:rsidRPr="00871656">
        <w:rPr>
          <w:rStyle w:val="FootnoteReference"/>
          <w:rFonts w:asciiTheme="minorHAnsi" w:hAnsiTheme="minorHAnsi" w:cstheme="minorHAnsi"/>
          <w:color w:val="auto"/>
        </w:rPr>
        <w:footnoteReference w:id="30"/>
      </w:r>
    </w:p>
    <w:p w14:paraId="4F41BDE1" w14:textId="03BF5E23" w:rsidR="00CE0B8D" w:rsidRDefault="00385DDC" w:rsidP="008A3ECE">
      <w:pPr>
        <w:pStyle w:val="BodyText"/>
        <w:spacing w:line="312" w:lineRule="auto"/>
        <w:rPr>
          <w:rFonts w:asciiTheme="minorHAnsi" w:hAnsiTheme="minorHAnsi" w:cstheme="minorHAnsi"/>
          <w:color w:val="auto"/>
        </w:rPr>
      </w:pPr>
      <w:r w:rsidRPr="00871656">
        <w:rPr>
          <w:rFonts w:asciiTheme="minorHAnsi" w:hAnsiTheme="minorHAnsi" w:cstheme="minorHAnsi"/>
          <w:color w:val="auto"/>
        </w:rPr>
        <w:t>Sec</w:t>
      </w:r>
      <w:r w:rsidR="00F40D3B" w:rsidRPr="00871656">
        <w:rPr>
          <w:rFonts w:asciiTheme="minorHAnsi" w:hAnsiTheme="minorHAnsi" w:cstheme="minorHAnsi"/>
          <w:color w:val="auto"/>
        </w:rPr>
        <w:t xml:space="preserve">tion 4 </w:t>
      </w:r>
      <w:r w:rsidR="0000457A" w:rsidRPr="00871656">
        <w:rPr>
          <w:rFonts w:asciiTheme="minorHAnsi" w:hAnsiTheme="minorHAnsi" w:cstheme="minorHAnsi"/>
          <w:color w:val="auto"/>
        </w:rPr>
        <w:t>of the DIA i</w:t>
      </w:r>
      <w:r w:rsidR="0001574C" w:rsidRPr="00871656">
        <w:rPr>
          <w:rFonts w:asciiTheme="minorHAnsi" w:hAnsiTheme="minorHAnsi" w:cstheme="minorHAnsi"/>
          <w:color w:val="auto"/>
        </w:rPr>
        <w:t>dentifies</w:t>
      </w:r>
      <w:r w:rsidR="008955A4" w:rsidRPr="00871656">
        <w:rPr>
          <w:rFonts w:asciiTheme="minorHAnsi" w:hAnsiTheme="minorHAnsi" w:cstheme="minorHAnsi"/>
          <w:color w:val="auto"/>
        </w:rPr>
        <w:t xml:space="preserve"> </w:t>
      </w:r>
      <w:r w:rsidR="0001574C" w:rsidRPr="00871656">
        <w:rPr>
          <w:rFonts w:asciiTheme="minorHAnsi" w:hAnsiTheme="minorHAnsi" w:cstheme="minorHAnsi"/>
          <w:color w:val="auto"/>
        </w:rPr>
        <w:t xml:space="preserve">twelve </w:t>
      </w:r>
      <w:r w:rsidR="00F94465" w:rsidRPr="00871656">
        <w:rPr>
          <w:rFonts w:asciiTheme="minorHAnsi" w:hAnsiTheme="minorHAnsi" w:cstheme="minorHAnsi"/>
          <w:color w:val="auto"/>
        </w:rPr>
        <w:t>g</w:t>
      </w:r>
      <w:r w:rsidR="006050A0" w:rsidRPr="00871656">
        <w:rPr>
          <w:rFonts w:asciiTheme="minorHAnsi" w:hAnsiTheme="minorHAnsi" w:cstheme="minorHAnsi"/>
          <w:color w:val="auto"/>
        </w:rPr>
        <w:t xml:space="preserve">eneral </w:t>
      </w:r>
      <w:r w:rsidR="00F94465" w:rsidRPr="00871656">
        <w:rPr>
          <w:rFonts w:asciiTheme="minorHAnsi" w:hAnsiTheme="minorHAnsi" w:cstheme="minorHAnsi"/>
          <w:color w:val="auto"/>
        </w:rPr>
        <w:t>principles</w:t>
      </w:r>
      <w:r w:rsidR="00BF4A30" w:rsidRPr="00871656">
        <w:rPr>
          <w:rFonts w:asciiTheme="minorHAnsi" w:hAnsiTheme="minorHAnsi" w:cstheme="minorHAnsi"/>
          <w:color w:val="auto"/>
        </w:rPr>
        <w:t xml:space="preserve"> which have </w:t>
      </w:r>
      <w:r w:rsidR="00704FA9" w:rsidRPr="00871656">
        <w:rPr>
          <w:rFonts w:asciiTheme="minorHAnsi" w:hAnsiTheme="minorHAnsi" w:cstheme="minorHAnsi"/>
          <w:color w:val="auto"/>
        </w:rPr>
        <w:t>some</w:t>
      </w:r>
      <w:r w:rsidR="00BF4A30" w:rsidRPr="00871656">
        <w:rPr>
          <w:rFonts w:asciiTheme="minorHAnsi" w:hAnsiTheme="minorHAnsi" w:cstheme="minorHAnsi"/>
          <w:color w:val="auto"/>
        </w:rPr>
        <w:t xml:space="preserve"> grounding in </w:t>
      </w:r>
      <w:r w:rsidR="002102DC" w:rsidRPr="00871656">
        <w:rPr>
          <w:rFonts w:asciiTheme="minorHAnsi" w:hAnsiTheme="minorHAnsi" w:cstheme="minorHAnsi"/>
          <w:color w:val="auto"/>
        </w:rPr>
        <w:t>a human rights model</w:t>
      </w:r>
      <w:r w:rsidR="00265812" w:rsidRPr="00871656">
        <w:rPr>
          <w:rFonts w:asciiTheme="minorHAnsi" w:hAnsiTheme="minorHAnsi" w:cstheme="minorHAnsi"/>
          <w:color w:val="auto"/>
        </w:rPr>
        <w:t xml:space="preserve">. These are referred to in </w:t>
      </w:r>
      <w:r w:rsidR="00F47061">
        <w:rPr>
          <w:rFonts w:asciiTheme="minorHAnsi" w:hAnsiTheme="minorHAnsi" w:cstheme="minorHAnsi"/>
          <w:color w:val="auto"/>
        </w:rPr>
        <w:t>Section</w:t>
      </w:r>
      <w:r w:rsidR="00F47061" w:rsidRPr="00871656">
        <w:rPr>
          <w:rFonts w:asciiTheme="minorHAnsi" w:hAnsiTheme="minorHAnsi" w:cstheme="minorHAnsi"/>
          <w:color w:val="auto"/>
        </w:rPr>
        <w:t xml:space="preserve"> </w:t>
      </w:r>
      <w:r w:rsidR="00265812" w:rsidRPr="00871656">
        <w:rPr>
          <w:rFonts w:asciiTheme="minorHAnsi" w:hAnsiTheme="minorHAnsi" w:cstheme="minorHAnsi"/>
          <w:color w:val="auto"/>
        </w:rPr>
        <w:t>4(1) as being the ‘</w:t>
      </w:r>
      <w:r w:rsidR="00265812" w:rsidRPr="00AA1A96">
        <w:rPr>
          <w:rFonts w:asciiTheme="minorHAnsi" w:hAnsiTheme="minorHAnsi" w:cstheme="minorHAnsi"/>
          <w:color w:val="auto"/>
        </w:rPr>
        <w:t xml:space="preserve">disability </w:t>
      </w:r>
      <w:r w:rsidR="00871656" w:rsidRPr="00AA1A96">
        <w:rPr>
          <w:rFonts w:asciiTheme="minorHAnsi" w:hAnsiTheme="minorHAnsi" w:cstheme="minorHAnsi"/>
          <w:color w:val="auto"/>
        </w:rPr>
        <w:t>principles</w:t>
      </w:r>
      <w:r w:rsidR="00265812" w:rsidRPr="00AA1A96">
        <w:rPr>
          <w:rFonts w:asciiTheme="minorHAnsi" w:hAnsiTheme="minorHAnsi" w:cstheme="minorHAnsi"/>
          <w:color w:val="auto"/>
        </w:rPr>
        <w:t>.</w:t>
      </w:r>
      <w:r w:rsidR="00871656" w:rsidRPr="00AA1A96">
        <w:rPr>
          <w:rFonts w:asciiTheme="minorHAnsi" w:hAnsiTheme="minorHAnsi" w:cstheme="minorHAnsi"/>
          <w:color w:val="auto"/>
        </w:rPr>
        <w:t>’</w:t>
      </w:r>
      <w:r w:rsidR="00265812" w:rsidRPr="00871656">
        <w:rPr>
          <w:rFonts w:asciiTheme="minorHAnsi" w:hAnsiTheme="minorHAnsi" w:cstheme="minorHAnsi"/>
          <w:color w:val="auto"/>
        </w:rPr>
        <w:t xml:space="preserve"> </w:t>
      </w:r>
      <w:r w:rsidR="00AB331A" w:rsidRPr="00871656">
        <w:rPr>
          <w:rFonts w:asciiTheme="minorHAnsi" w:hAnsiTheme="minorHAnsi" w:cstheme="minorHAnsi"/>
          <w:color w:val="auto"/>
        </w:rPr>
        <w:t>The</w:t>
      </w:r>
      <w:r w:rsidR="00AA1A96">
        <w:rPr>
          <w:rFonts w:asciiTheme="minorHAnsi" w:hAnsiTheme="minorHAnsi" w:cstheme="minorHAnsi"/>
          <w:color w:val="auto"/>
        </w:rPr>
        <w:t xml:space="preserve"> principles</w:t>
      </w:r>
      <w:r w:rsidR="0000457A" w:rsidRPr="00871656">
        <w:rPr>
          <w:rFonts w:asciiTheme="minorHAnsi" w:hAnsiTheme="minorHAnsi" w:cstheme="minorHAnsi"/>
          <w:color w:val="auto"/>
        </w:rPr>
        <w:t xml:space="preserve"> acknowledge</w:t>
      </w:r>
      <w:r w:rsidR="00AB331A" w:rsidRPr="00871656">
        <w:rPr>
          <w:rFonts w:asciiTheme="minorHAnsi" w:hAnsiTheme="minorHAnsi" w:cstheme="minorHAnsi"/>
          <w:color w:val="auto"/>
        </w:rPr>
        <w:t xml:space="preserve"> </w:t>
      </w:r>
      <w:r w:rsidR="0000457A" w:rsidRPr="00871656">
        <w:rPr>
          <w:rFonts w:asciiTheme="minorHAnsi" w:hAnsiTheme="minorHAnsi" w:cstheme="minorHAnsi"/>
          <w:color w:val="auto"/>
        </w:rPr>
        <w:t xml:space="preserve">that </w:t>
      </w:r>
      <w:r w:rsidR="00201AC6" w:rsidRPr="00871656">
        <w:rPr>
          <w:rFonts w:asciiTheme="minorHAnsi" w:hAnsiTheme="minorHAnsi" w:cstheme="minorHAnsi"/>
          <w:color w:val="auto"/>
        </w:rPr>
        <w:t xml:space="preserve">people with disability </w:t>
      </w:r>
      <w:r w:rsidR="00342054" w:rsidRPr="00871656">
        <w:rPr>
          <w:rFonts w:asciiTheme="minorHAnsi" w:hAnsiTheme="minorHAnsi" w:cstheme="minorHAnsi"/>
          <w:color w:val="auto"/>
        </w:rPr>
        <w:t>‘</w:t>
      </w:r>
      <w:r w:rsidR="00201AC6" w:rsidRPr="00871656">
        <w:rPr>
          <w:rFonts w:asciiTheme="minorHAnsi" w:hAnsiTheme="minorHAnsi" w:cstheme="minorHAnsi"/>
          <w:color w:val="auto"/>
        </w:rPr>
        <w:t>have an inherent right to respect for their worth and dignity as individuals</w:t>
      </w:r>
      <w:r w:rsidR="00AB331A" w:rsidRPr="00871656">
        <w:rPr>
          <w:rFonts w:asciiTheme="minorHAnsi" w:hAnsiTheme="minorHAnsi" w:cstheme="minorHAnsi"/>
          <w:color w:val="auto"/>
        </w:rPr>
        <w:t>,</w:t>
      </w:r>
      <w:r w:rsidR="00342054" w:rsidRPr="00871656">
        <w:rPr>
          <w:rFonts w:asciiTheme="minorHAnsi" w:hAnsiTheme="minorHAnsi" w:cstheme="minorHAnsi"/>
          <w:color w:val="auto"/>
        </w:rPr>
        <w:t>’</w:t>
      </w:r>
      <w:r w:rsidR="00AB331A" w:rsidRPr="00871656">
        <w:rPr>
          <w:rStyle w:val="FootnoteReference"/>
          <w:rFonts w:asciiTheme="minorHAnsi" w:hAnsiTheme="minorHAnsi" w:cstheme="minorHAnsi"/>
          <w:color w:val="auto"/>
        </w:rPr>
        <w:footnoteReference w:id="31"/>
      </w:r>
      <w:r w:rsidR="00AB331A" w:rsidRPr="00871656">
        <w:rPr>
          <w:rFonts w:asciiTheme="minorHAnsi" w:hAnsiTheme="minorHAnsi" w:cstheme="minorHAnsi"/>
          <w:color w:val="auto"/>
        </w:rPr>
        <w:t xml:space="preserve"> </w:t>
      </w:r>
      <w:r w:rsidR="00D127FC" w:rsidRPr="00871656">
        <w:rPr>
          <w:rFonts w:asciiTheme="minorHAnsi" w:hAnsiTheme="minorHAnsi" w:cstheme="minorHAnsi"/>
          <w:color w:val="auto"/>
        </w:rPr>
        <w:t xml:space="preserve">and a </w:t>
      </w:r>
      <w:r w:rsidR="00342054" w:rsidRPr="00871656">
        <w:rPr>
          <w:rFonts w:asciiTheme="minorHAnsi" w:hAnsiTheme="minorHAnsi" w:cstheme="minorHAnsi"/>
          <w:color w:val="auto"/>
        </w:rPr>
        <w:t>‘</w:t>
      </w:r>
      <w:r w:rsidR="00D127FC" w:rsidRPr="00871656">
        <w:rPr>
          <w:rFonts w:asciiTheme="minorHAnsi" w:hAnsiTheme="minorHAnsi" w:cstheme="minorHAnsi"/>
          <w:color w:val="auto"/>
        </w:rPr>
        <w:t>right to access information in a way that is appropriate for their disability and cultural background and enables them to make informed choices</w:t>
      </w:r>
      <w:r w:rsidR="00AB331A" w:rsidRPr="00871656">
        <w:rPr>
          <w:rFonts w:asciiTheme="minorHAnsi" w:hAnsiTheme="minorHAnsi" w:cstheme="minorHAnsi"/>
          <w:color w:val="auto"/>
        </w:rPr>
        <w:t>.</w:t>
      </w:r>
      <w:r w:rsidR="00342054" w:rsidRPr="00871656">
        <w:rPr>
          <w:rFonts w:asciiTheme="minorHAnsi" w:hAnsiTheme="minorHAnsi" w:cstheme="minorHAnsi"/>
          <w:color w:val="auto"/>
        </w:rPr>
        <w:t>’</w:t>
      </w:r>
      <w:r w:rsidR="00AB331A" w:rsidRPr="00871656">
        <w:rPr>
          <w:rStyle w:val="FootnoteReference"/>
          <w:rFonts w:asciiTheme="minorHAnsi" w:hAnsiTheme="minorHAnsi" w:cstheme="minorHAnsi"/>
          <w:color w:val="auto"/>
        </w:rPr>
        <w:footnoteReference w:id="32"/>
      </w:r>
    </w:p>
    <w:p w14:paraId="30A799D1" w14:textId="283E7A32" w:rsidR="00CE0B8D" w:rsidRDefault="00704FA9" w:rsidP="008A3ECE">
      <w:pPr>
        <w:pStyle w:val="BodyText"/>
        <w:spacing w:line="312" w:lineRule="auto"/>
      </w:pPr>
      <w:r w:rsidRPr="00871656">
        <w:t xml:space="preserve">PWDA </w:t>
      </w:r>
      <w:r w:rsidR="005133D3" w:rsidRPr="00871656">
        <w:t>suggests</w:t>
      </w:r>
      <w:r w:rsidRPr="00871656">
        <w:t xml:space="preserve"> t</w:t>
      </w:r>
      <w:r w:rsidR="00BB77A1" w:rsidRPr="00871656">
        <w:t>h</w:t>
      </w:r>
      <w:r w:rsidR="0001574C" w:rsidRPr="00871656">
        <w:t>e objects</w:t>
      </w:r>
      <w:r w:rsidR="00F94465" w:rsidRPr="00871656">
        <w:t xml:space="preserve"> </w:t>
      </w:r>
      <w:r w:rsidR="00210C29" w:rsidRPr="00871656">
        <w:t xml:space="preserve">in </w:t>
      </w:r>
      <w:r w:rsidR="00044916">
        <w:t>S</w:t>
      </w:r>
      <w:r w:rsidR="00044916" w:rsidRPr="00871656">
        <w:t xml:space="preserve">ection </w:t>
      </w:r>
      <w:r w:rsidR="00F94465" w:rsidRPr="00871656">
        <w:t>3</w:t>
      </w:r>
      <w:r w:rsidR="00210C29" w:rsidRPr="00871656">
        <w:t xml:space="preserve"> </w:t>
      </w:r>
      <w:r w:rsidR="0001574C" w:rsidRPr="00871656">
        <w:t xml:space="preserve">and </w:t>
      </w:r>
      <w:r w:rsidR="00AB331A" w:rsidRPr="00871656">
        <w:t xml:space="preserve">the </w:t>
      </w:r>
      <w:r w:rsidR="00F94465" w:rsidRPr="00871656">
        <w:t xml:space="preserve">disability principles </w:t>
      </w:r>
      <w:r w:rsidR="00210C29" w:rsidRPr="00871656">
        <w:t xml:space="preserve">in </w:t>
      </w:r>
      <w:r w:rsidR="001F159A">
        <w:t>S</w:t>
      </w:r>
      <w:r w:rsidR="00AB331A" w:rsidRPr="00871656">
        <w:t>ection</w:t>
      </w:r>
      <w:r w:rsidR="00F94465" w:rsidRPr="00871656">
        <w:t xml:space="preserve"> 4</w:t>
      </w:r>
      <w:r w:rsidR="00210C29" w:rsidRPr="00871656">
        <w:t xml:space="preserve"> </w:t>
      </w:r>
      <w:r w:rsidRPr="00871656">
        <w:t>of the DIA</w:t>
      </w:r>
      <w:r w:rsidR="00BB77A1" w:rsidRPr="00871656">
        <w:t xml:space="preserve"> </w:t>
      </w:r>
      <w:r w:rsidR="00521981" w:rsidRPr="00871656">
        <w:t xml:space="preserve">provide </w:t>
      </w:r>
      <w:r w:rsidRPr="00871656">
        <w:t xml:space="preserve">some </w:t>
      </w:r>
      <w:r w:rsidR="00BB77A1" w:rsidRPr="00871656">
        <w:t>guidance to a review of the</w:t>
      </w:r>
      <w:r w:rsidR="00700342" w:rsidRPr="00871656">
        <w:t xml:space="preserve"> ADA</w:t>
      </w:r>
      <w:r w:rsidR="00BB77A1" w:rsidRPr="00871656">
        <w:t xml:space="preserve">. </w:t>
      </w:r>
      <w:r w:rsidR="00CE0B8D" w:rsidRPr="00871656">
        <w:t xml:space="preserve">PWDA believes that as a minimum, all legislation, regulation, government action, and other public sphere activity </w:t>
      </w:r>
      <w:r w:rsidR="004C5BF6">
        <w:t xml:space="preserve">in NSW </w:t>
      </w:r>
      <w:r w:rsidR="00CE0B8D" w:rsidRPr="00871656">
        <w:t>must consider how it is consistent with the</w:t>
      </w:r>
      <w:r w:rsidR="00CE0B8D" w:rsidRPr="00AA1A96">
        <w:t xml:space="preserve"> objects and disability principles </w:t>
      </w:r>
      <w:r w:rsidR="00CE0B8D" w:rsidRPr="00871656">
        <w:t xml:space="preserve">contained in the DIA. </w:t>
      </w:r>
    </w:p>
    <w:p w14:paraId="5720402D" w14:textId="5EE8BFD5" w:rsidR="00057E44" w:rsidRPr="00B721AE" w:rsidRDefault="00A0675C" w:rsidP="008A3ECE">
      <w:pPr>
        <w:pStyle w:val="Heading3"/>
        <w:spacing w:line="312" w:lineRule="auto"/>
        <w:rPr>
          <w:rFonts w:cs="Arial"/>
        </w:rPr>
      </w:pPr>
      <w:bookmarkStart w:id="90" w:name="_Toc146291279"/>
      <w:bookmarkStart w:id="91" w:name="_Toc146877525"/>
      <w:r w:rsidRPr="00B721AE">
        <w:lastRenderedPageBreak/>
        <w:t>R</w:t>
      </w:r>
      <w:r w:rsidR="00B47109" w:rsidRPr="00B721AE">
        <w:t>ecommendations</w:t>
      </w:r>
      <w:bookmarkEnd w:id="90"/>
      <w:bookmarkEnd w:id="91"/>
    </w:p>
    <w:p w14:paraId="276B844E" w14:textId="77777777" w:rsidR="001D037F" w:rsidRPr="001D037F" w:rsidRDefault="001D037F" w:rsidP="008A3ECE">
      <w:pPr>
        <w:spacing w:before="0" w:after="5" w:line="312" w:lineRule="auto"/>
        <w:contextualSpacing/>
        <w:rPr>
          <w:rFonts w:ascii="Arial" w:eastAsia="Arial" w:hAnsi="Arial" w:cs="Arial"/>
        </w:rPr>
      </w:pPr>
      <w:r w:rsidRPr="001D037F">
        <w:rPr>
          <w:rFonts w:ascii="Arial" w:eastAsia="Arial" w:hAnsi="Arial" w:cs="Arial"/>
          <w:b/>
          <w:bCs/>
        </w:rPr>
        <w:t xml:space="preserve">Recommendation 1 – </w:t>
      </w:r>
      <w:r w:rsidRPr="001D037F">
        <w:rPr>
          <w:rFonts w:ascii="Arial" w:eastAsia="Arial" w:hAnsi="Arial" w:cs="Arial"/>
        </w:rPr>
        <w:t>The new Anti-Discrimination Act (ADA) must be informed by, and grounded in, a human rights model of disability, which recognises human dignity as the foundation for all rights and recognises the critical importance of intersectionality.</w:t>
      </w:r>
    </w:p>
    <w:p w14:paraId="62BF62C0" w14:textId="77777777" w:rsidR="001D037F" w:rsidRPr="001D037F" w:rsidRDefault="001D037F" w:rsidP="008A3ECE">
      <w:pPr>
        <w:spacing w:before="0" w:after="5" w:line="312" w:lineRule="auto"/>
        <w:contextualSpacing/>
        <w:rPr>
          <w:rFonts w:ascii="Arial" w:eastAsia="Arial" w:hAnsi="Arial" w:cs="Arial"/>
          <w:b/>
          <w:bCs/>
        </w:rPr>
      </w:pPr>
    </w:p>
    <w:p w14:paraId="633C455A" w14:textId="77777777" w:rsidR="001D037F" w:rsidRPr="001D037F" w:rsidRDefault="001D037F" w:rsidP="008A3ECE">
      <w:pPr>
        <w:spacing w:before="0" w:after="5" w:line="312" w:lineRule="auto"/>
        <w:contextualSpacing/>
        <w:rPr>
          <w:rFonts w:ascii="Arial" w:eastAsia="Arial" w:hAnsi="Arial" w:cs="Arial"/>
        </w:rPr>
      </w:pPr>
      <w:r w:rsidRPr="001D037F">
        <w:rPr>
          <w:rFonts w:ascii="Arial" w:eastAsia="Arial" w:hAnsi="Arial" w:cs="Arial"/>
          <w:b/>
          <w:bCs/>
        </w:rPr>
        <w:t xml:space="preserve">Recommendation 2 – </w:t>
      </w:r>
      <w:r w:rsidRPr="001D037F">
        <w:rPr>
          <w:rFonts w:ascii="Arial" w:eastAsia="Arial" w:hAnsi="Arial" w:cs="Arial"/>
        </w:rPr>
        <w:t xml:space="preserve">The ADA must recognise the primacy of international human rights instruments (such as the CRPD) as being the basis from which rights flow and reflect and support the purposes and principles of those instruments without qualification.   </w:t>
      </w:r>
    </w:p>
    <w:p w14:paraId="1A3D733A" w14:textId="77777777" w:rsidR="001D037F" w:rsidRPr="001D037F" w:rsidRDefault="001D037F" w:rsidP="008A3ECE">
      <w:pPr>
        <w:spacing w:before="0" w:after="5" w:line="312" w:lineRule="auto"/>
        <w:contextualSpacing/>
        <w:rPr>
          <w:rFonts w:ascii="Arial" w:eastAsia="Arial" w:hAnsi="Arial" w:cs="Arial"/>
        </w:rPr>
      </w:pPr>
    </w:p>
    <w:p w14:paraId="427A3044" w14:textId="77777777" w:rsidR="001D037F" w:rsidRPr="001D037F" w:rsidRDefault="001D037F" w:rsidP="008A3ECE">
      <w:pPr>
        <w:spacing w:before="0" w:after="5" w:line="312" w:lineRule="auto"/>
        <w:contextualSpacing/>
        <w:rPr>
          <w:rFonts w:ascii="Arial" w:eastAsia="Arial" w:hAnsi="Arial" w:cs="Arial"/>
        </w:rPr>
      </w:pPr>
      <w:r w:rsidRPr="001D037F">
        <w:rPr>
          <w:rFonts w:ascii="Arial" w:eastAsia="Arial" w:hAnsi="Arial" w:cs="Arial"/>
          <w:b/>
          <w:bCs/>
        </w:rPr>
        <w:t>Recommendation 3 –</w:t>
      </w:r>
      <w:r w:rsidRPr="001D037F">
        <w:rPr>
          <w:rFonts w:ascii="Arial" w:eastAsia="Arial" w:hAnsi="Arial" w:cs="Arial"/>
        </w:rPr>
        <w:t xml:space="preserve"> Anti-Discrimination NSW must expand delivery of community education to all NSW residents about the ADA, so all are aware of their obligations to prevent discrimination from occurring. The ADA and its objects need to be promoted as part of this community education with the aim to combat attitudinal barriers to inclusion, advance and protect human rights broadly in NSW, and achieve substantive equality.    </w:t>
      </w:r>
    </w:p>
    <w:p w14:paraId="7025FE77" w14:textId="77777777" w:rsidR="00BA1B07" w:rsidRDefault="00BA1B07" w:rsidP="008A3ECE">
      <w:pPr>
        <w:spacing w:before="0" w:after="5" w:line="312" w:lineRule="auto"/>
        <w:contextualSpacing/>
        <w:rPr>
          <w:rFonts w:cstheme="minorHAnsi"/>
        </w:rPr>
      </w:pPr>
    </w:p>
    <w:p w14:paraId="4DDAF1C6" w14:textId="77777777" w:rsidR="008A3ECE" w:rsidRDefault="008A3ECE" w:rsidP="008A3ECE">
      <w:pPr>
        <w:spacing w:before="0" w:after="5" w:line="312" w:lineRule="auto"/>
        <w:contextualSpacing/>
        <w:rPr>
          <w:rFonts w:cstheme="minorHAnsi"/>
        </w:rPr>
      </w:pPr>
    </w:p>
    <w:p w14:paraId="15CAEC70" w14:textId="77777777" w:rsidR="008A3ECE" w:rsidRDefault="008A3ECE" w:rsidP="008A3ECE">
      <w:pPr>
        <w:spacing w:before="0" w:after="5" w:line="312" w:lineRule="auto"/>
        <w:contextualSpacing/>
        <w:rPr>
          <w:rFonts w:cstheme="minorHAnsi"/>
        </w:rPr>
      </w:pPr>
    </w:p>
    <w:p w14:paraId="4739B644" w14:textId="77777777" w:rsidR="008A3ECE" w:rsidRDefault="008A3ECE" w:rsidP="008A3ECE">
      <w:pPr>
        <w:spacing w:before="0" w:after="5" w:line="312" w:lineRule="auto"/>
        <w:contextualSpacing/>
        <w:rPr>
          <w:rFonts w:cstheme="minorHAnsi"/>
        </w:rPr>
      </w:pPr>
    </w:p>
    <w:p w14:paraId="40CE3016" w14:textId="77777777" w:rsidR="008A3ECE" w:rsidRDefault="008A3ECE" w:rsidP="008A3ECE">
      <w:pPr>
        <w:spacing w:before="0" w:after="5" w:line="312" w:lineRule="auto"/>
        <w:contextualSpacing/>
        <w:rPr>
          <w:rFonts w:cstheme="minorHAnsi"/>
        </w:rPr>
      </w:pPr>
    </w:p>
    <w:p w14:paraId="207A6358" w14:textId="77777777" w:rsidR="008A3ECE" w:rsidRDefault="008A3ECE" w:rsidP="008A3ECE">
      <w:pPr>
        <w:spacing w:before="0" w:after="5" w:line="312" w:lineRule="auto"/>
        <w:contextualSpacing/>
        <w:rPr>
          <w:rFonts w:cstheme="minorHAnsi"/>
        </w:rPr>
      </w:pPr>
    </w:p>
    <w:p w14:paraId="51E4E41A" w14:textId="77777777" w:rsidR="008A3ECE" w:rsidRDefault="008A3ECE" w:rsidP="008A3ECE">
      <w:pPr>
        <w:spacing w:before="0" w:after="5" w:line="312" w:lineRule="auto"/>
        <w:contextualSpacing/>
        <w:rPr>
          <w:rFonts w:cstheme="minorHAnsi"/>
        </w:rPr>
      </w:pPr>
    </w:p>
    <w:p w14:paraId="78DFD311" w14:textId="77777777" w:rsidR="008A3ECE" w:rsidRDefault="008A3ECE" w:rsidP="008A3ECE">
      <w:pPr>
        <w:spacing w:before="0" w:after="5" w:line="312" w:lineRule="auto"/>
        <w:contextualSpacing/>
        <w:rPr>
          <w:rFonts w:cstheme="minorHAnsi"/>
        </w:rPr>
      </w:pPr>
    </w:p>
    <w:p w14:paraId="6CA5E971" w14:textId="77777777" w:rsidR="008A3ECE" w:rsidRDefault="008A3ECE" w:rsidP="008A3ECE">
      <w:pPr>
        <w:spacing w:before="0" w:after="5" w:line="312" w:lineRule="auto"/>
        <w:contextualSpacing/>
        <w:rPr>
          <w:rFonts w:cstheme="minorHAnsi"/>
        </w:rPr>
      </w:pPr>
    </w:p>
    <w:p w14:paraId="1C1769AA" w14:textId="77777777" w:rsidR="008A3ECE" w:rsidRDefault="008A3ECE" w:rsidP="008A3ECE">
      <w:pPr>
        <w:spacing w:before="0" w:after="5" w:line="312" w:lineRule="auto"/>
        <w:contextualSpacing/>
        <w:rPr>
          <w:rFonts w:cstheme="minorHAnsi"/>
        </w:rPr>
      </w:pPr>
    </w:p>
    <w:p w14:paraId="315E0CB6" w14:textId="77777777" w:rsidR="008A3ECE" w:rsidRDefault="008A3ECE" w:rsidP="008A3ECE">
      <w:pPr>
        <w:spacing w:before="0" w:after="5" w:line="312" w:lineRule="auto"/>
        <w:contextualSpacing/>
        <w:rPr>
          <w:rFonts w:cstheme="minorHAnsi"/>
        </w:rPr>
      </w:pPr>
    </w:p>
    <w:p w14:paraId="7352F20A" w14:textId="77777777" w:rsidR="008A3ECE" w:rsidRDefault="008A3ECE" w:rsidP="008A3ECE">
      <w:pPr>
        <w:spacing w:before="0" w:after="5" w:line="312" w:lineRule="auto"/>
        <w:contextualSpacing/>
        <w:rPr>
          <w:rFonts w:cstheme="minorHAnsi"/>
        </w:rPr>
      </w:pPr>
    </w:p>
    <w:p w14:paraId="6AB0C41C" w14:textId="77777777" w:rsidR="008A3ECE" w:rsidRDefault="008A3ECE" w:rsidP="008A3ECE">
      <w:pPr>
        <w:spacing w:before="0" w:after="5" w:line="312" w:lineRule="auto"/>
        <w:contextualSpacing/>
        <w:rPr>
          <w:rFonts w:cstheme="minorHAnsi"/>
        </w:rPr>
      </w:pPr>
    </w:p>
    <w:p w14:paraId="7B031BC9" w14:textId="77777777" w:rsidR="008A3ECE" w:rsidRPr="00871656" w:rsidRDefault="008A3ECE" w:rsidP="008A3ECE">
      <w:pPr>
        <w:spacing w:before="0" w:after="5" w:line="312" w:lineRule="auto"/>
        <w:contextualSpacing/>
        <w:rPr>
          <w:rFonts w:cstheme="minorHAnsi"/>
        </w:rPr>
      </w:pPr>
    </w:p>
    <w:p w14:paraId="7A59541F" w14:textId="75A547B3" w:rsidR="0031667D" w:rsidRPr="008A3ECE" w:rsidRDefault="00CE0948" w:rsidP="008A3ECE">
      <w:pPr>
        <w:pStyle w:val="Heading1"/>
        <w:spacing w:line="312" w:lineRule="auto"/>
        <w:rPr>
          <w:sz w:val="52"/>
          <w:szCs w:val="52"/>
        </w:rPr>
      </w:pPr>
      <w:bookmarkStart w:id="92" w:name="_Toc146877526"/>
      <w:r w:rsidRPr="008A3ECE">
        <w:rPr>
          <w:sz w:val="52"/>
          <w:szCs w:val="52"/>
        </w:rPr>
        <w:lastRenderedPageBreak/>
        <w:t>Part 2</w:t>
      </w:r>
      <w:r w:rsidR="00A0675C" w:rsidRPr="008A3ECE">
        <w:rPr>
          <w:sz w:val="52"/>
          <w:szCs w:val="52"/>
        </w:rPr>
        <w:t xml:space="preserve"> -</w:t>
      </w:r>
      <w:r w:rsidR="00AA1A96" w:rsidRPr="008A3ECE">
        <w:rPr>
          <w:sz w:val="52"/>
          <w:szCs w:val="52"/>
        </w:rPr>
        <w:t xml:space="preserve"> </w:t>
      </w:r>
      <w:r w:rsidR="00927D5A" w:rsidRPr="008A3ECE">
        <w:rPr>
          <w:sz w:val="52"/>
          <w:szCs w:val="52"/>
        </w:rPr>
        <w:t>Towards</w:t>
      </w:r>
      <w:r w:rsidR="00CF3E48" w:rsidRPr="008A3ECE">
        <w:rPr>
          <w:sz w:val="52"/>
          <w:szCs w:val="52"/>
        </w:rPr>
        <w:t xml:space="preserve"> s</w:t>
      </w:r>
      <w:r w:rsidR="00536BDB" w:rsidRPr="008A3ECE">
        <w:rPr>
          <w:sz w:val="52"/>
          <w:szCs w:val="52"/>
        </w:rPr>
        <w:t>ubstantive equality</w:t>
      </w:r>
      <w:r w:rsidR="001B6AAA" w:rsidRPr="008A3ECE">
        <w:rPr>
          <w:sz w:val="52"/>
          <w:szCs w:val="52"/>
        </w:rPr>
        <w:t xml:space="preserve"> and eliminating systemic discrimination</w:t>
      </w:r>
      <w:bookmarkEnd w:id="92"/>
    </w:p>
    <w:p w14:paraId="03F5F560" w14:textId="4535C30B" w:rsidR="007416DC" w:rsidRPr="00871656" w:rsidRDefault="000E5545" w:rsidP="008A3ECE">
      <w:pPr>
        <w:pStyle w:val="BodyText"/>
        <w:spacing w:line="312" w:lineRule="auto"/>
        <w:rPr>
          <w:rFonts w:asciiTheme="minorHAnsi" w:hAnsiTheme="minorHAnsi" w:cstheme="minorHAnsi"/>
        </w:rPr>
      </w:pPr>
      <w:r w:rsidRPr="00871656">
        <w:rPr>
          <w:rFonts w:asciiTheme="minorHAnsi" w:hAnsiTheme="minorHAnsi" w:cstheme="minorHAnsi"/>
        </w:rPr>
        <w:t xml:space="preserve">Anti-discrimination laws are a </w:t>
      </w:r>
      <w:r w:rsidR="008E4F44" w:rsidRPr="00871656">
        <w:rPr>
          <w:rFonts w:asciiTheme="minorHAnsi" w:hAnsiTheme="minorHAnsi" w:cstheme="minorHAnsi"/>
        </w:rPr>
        <w:t>primary method</w:t>
      </w:r>
      <w:r w:rsidRPr="00871656">
        <w:rPr>
          <w:rFonts w:asciiTheme="minorHAnsi" w:hAnsiTheme="minorHAnsi" w:cstheme="minorHAnsi"/>
        </w:rPr>
        <w:t xml:space="preserve"> </w:t>
      </w:r>
      <w:r w:rsidR="008E4F44" w:rsidRPr="00871656">
        <w:rPr>
          <w:rFonts w:asciiTheme="minorHAnsi" w:hAnsiTheme="minorHAnsi" w:cstheme="minorHAnsi"/>
        </w:rPr>
        <w:t>by</w:t>
      </w:r>
      <w:r w:rsidRPr="00871656">
        <w:rPr>
          <w:rFonts w:asciiTheme="minorHAnsi" w:hAnsiTheme="minorHAnsi" w:cstheme="minorHAnsi"/>
        </w:rPr>
        <w:t xml:space="preserve"> which human rights are protected in Australia</w:t>
      </w:r>
      <w:r w:rsidR="008E4F44" w:rsidRPr="00871656">
        <w:rPr>
          <w:rFonts w:asciiTheme="minorHAnsi" w:hAnsiTheme="minorHAnsi" w:cstheme="minorHAnsi"/>
        </w:rPr>
        <w:t>, particularly w</w:t>
      </w:r>
      <w:r w:rsidR="00F47BD7">
        <w:rPr>
          <w:rFonts w:asciiTheme="minorHAnsi" w:hAnsiTheme="minorHAnsi" w:cstheme="minorHAnsi"/>
        </w:rPr>
        <w:t>h</w:t>
      </w:r>
      <w:r w:rsidR="008E4F44" w:rsidRPr="00871656">
        <w:rPr>
          <w:rFonts w:asciiTheme="minorHAnsi" w:hAnsiTheme="minorHAnsi" w:cstheme="minorHAnsi"/>
        </w:rPr>
        <w:t xml:space="preserve">ere the jurisdiction does not have </w:t>
      </w:r>
      <w:r w:rsidR="00AA1A96">
        <w:rPr>
          <w:rFonts w:asciiTheme="minorHAnsi" w:hAnsiTheme="minorHAnsi" w:cstheme="minorHAnsi"/>
        </w:rPr>
        <w:t>h</w:t>
      </w:r>
      <w:r w:rsidR="008E4F44" w:rsidRPr="00871656">
        <w:rPr>
          <w:rFonts w:asciiTheme="minorHAnsi" w:hAnsiTheme="minorHAnsi" w:cstheme="minorHAnsi"/>
        </w:rPr>
        <w:t xml:space="preserve">uman </w:t>
      </w:r>
      <w:r w:rsidR="00AA1A96">
        <w:rPr>
          <w:rFonts w:asciiTheme="minorHAnsi" w:hAnsiTheme="minorHAnsi" w:cstheme="minorHAnsi"/>
        </w:rPr>
        <w:t>r</w:t>
      </w:r>
      <w:r w:rsidR="008E4F44" w:rsidRPr="00871656">
        <w:rPr>
          <w:rFonts w:asciiTheme="minorHAnsi" w:hAnsiTheme="minorHAnsi" w:cstheme="minorHAnsi"/>
        </w:rPr>
        <w:t xml:space="preserve">ights </w:t>
      </w:r>
      <w:r w:rsidR="00AA1A96">
        <w:rPr>
          <w:rFonts w:asciiTheme="minorHAnsi" w:hAnsiTheme="minorHAnsi" w:cstheme="minorHAnsi"/>
        </w:rPr>
        <w:t>legislation, as is the case in NSW.</w:t>
      </w:r>
      <w:r w:rsidRPr="00871656">
        <w:rPr>
          <w:rFonts w:asciiTheme="minorHAnsi" w:hAnsiTheme="minorHAnsi" w:cstheme="minorHAnsi"/>
        </w:rPr>
        <w:t xml:space="preserve"> </w:t>
      </w:r>
      <w:r w:rsidR="00C82213" w:rsidRPr="00871656">
        <w:rPr>
          <w:rFonts w:asciiTheme="minorHAnsi" w:hAnsiTheme="minorHAnsi" w:cstheme="minorHAnsi"/>
        </w:rPr>
        <w:t xml:space="preserve">Promoting </w:t>
      </w:r>
      <w:r w:rsidR="00E67DE2" w:rsidRPr="00871656">
        <w:rPr>
          <w:rFonts w:asciiTheme="minorHAnsi" w:hAnsiTheme="minorHAnsi" w:cstheme="minorHAnsi"/>
        </w:rPr>
        <w:t>substantive</w:t>
      </w:r>
      <w:r w:rsidR="00C82213" w:rsidRPr="00871656">
        <w:rPr>
          <w:rFonts w:asciiTheme="minorHAnsi" w:hAnsiTheme="minorHAnsi" w:cstheme="minorHAnsi"/>
        </w:rPr>
        <w:t xml:space="preserve"> equality and </w:t>
      </w:r>
      <w:r w:rsidR="00E67DE2" w:rsidRPr="00871656">
        <w:rPr>
          <w:rFonts w:asciiTheme="minorHAnsi" w:hAnsiTheme="minorHAnsi" w:cstheme="minorHAnsi"/>
        </w:rPr>
        <w:t>eliminating</w:t>
      </w:r>
      <w:r w:rsidR="00C82213" w:rsidRPr="00871656">
        <w:rPr>
          <w:rFonts w:asciiTheme="minorHAnsi" w:hAnsiTheme="minorHAnsi" w:cstheme="minorHAnsi"/>
        </w:rPr>
        <w:t xml:space="preserve"> systemic discrimination </w:t>
      </w:r>
      <w:r w:rsidR="000537AD" w:rsidRPr="00871656">
        <w:rPr>
          <w:rFonts w:asciiTheme="minorHAnsi" w:hAnsiTheme="minorHAnsi" w:cstheme="minorHAnsi"/>
        </w:rPr>
        <w:t>must</w:t>
      </w:r>
      <w:r w:rsidR="00E67DE2" w:rsidRPr="00871656">
        <w:rPr>
          <w:rFonts w:asciiTheme="minorHAnsi" w:hAnsiTheme="minorHAnsi" w:cstheme="minorHAnsi"/>
        </w:rPr>
        <w:t xml:space="preserve"> be key </w:t>
      </w:r>
      <w:r w:rsidR="000537AD" w:rsidRPr="00871656">
        <w:rPr>
          <w:rFonts w:asciiTheme="minorHAnsi" w:hAnsiTheme="minorHAnsi" w:cstheme="minorHAnsi"/>
        </w:rPr>
        <w:t xml:space="preserve">aims and </w:t>
      </w:r>
      <w:r w:rsidR="00E67DE2" w:rsidRPr="00871656">
        <w:rPr>
          <w:rFonts w:asciiTheme="minorHAnsi" w:hAnsiTheme="minorHAnsi" w:cstheme="minorHAnsi"/>
        </w:rPr>
        <w:t>objectives of the ADA</w:t>
      </w:r>
      <w:r w:rsidR="00FD0174" w:rsidRPr="00871656">
        <w:rPr>
          <w:rFonts w:asciiTheme="minorHAnsi" w:hAnsiTheme="minorHAnsi" w:cstheme="minorHAnsi"/>
        </w:rPr>
        <w:t>.</w:t>
      </w:r>
      <w:r w:rsidR="0072611E" w:rsidRPr="00871656">
        <w:rPr>
          <w:rStyle w:val="FootnoteReference"/>
          <w:rFonts w:asciiTheme="minorHAnsi" w:hAnsiTheme="minorHAnsi" w:cstheme="minorHAnsi"/>
        </w:rPr>
        <w:footnoteReference w:id="33"/>
      </w:r>
    </w:p>
    <w:p w14:paraId="30293D63" w14:textId="42822B89" w:rsidR="00CF188E" w:rsidRPr="00871656" w:rsidRDefault="00DB29D9" w:rsidP="008A3ECE">
      <w:pPr>
        <w:pStyle w:val="BodyText"/>
        <w:spacing w:line="312" w:lineRule="auto"/>
        <w:rPr>
          <w:rFonts w:asciiTheme="minorHAnsi" w:hAnsiTheme="minorHAnsi" w:cstheme="minorHAnsi"/>
        </w:rPr>
      </w:pPr>
      <w:r w:rsidRPr="00871656">
        <w:rPr>
          <w:rFonts w:asciiTheme="minorHAnsi" w:hAnsiTheme="minorHAnsi" w:cstheme="minorHAnsi"/>
        </w:rPr>
        <w:t xml:space="preserve">‘Equality’ is a concept </w:t>
      </w:r>
      <w:r w:rsidR="003238CC" w:rsidRPr="00871656">
        <w:rPr>
          <w:rFonts w:asciiTheme="minorHAnsi" w:hAnsiTheme="minorHAnsi" w:cstheme="minorHAnsi"/>
        </w:rPr>
        <w:t xml:space="preserve">and value </w:t>
      </w:r>
      <w:r w:rsidRPr="00871656">
        <w:rPr>
          <w:rFonts w:asciiTheme="minorHAnsi" w:hAnsiTheme="minorHAnsi" w:cstheme="minorHAnsi"/>
        </w:rPr>
        <w:t>central</w:t>
      </w:r>
      <w:r w:rsidR="00400715" w:rsidRPr="00871656">
        <w:rPr>
          <w:rFonts w:asciiTheme="minorHAnsi" w:hAnsiTheme="minorHAnsi" w:cstheme="minorHAnsi"/>
        </w:rPr>
        <w:t xml:space="preserve"> </w:t>
      </w:r>
      <w:r w:rsidRPr="00871656">
        <w:rPr>
          <w:rFonts w:asciiTheme="minorHAnsi" w:hAnsiTheme="minorHAnsi" w:cstheme="minorHAnsi"/>
        </w:rPr>
        <w:t xml:space="preserve">to </w:t>
      </w:r>
      <w:r w:rsidR="009B675B" w:rsidRPr="00871656">
        <w:rPr>
          <w:rFonts w:asciiTheme="minorHAnsi" w:hAnsiTheme="minorHAnsi" w:cstheme="minorHAnsi"/>
        </w:rPr>
        <w:t>Australia’s</w:t>
      </w:r>
      <w:r w:rsidR="00DB129F" w:rsidRPr="00871656">
        <w:rPr>
          <w:rFonts w:asciiTheme="minorHAnsi" w:hAnsiTheme="minorHAnsi" w:cstheme="minorHAnsi"/>
        </w:rPr>
        <w:t xml:space="preserve"> vision of justice</w:t>
      </w:r>
      <w:r w:rsidRPr="00871656">
        <w:rPr>
          <w:rFonts w:asciiTheme="minorHAnsi" w:hAnsiTheme="minorHAnsi" w:cstheme="minorHAnsi"/>
        </w:rPr>
        <w:t>. However,</w:t>
      </w:r>
      <w:r w:rsidR="00D64A5F" w:rsidRPr="00871656">
        <w:rPr>
          <w:rFonts w:asciiTheme="minorHAnsi" w:hAnsiTheme="minorHAnsi" w:cstheme="minorHAnsi"/>
        </w:rPr>
        <w:t xml:space="preserve"> </w:t>
      </w:r>
      <w:r w:rsidR="005E544A" w:rsidRPr="00871656">
        <w:rPr>
          <w:rFonts w:asciiTheme="minorHAnsi" w:hAnsiTheme="minorHAnsi" w:cstheme="minorHAnsi"/>
        </w:rPr>
        <w:t>conceptions</w:t>
      </w:r>
      <w:r w:rsidRPr="00871656">
        <w:rPr>
          <w:rFonts w:asciiTheme="minorHAnsi" w:hAnsiTheme="minorHAnsi" w:cstheme="minorHAnsi"/>
        </w:rPr>
        <w:t xml:space="preserve"> of </w:t>
      </w:r>
      <w:r w:rsidR="005E544A" w:rsidRPr="00871656">
        <w:rPr>
          <w:rFonts w:asciiTheme="minorHAnsi" w:hAnsiTheme="minorHAnsi" w:cstheme="minorHAnsi"/>
        </w:rPr>
        <w:t>equality</w:t>
      </w:r>
      <w:r w:rsidRPr="00871656">
        <w:rPr>
          <w:rFonts w:asciiTheme="minorHAnsi" w:hAnsiTheme="minorHAnsi" w:cstheme="minorHAnsi"/>
        </w:rPr>
        <w:t xml:space="preserve"> </w:t>
      </w:r>
      <w:r w:rsidR="00D64A5F" w:rsidRPr="00871656">
        <w:rPr>
          <w:rFonts w:asciiTheme="minorHAnsi" w:hAnsiTheme="minorHAnsi" w:cstheme="minorHAnsi"/>
        </w:rPr>
        <w:t xml:space="preserve">in Australia’s systems </w:t>
      </w:r>
      <w:r w:rsidR="003074B0" w:rsidRPr="00871656">
        <w:rPr>
          <w:rFonts w:asciiTheme="minorHAnsi" w:hAnsiTheme="minorHAnsi" w:cstheme="minorHAnsi"/>
        </w:rPr>
        <w:t xml:space="preserve">and </w:t>
      </w:r>
      <w:r w:rsidR="005133D3" w:rsidRPr="00871656">
        <w:rPr>
          <w:rFonts w:asciiTheme="minorHAnsi" w:hAnsiTheme="minorHAnsi" w:cstheme="minorHAnsi"/>
        </w:rPr>
        <w:t xml:space="preserve">the </w:t>
      </w:r>
      <w:r w:rsidR="00877D21" w:rsidRPr="00871656">
        <w:rPr>
          <w:rFonts w:asciiTheme="minorHAnsi" w:hAnsiTheme="minorHAnsi" w:cstheme="minorHAnsi"/>
        </w:rPr>
        <w:t>general</w:t>
      </w:r>
      <w:r w:rsidR="003074B0" w:rsidRPr="00871656">
        <w:rPr>
          <w:rFonts w:asciiTheme="minorHAnsi" w:hAnsiTheme="minorHAnsi" w:cstheme="minorHAnsi"/>
        </w:rPr>
        <w:t xml:space="preserve"> community </w:t>
      </w:r>
      <w:r w:rsidR="004E0D9B" w:rsidRPr="00871656">
        <w:rPr>
          <w:rFonts w:asciiTheme="minorHAnsi" w:hAnsiTheme="minorHAnsi" w:cstheme="minorHAnsi"/>
        </w:rPr>
        <w:t xml:space="preserve">are </w:t>
      </w:r>
      <w:r w:rsidR="008A6F74" w:rsidRPr="00871656">
        <w:rPr>
          <w:rFonts w:asciiTheme="minorHAnsi" w:hAnsiTheme="minorHAnsi" w:cstheme="minorHAnsi"/>
        </w:rPr>
        <w:t>heavily</w:t>
      </w:r>
      <w:r w:rsidR="00D64A5F" w:rsidRPr="00871656">
        <w:rPr>
          <w:rFonts w:asciiTheme="minorHAnsi" w:hAnsiTheme="minorHAnsi" w:cstheme="minorHAnsi"/>
        </w:rPr>
        <w:t xml:space="preserve"> </w:t>
      </w:r>
      <w:r w:rsidR="004E0D9B" w:rsidRPr="00871656">
        <w:rPr>
          <w:rFonts w:asciiTheme="minorHAnsi" w:hAnsiTheme="minorHAnsi" w:cstheme="minorHAnsi"/>
        </w:rPr>
        <w:t xml:space="preserve">influenced </w:t>
      </w:r>
      <w:r w:rsidR="00D64A5F" w:rsidRPr="00871656">
        <w:rPr>
          <w:rFonts w:asciiTheme="minorHAnsi" w:hAnsiTheme="minorHAnsi" w:cstheme="minorHAnsi"/>
        </w:rPr>
        <w:t>by</w:t>
      </w:r>
      <w:r w:rsidR="00D7148A" w:rsidRPr="00871656">
        <w:rPr>
          <w:rFonts w:asciiTheme="minorHAnsi" w:hAnsiTheme="minorHAnsi" w:cstheme="minorHAnsi"/>
        </w:rPr>
        <w:t xml:space="preserve"> </w:t>
      </w:r>
      <w:r w:rsidR="00D64A5F" w:rsidRPr="00871656">
        <w:rPr>
          <w:rFonts w:asciiTheme="minorHAnsi" w:hAnsiTheme="minorHAnsi" w:cstheme="minorHAnsi"/>
        </w:rPr>
        <w:t xml:space="preserve">a </w:t>
      </w:r>
      <w:r w:rsidRPr="00871656">
        <w:rPr>
          <w:rFonts w:asciiTheme="minorHAnsi" w:hAnsiTheme="minorHAnsi" w:cstheme="minorHAnsi"/>
        </w:rPr>
        <w:t>‘</w:t>
      </w:r>
      <w:r w:rsidR="005E544A" w:rsidRPr="00871656">
        <w:rPr>
          <w:rFonts w:asciiTheme="minorHAnsi" w:hAnsiTheme="minorHAnsi" w:cstheme="minorHAnsi"/>
        </w:rPr>
        <w:t>formal</w:t>
      </w:r>
      <w:r w:rsidRPr="00871656">
        <w:rPr>
          <w:rFonts w:asciiTheme="minorHAnsi" w:hAnsiTheme="minorHAnsi" w:cstheme="minorHAnsi"/>
        </w:rPr>
        <w:t xml:space="preserve"> equality’</w:t>
      </w:r>
      <w:r w:rsidR="00D64A5F" w:rsidRPr="00871656">
        <w:rPr>
          <w:rFonts w:asciiTheme="minorHAnsi" w:hAnsiTheme="minorHAnsi" w:cstheme="minorHAnsi"/>
        </w:rPr>
        <w:t xml:space="preserve"> vie</w:t>
      </w:r>
      <w:r w:rsidR="00062A74" w:rsidRPr="00871656">
        <w:rPr>
          <w:rFonts w:asciiTheme="minorHAnsi" w:hAnsiTheme="minorHAnsi" w:cstheme="minorHAnsi"/>
        </w:rPr>
        <w:t>w</w:t>
      </w:r>
      <w:r w:rsidR="00403837">
        <w:rPr>
          <w:rFonts w:asciiTheme="minorHAnsi" w:hAnsiTheme="minorHAnsi" w:cstheme="minorHAnsi"/>
        </w:rPr>
        <w:t xml:space="preserve">, and the formal equality view </w:t>
      </w:r>
      <w:r w:rsidR="008A6F74" w:rsidRPr="00871656">
        <w:rPr>
          <w:rFonts w:asciiTheme="minorHAnsi" w:hAnsiTheme="minorHAnsi" w:cstheme="minorHAnsi"/>
        </w:rPr>
        <w:t>dominates</w:t>
      </w:r>
      <w:r w:rsidR="004E0D9B" w:rsidRPr="00871656">
        <w:rPr>
          <w:rFonts w:asciiTheme="minorHAnsi" w:hAnsiTheme="minorHAnsi" w:cstheme="minorHAnsi"/>
        </w:rPr>
        <w:t xml:space="preserve"> </w:t>
      </w:r>
      <w:r w:rsidR="00D64A5F" w:rsidRPr="00871656">
        <w:rPr>
          <w:rFonts w:asciiTheme="minorHAnsi" w:hAnsiTheme="minorHAnsi" w:cstheme="minorHAnsi"/>
        </w:rPr>
        <w:t>understandings of the purpose of anti-discrimination laws.</w:t>
      </w:r>
      <w:r w:rsidR="00D64A5F" w:rsidRPr="00871656">
        <w:rPr>
          <w:rStyle w:val="FootnoteReference"/>
          <w:rFonts w:asciiTheme="minorHAnsi" w:hAnsiTheme="minorHAnsi" w:cstheme="minorHAnsi"/>
        </w:rPr>
        <w:footnoteReference w:id="34"/>
      </w:r>
      <w:r w:rsidR="00325AA7">
        <w:rPr>
          <w:rFonts w:asciiTheme="minorHAnsi" w:hAnsiTheme="minorHAnsi" w:cstheme="minorHAnsi"/>
        </w:rPr>
        <w:t xml:space="preserve"> </w:t>
      </w:r>
      <w:r w:rsidR="004D1FA3">
        <w:rPr>
          <w:rFonts w:asciiTheme="minorHAnsi" w:hAnsiTheme="minorHAnsi" w:cstheme="minorHAnsi"/>
        </w:rPr>
        <w:t xml:space="preserve">The formal view of equality is classically conceived of as ‘likes must be treated alike’. </w:t>
      </w:r>
    </w:p>
    <w:p w14:paraId="29219CDB" w14:textId="55359395" w:rsidR="00403837" w:rsidRDefault="00200E75" w:rsidP="008A3ECE">
      <w:pPr>
        <w:pStyle w:val="BodyText"/>
        <w:spacing w:line="312" w:lineRule="auto"/>
        <w:rPr>
          <w:rFonts w:asciiTheme="minorHAnsi" w:hAnsiTheme="minorHAnsi" w:cstheme="minorHAnsi"/>
        </w:rPr>
      </w:pPr>
      <w:r w:rsidRPr="00871656">
        <w:rPr>
          <w:rFonts w:asciiTheme="minorHAnsi" w:hAnsiTheme="minorHAnsi" w:cstheme="minorHAnsi"/>
        </w:rPr>
        <w:t xml:space="preserve">Formal equality </w:t>
      </w:r>
      <w:r w:rsidR="00D6055E" w:rsidRPr="00871656">
        <w:rPr>
          <w:rFonts w:asciiTheme="minorHAnsi" w:hAnsiTheme="minorHAnsi" w:cstheme="minorHAnsi"/>
        </w:rPr>
        <w:t xml:space="preserve">has an advantage in </w:t>
      </w:r>
      <w:r w:rsidR="00CF3C77" w:rsidRPr="00871656">
        <w:rPr>
          <w:rFonts w:asciiTheme="minorHAnsi" w:hAnsiTheme="minorHAnsi" w:cstheme="minorHAnsi"/>
        </w:rPr>
        <w:t>appearing</w:t>
      </w:r>
      <w:r w:rsidR="00D6055E" w:rsidRPr="00871656">
        <w:rPr>
          <w:rFonts w:asciiTheme="minorHAnsi" w:hAnsiTheme="minorHAnsi" w:cstheme="minorHAnsi"/>
        </w:rPr>
        <w:t xml:space="preserve"> neutral. </w:t>
      </w:r>
      <w:r w:rsidR="00CF188E" w:rsidRPr="00871656">
        <w:rPr>
          <w:rFonts w:asciiTheme="minorHAnsi" w:hAnsiTheme="minorHAnsi" w:cstheme="minorHAnsi"/>
        </w:rPr>
        <w:t>However,</w:t>
      </w:r>
      <w:r w:rsidR="005F31E1">
        <w:rPr>
          <w:rFonts w:asciiTheme="minorHAnsi" w:hAnsiTheme="minorHAnsi" w:cstheme="minorHAnsi"/>
        </w:rPr>
        <w:t xml:space="preserve"> </w:t>
      </w:r>
      <w:r w:rsidR="00CF188E" w:rsidRPr="00871656">
        <w:rPr>
          <w:rFonts w:asciiTheme="minorHAnsi" w:hAnsiTheme="minorHAnsi" w:cstheme="minorHAnsi"/>
        </w:rPr>
        <w:t>it is not concerned about equality of outcome</w:t>
      </w:r>
      <w:r w:rsidR="008A6F74" w:rsidRPr="00871656">
        <w:rPr>
          <w:rFonts w:asciiTheme="minorHAnsi" w:hAnsiTheme="minorHAnsi" w:cstheme="minorHAnsi"/>
        </w:rPr>
        <w:t>.</w:t>
      </w:r>
      <w:r w:rsidR="008A6F74" w:rsidRPr="00871656">
        <w:rPr>
          <w:rStyle w:val="FootnoteReference"/>
          <w:rFonts w:asciiTheme="minorHAnsi" w:hAnsiTheme="minorHAnsi" w:cstheme="minorHAnsi"/>
        </w:rPr>
        <w:footnoteReference w:id="35"/>
      </w:r>
      <w:r w:rsidR="00CF188E" w:rsidRPr="00871656">
        <w:rPr>
          <w:rFonts w:asciiTheme="minorHAnsi" w:hAnsiTheme="minorHAnsi" w:cstheme="minorHAnsi"/>
        </w:rPr>
        <w:t xml:space="preserve"> </w:t>
      </w:r>
      <w:r w:rsidR="008A6F74" w:rsidRPr="00871656">
        <w:rPr>
          <w:rFonts w:asciiTheme="minorHAnsi" w:hAnsiTheme="minorHAnsi" w:cstheme="minorHAnsi"/>
        </w:rPr>
        <w:t>This is contrasted with a</w:t>
      </w:r>
      <w:r w:rsidR="00CF188E" w:rsidRPr="00871656">
        <w:rPr>
          <w:rFonts w:asciiTheme="minorHAnsi" w:hAnsiTheme="minorHAnsi" w:cstheme="minorHAnsi"/>
        </w:rPr>
        <w:t xml:space="preserve"> substantive vision of equality </w:t>
      </w:r>
      <w:r w:rsidR="00716CC2">
        <w:rPr>
          <w:rFonts w:asciiTheme="minorHAnsi" w:hAnsiTheme="minorHAnsi" w:cstheme="minorHAnsi"/>
        </w:rPr>
        <w:t xml:space="preserve">which is focused on equality of outcomes and </w:t>
      </w:r>
      <w:r w:rsidR="00D63684">
        <w:rPr>
          <w:rFonts w:asciiTheme="minorHAnsi" w:hAnsiTheme="minorHAnsi" w:cstheme="minorHAnsi"/>
        </w:rPr>
        <w:t>opportunity</w:t>
      </w:r>
      <w:r w:rsidR="000D12DE">
        <w:rPr>
          <w:rFonts w:asciiTheme="minorHAnsi" w:hAnsiTheme="minorHAnsi" w:cstheme="minorHAnsi"/>
        </w:rPr>
        <w:t xml:space="preserve">. </w:t>
      </w:r>
      <w:r w:rsidR="00FC371A">
        <w:rPr>
          <w:rFonts w:asciiTheme="minorHAnsi" w:hAnsiTheme="minorHAnsi" w:cstheme="minorHAnsi"/>
        </w:rPr>
        <w:t xml:space="preserve">Substantive equality is </w:t>
      </w:r>
      <w:r w:rsidR="00CF188E" w:rsidRPr="00871656">
        <w:rPr>
          <w:rFonts w:asciiTheme="minorHAnsi" w:hAnsiTheme="minorHAnsi" w:cstheme="minorHAnsi"/>
        </w:rPr>
        <w:t xml:space="preserve">based on a </w:t>
      </w:r>
      <w:r w:rsidR="00CF188E" w:rsidRPr="00403837">
        <w:rPr>
          <w:rFonts w:asciiTheme="minorHAnsi" w:hAnsiTheme="minorHAnsi" w:cstheme="minorHAnsi"/>
        </w:rPr>
        <w:t>human rights model</w:t>
      </w:r>
      <w:r w:rsidR="00CF188E" w:rsidRPr="00871656">
        <w:rPr>
          <w:rFonts w:asciiTheme="minorHAnsi" w:hAnsiTheme="minorHAnsi" w:cstheme="minorHAnsi"/>
        </w:rPr>
        <w:t xml:space="preserve"> </w:t>
      </w:r>
      <w:r w:rsidR="00D63684">
        <w:rPr>
          <w:rFonts w:asciiTheme="minorHAnsi" w:hAnsiTheme="minorHAnsi" w:cstheme="minorHAnsi"/>
        </w:rPr>
        <w:t>of social relations that</w:t>
      </w:r>
      <w:r w:rsidR="008E77EB" w:rsidRPr="00871656">
        <w:rPr>
          <w:rFonts w:asciiTheme="minorHAnsi" w:hAnsiTheme="minorHAnsi" w:cstheme="minorHAnsi"/>
        </w:rPr>
        <w:t xml:space="preserve"> acknowledge</w:t>
      </w:r>
      <w:r w:rsidR="0031667D" w:rsidRPr="00871656">
        <w:rPr>
          <w:rFonts w:asciiTheme="minorHAnsi" w:hAnsiTheme="minorHAnsi" w:cstheme="minorHAnsi"/>
        </w:rPr>
        <w:t>s</w:t>
      </w:r>
      <w:r w:rsidR="008E77EB" w:rsidRPr="00871656">
        <w:rPr>
          <w:rFonts w:asciiTheme="minorHAnsi" w:hAnsiTheme="minorHAnsi" w:cstheme="minorHAnsi"/>
        </w:rPr>
        <w:t xml:space="preserve"> difference and diversity </w:t>
      </w:r>
      <w:r w:rsidR="005A7AAA" w:rsidRPr="00871656">
        <w:rPr>
          <w:rFonts w:asciiTheme="minorHAnsi" w:hAnsiTheme="minorHAnsi" w:cstheme="minorHAnsi"/>
        </w:rPr>
        <w:t>as key to human identity and dignity</w:t>
      </w:r>
      <w:r w:rsidR="00673F42">
        <w:rPr>
          <w:rFonts w:asciiTheme="minorHAnsi" w:hAnsiTheme="minorHAnsi" w:cstheme="minorHAnsi"/>
        </w:rPr>
        <w:t xml:space="preserve">. It </w:t>
      </w:r>
      <w:r w:rsidR="006E25CA">
        <w:rPr>
          <w:rFonts w:asciiTheme="minorHAnsi" w:hAnsiTheme="minorHAnsi" w:cstheme="minorHAnsi"/>
        </w:rPr>
        <w:t xml:space="preserve">recognises </w:t>
      </w:r>
      <w:r w:rsidR="00673F42">
        <w:rPr>
          <w:rFonts w:asciiTheme="minorHAnsi" w:hAnsiTheme="minorHAnsi" w:cstheme="minorHAnsi"/>
        </w:rPr>
        <w:t>people</w:t>
      </w:r>
      <w:r w:rsidR="006E25CA">
        <w:rPr>
          <w:rFonts w:asciiTheme="minorHAnsi" w:hAnsiTheme="minorHAnsi" w:cstheme="minorHAnsi"/>
        </w:rPr>
        <w:t xml:space="preserve"> start from different positions with different characteristics</w:t>
      </w:r>
      <w:r w:rsidR="003B21AD">
        <w:rPr>
          <w:rFonts w:asciiTheme="minorHAnsi" w:hAnsiTheme="minorHAnsi" w:cstheme="minorHAnsi"/>
        </w:rPr>
        <w:t>, and therefore may require reasonable adjustments</w:t>
      </w:r>
      <w:r w:rsidR="00784746">
        <w:rPr>
          <w:rFonts w:asciiTheme="minorHAnsi" w:hAnsiTheme="minorHAnsi" w:cstheme="minorHAnsi"/>
        </w:rPr>
        <w:t xml:space="preserve"> to assist </w:t>
      </w:r>
      <w:r w:rsidR="00673F42">
        <w:rPr>
          <w:rFonts w:asciiTheme="minorHAnsi" w:hAnsiTheme="minorHAnsi" w:cstheme="minorHAnsi"/>
        </w:rPr>
        <w:t>them</w:t>
      </w:r>
      <w:r w:rsidR="00784746">
        <w:rPr>
          <w:rFonts w:asciiTheme="minorHAnsi" w:hAnsiTheme="minorHAnsi" w:cstheme="minorHAnsi"/>
        </w:rPr>
        <w:t xml:space="preserve"> </w:t>
      </w:r>
      <w:r w:rsidR="00673F42">
        <w:rPr>
          <w:rFonts w:asciiTheme="minorHAnsi" w:hAnsiTheme="minorHAnsi" w:cstheme="minorHAnsi"/>
        </w:rPr>
        <w:t>to fully participate in the community</w:t>
      </w:r>
      <w:r w:rsidR="006E25CA">
        <w:rPr>
          <w:rFonts w:asciiTheme="minorHAnsi" w:hAnsiTheme="minorHAnsi" w:cstheme="minorHAnsi"/>
        </w:rPr>
        <w:t xml:space="preserve">. </w:t>
      </w:r>
    </w:p>
    <w:p w14:paraId="1B25C749" w14:textId="6A1B4E77" w:rsidR="00410E04" w:rsidRPr="00871656" w:rsidRDefault="00771849" w:rsidP="008A3ECE">
      <w:pPr>
        <w:pStyle w:val="FootnoteText"/>
        <w:spacing w:line="312" w:lineRule="auto"/>
        <w:rPr>
          <w:rFonts w:cstheme="minorHAnsi"/>
          <w:sz w:val="24"/>
          <w:szCs w:val="24"/>
        </w:rPr>
      </w:pPr>
      <w:r w:rsidRPr="00871656">
        <w:rPr>
          <w:rFonts w:cstheme="minorHAnsi"/>
          <w:sz w:val="24"/>
          <w:szCs w:val="24"/>
        </w:rPr>
        <w:t>The Committee on the Rights of Persons with Disabilities</w:t>
      </w:r>
      <w:r w:rsidR="00403837">
        <w:rPr>
          <w:rFonts w:cstheme="minorHAnsi"/>
          <w:sz w:val="24"/>
          <w:szCs w:val="24"/>
        </w:rPr>
        <w:t xml:space="preserve"> </w:t>
      </w:r>
      <w:r w:rsidR="00A13B62" w:rsidRPr="00871656">
        <w:rPr>
          <w:rFonts w:cstheme="minorHAnsi"/>
          <w:sz w:val="24"/>
          <w:szCs w:val="24"/>
        </w:rPr>
        <w:t xml:space="preserve">notes </w:t>
      </w:r>
      <w:r w:rsidR="00D612BA" w:rsidRPr="00871656">
        <w:rPr>
          <w:rFonts w:cstheme="minorHAnsi"/>
          <w:sz w:val="24"/>
          <w:szCs w:val="24"/>
        </w:rPr>
        <w:t>formal equality may</w:t>
      </w:r>
      <w:r w:rsidR="00210C29" w:rsidRPr="00871656">
        <w:rPr>
          <w:rFonts w:cstheme="minorHAnsi"/>
          <w:sz w:val="24"/>
          <w:szCs w:val="24"/>
        </w:rPr>
        <w:t>:</w:t>
      </w:r>
      <w:r w:rsidR="00D612BA" w:rsidRPr="00871656">
        <w:rPr>
          <w:rFonts w:cstheme="minorHAnsi"/>
          <w:sz w:val="24"/>
          <w:szCs w:val="24"/>
        </w:rPr>
        <w:t xml:space="preserve"> </w:t>
      </w:r>
    </w:p>
    <w:p w14:paraId="6894E9BF" w14:textId="4336C69B" w:rsidR="00146C80" w:rsidRPr="00146C80" w:rsidRDefault="00210C29" w:rsidP="008A3ECE">
      <w:pPr>
        <w:pStyle w:val="FootnoteText"/>
        <w:spacing w:line="312" w:lineRule="auto"/>
        <w:ind w:left="720"/>
        <w:rPr>
          <w:rFonts w:eastAsia="Calibri" w:cstheme="minorHAnsi"/>
          <w:kern w:val="2"/>
          <w:sz w:val="24"/>
          <w:szCs w:val="24"/>
          <w:lang w:val="en-US"/>
          <w14:ligatures w14:val="standardContextual"/>
        </w:rPr>
      </w:pPr>
      <w:r w:rsidRPr="00403837">
        <w:rPr>
          <w:rFonts w:cstheme="minorHAnsi"/>
          <w:i/>
          <w:iCs/>
          <w:sz w:val="24"/>
          <w:szCs w:val="24"/>
        </w:rPr>
        <w:t>C</w:t>
      </w:r>
      <w:r w:rsidR="00D612BA" w:rsidRPr="00403837">
        <w:rPr>
          <w:rFonts w:cstheme="minorHAnsi"/>
          <w:i/>
          <w:iCs/>
          <w:sz w:val="24"/>
          <w:szCs w:val="24"/>
        </w:rPr>
        <w:t xml:space="preserve">ombat negative </w:t>
      </w:r>
      <w:r w:rsidR="00410E04" w:rsidRPr="00403837">
        <w:rPr>
          <w:rFonts w:cstheme="minorHAnsi"/>
          <w:i/>
          <w:iCs/>
          <w:sz w:val="24"/>
          <w:szCs w:val="24"/>
        </w:rPr>
        <w:t>stereotyping</w:t>
      </w:r>
      <w:r w:rsidR="00D612BA" w:rsidRPr="00403837">
        <w:rPr>
          <w:rFonts w:cstheme="minorHAnsi"/>
          <w:i/>
          <w:iCs/>
          <w:sz w:val="24"/>
          <w:szCs w:val="24"/>
        </w:rPr>
        <w:t xml:space="preserve"> and prejudices, but it cannot offer solutions for the </w:t>
      </w:r>
      <w:r w:rsidR="00342054" w:rsidRPr="00403837">
        <w:rPr>
          <w:rFonts w:cstheme="minorHAnsi"/>
          <w:i/>
          <w:iCs/>
          <w:sz w:val="24"/>
          <w:szCs w:val="24"/>
        </w:rPr>
        <w:t>‘</w:t>
      </w:r>
      <w:r w:rsidR="00D612BA" w:rsidRPr="00403837">
        <w:rPr>
          <w:rFonts w:cstheme="minorHAnsi"/>
          <w:i/>
          <w:iCs/>
          <w:sz w:val="24"/>
          <w:szCs w:val="24"/>
        </w:rPr>
        <w:t>dilemma of difference</w:t>
      </w:r>
      <w:r w:rsidR="00410E04" w:rsidRPr="00403837">
        <w:rPr>
          <w:rFonts w:cstheme="minorHAnsi"/>
          <w:i/>
          <w:iCs/>
          <w:sz w:val="24"/>
          <w:szCs w:val="24"/>
        </w:rPr>
        <w:t>,</w:t>
      </w:r>
      <w:r w:rsidR="00342054" w:rsidRPr="00403837">
        <w:rPr>
          <w:rFonts w:cstheme="minorHAnsi"/>
          <w:i/>
          <w:iCs/>
          <w:sz w:val="24"/>
          <w:szCs w:val="24"/>
        </w:rPr>
        <w:t>’</w:t>
      </w:r>
      <w:r w:rsidR="00410E04" w:rsidRPr="00403837">
        <w:rPr>
          <w:rFonts w:cstheme="minorHAnsi"/>
          <w:i/>
          <w:iCs/>
          <w:sz w:val="24"/>
          <w:szCs w:val="24"/>
        </w:rPr>
        <w:t xml:space="preserve"> as it does not consider and embrace differences among</w:t>
      </w:r>
      <w:r w:rsidR="007C2DC4" w:rsidRPr="00403837">
        <w:rPr>
          <w:rFonts w:cstheme="minorHAnsi"/>
          <w:i/>
          <w:iCs/>
          <w:sz w:val="24"/>
          <w:szCs w:val="24"/>
        </w:rPr>
        <w:t xml:space="preserve"> </w:t>
      </w:r>
      <w:r w:rsidR="007C2DC4" w:rsidRPr="00403837">
        <w:rPr>
          <w:rFonts w:eastAsia="Calibri" w:cstheme="minorHAnsi"/>
          <w:i/>
          <w:iCs/>
          <w:kern w:val="2"/>
          <w:sz w:val="24"/>
          <w:szCs w:val="24"/>
          <w:lang w:val="en-US"/>
          <w14:ligatures w14:val="standardContextual"/>
        </w:rPr>
        <w:t xml:space="preserve">human beings. Substantive equality, by contrast, also seeks to address structural and indirect discrimination and takes into account power relations. It acknowledges that the </w:t>
      </w:r>
      <w:r w:rsidR="00342054" w:rsidRPr="00403837">
        <w:rPr>
          <w:rFonts w:eastAsia="Calibri" w:cstheme="minorHAnsi"/>
          <w:i/>
          <w:iCs/>
          <w:kern w:val="2"/>
          <w:sz w:val="24"/>
          <w:szCs w:val="24"/>
          <w:lang w:val="en-US"/>
          <w14:ligatures w14:val="standardContextual"/>
        </w:rPr>
        <w:t>‘</w:t>
      </w:r>
      <w:r w:rsidR="007C2DC4" w:rsidRPr="00403837">
        <w:rPr>
          <w:rFonts w:eastAsia="Calibri" w:cstheme="minorHAnsi"/>
          <w:i/>
          <w:iCs/>
          <w:kern w:val="2"/>
          <w:sz w:val="24"/>
          <w:szCs w:val="24"/>
          <w:lang w:val="en-US"/>
          <w14:ligatures w14:val="standardContextual"/>
        </w:rPr>
        <w:t>dilemma of difference</w:t>
      </w:r>
      <w:r w:rsidR="00342054" w:rsidRPr="00403837">
        <w:rPr>
          <w:rFonts w:eastAsia="Calibri" w:cstheme="minorHAnsi"/>
          <w:i/>
          <w:iCs/>
          <w:kern w:val="2"/>
          <w:sz w:val="24"/>
          <w:szCs w:val="24"/>
          <w:lang w:val="en-US"/>
          <w14:ligatures w14:val="standardContextual"/>
        </w:rPr>
        <w:t>’</w:t>
      </w:r>
      <w:r w:rsidR="007C2DC4" w:rsidRPr="00403837">
        <w:rPr>
          <w:rFonts w:eastAsia="Calibri" w:cstheme="minorHAnsi"/>
          <w:i/>
          <w:iCs/>
          <w:kern w:val="2"/>
          <w:sz w:val="24"/>
          <w:szCs w:val="24"/>
          <w:lang w:val="en-US"/>
          <w14:ligatures w14:val="standardContextual"/>
        </w:rPr>
        <w:t xml:space="preserve"> entails both ignoring and acknowledging differences among human beings in order to achieve equality</w:t>
      </w:r>
      <w:r w:rsidR="00A302A6" w:rsidRPr="00403837">
        <w:rPr>
          <w:rFonts w:eastAsia="Calibri" w:cstheme="minorHAnsi"/>
          <w:i/>
          <w:iCs/>
          <w:kern w:val="2"/>
          <w:sz w:val="24"/>
          <w:szCs w:val="24"/>
          <w:lang w:val="en-US"/>
          <w14:ligatures w14:val="standardContextual"/>
        </w:rPr>
        <w:t>.</w:t>
      </w:r>
      <w:r w:rsidR="00403837">
        <w:rPr>
          <w:rFonts w:eastAsia="Calibri" w:cstheme="minorHAnsi"/>
          <w:kern w:val="2"/>
          <w:sz w:val="24"/>
          <w:szCs w:val="24"/>
          <w:lang w:val="en-US"/>
          <w14:ligatures w14:val="standardContextual"/>
        </w:rPr>
        <w:t xml:space="preserve"> </w:t>
      </w:r>
      <w:r w:rsidR="00A302A6" w:rsidRPr="00871656">
        <w:rPr>
          <w:rStyle w:val="FootnoteReference"/>
          <w:rFonts w:eastAsia="Calibri" w:cstheme="minorHAnsi"/>
          <w:kern w:val="2"/>
          <w:sz w:val="24"/>
          <w:szCs w:val="24"/>
          <w:lang w:val="en-US"/>
          <w14:ligatures w14:val="standardContextual"/>
        </w:rPr>
        <w:footnoteReference w:id="36"/>
      </w:r>
    </w:p>
    <w:p w14:paraId="609F4290" w14:textId="191C8A21" w:rsidR="006E567A" w:rsidRDefault="007A472A" w:rsidP="008A3ECE">
      <w:pPr>
        <w:pStyle w:val="BodyText"/>
        <w:spacing w:line="312" w:lineRule="auto"/>
        <w:rPr>
          <w:rFonts w:cstheme="minorHAnsi"/>
          <w:bCs/>
        </w:rPr>
      </w:pPr>
      <w:r w:rsidRPr="00146C80">
        <w:rPr>
          <w:rStyle w:val="BodyTextChar"/>
        </w:rPr>
        <w:lastRenderedPageBreak/>
        <w:t>Alic</w:t>
      </w:r>
      <w:r w:rsidR="00D5201F" w:rsidRPr="00146C80">
        <w:rPr>
          <w:rStyle w:val="BodyTextChar"/>
        </w:rPr>
        <w:t>e</w:t>
      </w:r>
      <w:r w:rsidRPr="00146C80">
        <w:rPr>
          <w:rStyle w:val="BodyTextChar"/>
        </w:rPr>
        <w:t xml:space="preserve"> Taylor similarly argue</w:t>
      </w:r>
      <w:r w:rsidR="00325AA7">
        <w:rPr>
          <w:rStyle w:val="BodyTextChar"/>
        </w:rPr>
        <w:t>s</w:t>
      </w:r>
      <w:r w:rsidRPr="00146C80">
        <w:rPr>
          <w:rStyle w:val="BodyTextChar"/>
        </w:rPr>
        <w:t xml:space="preserve"> that </w:t>
      </w:r>
      <w:r w:rsidR="00D5201F" w:rsidRPr="00146C80">
        <w:rPr>
          <w:rStyle w:val="BodyTextChar"/>
        </w:rPr>
        <w:t>w</w:t>
      </w:r>
      <w:r w:rsidR="00403837" w:rsidRPr="00146C80">
        <w:rPr>
          <w:rStyle w:val="BodyTextChar"/>
        </w:rPr>
        <w:t>hile</w:t>
      </w:r>
      <w:r w:rsidR="002867E2" w:rsidRPr="00146C80">
        <w:rPr>
          <w:rStyle w:val="BodyTextChar"/>
        </w:rPr>
        <w:t xml:space="preserve"> </w:t>
      </w:r>
      <w:r w:rsidR="000C20F4" w:rsidRPr="00146C80">
        <w:rPr>
          <w:rStyle w:val="BodyTextChar"/>
        </w:rPr>
        <w:t xml:space="preserve">formal approaches to anti-discrimination law </w:t>
      </w:r>
      <w:r w:rsidR="00855B88" w:rsidRPr="00146C80">
        <w:rPr>
          <w:rStyle w:val="BodyTextChar"/>
        </w:rPr>
        <w:t>do have a place by</w:t>
      </w:r>
      <w:r w:rsidR="006B2B92" w:rsidRPr="00146C80">
        <w:rPr>
          <w:rStyle w:val="BodyTextChar"/>
        </w:rPr>
        <w:t xml:space="preserve"> protect</w:t>
      </w:r>
      <w:r w:rsidR="00855B88" w:rsidRPr="00146C80">
        <w:rPr>
          <w:rStyle w:val="BodyTextChar"/>
        </w:rPr>
        <w:t xml:space="preserve">ing </w:t>
      </w:r>
      <w:r w:rsidR="006B2B92" w:rsidRPr="00146C80">
        <w:rPr>
          <w:rStyle w:val="BodyTextChar"/>
        </w:rPr>
        <w:t>people from obvious forms of discriminatory treatment</w:t>
      </w:r>
      <w:r w:rsidR="00403837" w:rsidRPr="00146C80">
        <w:rPr>
          <w:rStyle w:val="BodyTextChar"/>
        </w:rPr>
        <w:t xml:space="preserve">, </w:t>
      </w:r>
      <w:r w:rsidRPr="00146C80">
        <w:rPr>
          <w:rStyle w:val="BodyTextChar"/>
        </w:rPr>
        <w:t xml:space="preserve">they </w:t>
      </w:r>
      <w:r w:rsidR="00403837" w:rsidRPr="00146C80">
        <w:rPr>
          <w:rStyle w:val="BodyTextChar"/>
        </w:rPr>
        <w:t xml:space="preserve">do </w:t>
      </w:r>
      <w:r w:rsidR="001D61FB" w:rsidRPr="00146C80">
        <w:rPr>
          <w:rStyle w:val="BodyTextChar"/>
        </w:rPr>
        <w:t>‘</w:t>
      </w:r>
      <w:r w:rsidR="00F80227" w:rsidRPr="00146C80">
        <w:rPr>
          <w:rStyle w:val="BodyTextChar"/>
        </w:rPr>
        <w:t xml:space="preserve">not require any broader change to </w:t>
      </w:r>
      <w:r w:rsidR="00752E46" w:rsidRPr="00146C80">
        <w:rPr>
          <w:rStyle w:val="BodyTextChar"/>
        </w:rPr>
        <w:t>practices</w:t>
      </w:r>
      <w:r w:rsidR="00F80227" w:rsidRPr="00146C80">
        <w:rPr>
          <w:rStyle w:val="BodyTextChar"/>
        </w:rPr>
        <w:t xml:space="preserve"> or policy which continue to exclude those who are different</w:t>
      </w:r>
      <w:r w:rsidR="00342054" w:rsidRPr="00146C80">
        <w:rPr>
          <w:rStyle w:val="BodyTextChar"/>
        </w:rPr>
        <w:t>’</w:t>
      </w:r>
      <w:r w:rsidR="004722F4" w:rsidRPr="00146C80">
        <w:rPr>
          <w:rStyle w:val="BodyTextChar"/>
        </w:rPr>
        <w:t xml:space="preserve"> and </w:t>
      </w:r>
      <w:r w:rsidR="00A72801" w:rsidRPr="00146C80">
        <w:rPr>
          <w:rStyle w:val="BodyTextChar"/>
        </w:rPr>
        <w:t>are</w:t>
      </w:r>
      <w:r w:rsidR="004722F4" w:rsidRPr="00146C80">
        <w:rPr>
          <w:rStyle w:val="BodyTextChar"/>
        </w:rPr>
        <w:t xml:space="preserve"> therefore ‘</w:t>
      </w:r>
      <w:r w:rsidR="004722F4" w:rsidRPr="00E31D6E">
        <w:rPr>
          <w:rStyle w:val="BodyTextChar"/>
          <w:shd w:val="clear" w:color="auto" w:fill="FFFFFF" w:themeFill="background1"/>
        </w:rPr>
        <w:t>an ineffective framework to utilise when considering provisions designed to provide a more positive and substantive form of equality.</w:t>
      </w:r>
      <w:r w:rsidR="004722F4" w:rsidRPr="00E31D6E">
        <w:rPr>
          <w:rStyle w:val="BodyTextChar"/>
        </w:rPr>
        <w:t>’</w:t>
      </w:r>
      <w:r w:rsidR="00752E46" w:rsidRPr="00E31D6E">
        <w:rPr>
          <w:rStyle w:val="FootnoteReference"/>
          <w:rFonts w:asciiTheme="minorHAnsi" w:hAnsiTheme="minorHAnsi" w:cstheme="minorHAnsi"/>
        </w:rPr>
        <w:footnoteReference w:id="37"/>
      </w:r>
      <w:r w:rsidR="00903D61" w:rsidRPr="00871656">
        <w:rPr>
          <w:rFonts w:asciiTheme="minorHAnsi" w:hAnsiTheme="minorHAnsi" w:cstheme="minorHAnsi"/>
        </w:rPr>
        <w:t xml:space="preserve"> </w:t>
      </w:r>
      <w:r w:rsidR="00CD14CC">
        <w:rPr>
          <w:rFonts w:asciiTheme="minorHAnsi" w:hAnsiTheme="minorHAnsi" w:cstheme="minorHAnsi"/>
        </w:rPr>
        <w:t xml:space="preserve">  </w:t>
      </w:r>
    </w:p>
    <w:p w14:paraId="7578147D" w14:textId="28274718" w:rsidR="00325AA7" w:rsidRPr="00871656" w:rsidRDefault="005C6BBD" w:rsidP="008A3ECE">
      <w:pPr>
        <w:pStyle w:val="BodyText"/>
        <w:spacing w:line="312" w:lineRule="auto"/>
        <w:rPr>
          <w:rFonts w:asciiTheme="minorHAnsi" w:hAnsiTheme="minorHAnsi" w:cstheme="minorHAnsi"/>
        </w:rPr>
      </w:pPr>
      <w:r>
        <w:rPr>
          <w:rFonts w:asciiTheme="minorHAnsi" w:hAnsiTheme="minorHAnsi" w:cstheme="minorHAnsi"/>
        </w:rPr>
        <w:t xml:space="preserve">The practical result </w:t>
      </w:r>
      <w:r w:rsidR="000037B8">
        <w:rPr>
          <w:rFonts w:asciiTheme="minorHAnsi" w:hAnsiTheme="minorHAnsi" w:cstheme="minorHAnsi"/>
        </w:rPr>
        <w:t>of</w:t>
      </w:r>
      <w:r w:rsidR="00325AA7" w:rsidRPr="00871656">
        <w:rPr>
          <w:rFonts w:asciiTheme="minorHAnsi" w:hAnsiTheme="minorHAnsi" w:cstheme="minorHAnsi"/>
        </w:rPr>
        <w:t xml:space="preserve"> </w:t>
      </w:r>
      <w:r w:rsidR="00C10518">
        <w:rPr>
          <w:rFonts w:asciiTheme="minorHAnsi" w:hAnsiTheme="minorHAnsi" w:cstheme="minorHAnsi"/>
        </w:rPr>
        <w:t>the</w:t>
      </w:r>
      <w:r w:rsidR="00811A89">
        <w:rPr>
          <w:rFonts w:asciiTheme="minorHAnsi" w:hAnsiTheme="minorHAnsi" w:cstheme="minorHAnsi"/>
        </w:rPr>
        <w:t xml:space="preserve"> </w:t>
      </w:r>
      <w:r w:rsidR="00325AA7" w:rsidRPr="00871656">
        <w:rPr>
          <w:rFonts w:asciiTheme="minorHAnsi" w:hAnsiTheme="minorHAnsi" w:cstheme="minorHAnsi"/>
        </w:rPr>
        <w:t xml:space="preserve">ignoring </w:t>
      </w:r>
      <w:r w:rsidR="00811A89">
        <w:rPr>
          <w:rFonts w:asciiTheme="minorHAnsi" w:hAnsiTheme="minorHAnsi" w:cstheme="minorHAnsi"/>
        </w:rPr>
        <w:t xml:space="preserve">of </w:t>
      </w:r>
      <w:r w:rsidR="00325AA7" w:rsidRPr="00871656">
        <w:rPr>
          <w:rFonts w:asciiTheme="minorHAnsi" w:hAnsiTheme="minorHAnsi" w:cstheme="minorHAnsi"/>
        </w:rPr>
        <w:t xml:space="preserve">individual characteristics and differences (such as disability) </w:t>
      </w:r>
      <w:r w:rsidR="004C6549">
        <w:rPr>
          <w:rFonts w:asciiTheme="minorHAnsi" w:hAnsiTheme="minorHAnsi" w:cstheme="minorHAnsi"/>
        </w:rPr>
        <w:t xml:space="preserve">by formal equality </w:t>
      </w:r>
      <w:r w:rsidR="00E959C2">
        <w:rPr>
          <w:rFonts w:asciiTheme="minorHAnsi" w:hAnsiTheme="minorHAnsi" w:cstheme="minorHAnsi"/>
        </w:rPr>
        <w:t>(</w:t>
      </w:r>
      <w:r w:rsidR="004C6549">
        <w:rPr>
          <w:rFonts w:asciiTheme="minorHAnsi" w:hAnsiTheme="minorHAnsi" w:cstheme="minorHAnsi"/>
        </w:rPr>
        <w:t>in terms of actual outcome</w:t>
      </w:r>
      <w:r w:rsidR="00E959C2">
        <w:rPr>
          <w:rFonts w:asciiTheme="minorHAnsi" w:hAnsiTheme="minorHAnsi" w:cstheme="minorHAnsi"/>
        </w:rPr>
        <w:t>)</w:t>
      </w:r>
      <w:r w:rsidR="004C6549">
        <w:rPr>
          <w:rFonts w:asciiTheme="minorHAnsi" w:hAnsiTheme="minorHAnsi" w:cstheme="minorHAnsi"/>
        </w:rPr>
        <w:t xml:space="preserve"> is </w:t>
      </w:r>
      <w:r w:rsidR="00E959C2">
        <w:rPr>
          <w:rFonts w:asciiTheme="minorHAnsi" w:hAnsiTheme="minorHAnsi" w:cstheme="minorHAnsi"/>
        </w:rPr>
        <w:t xml:space="preserve">the perpetuation of </w:t>
      </w:r>
      <w:r w:rsidR="00325AA7" w:rsidRPr="00871656">
        <w:rPr>
          <w:rFonts w:asciiTheme="minorHAnsi" w:hAnsiTheme="minorHAnsi" w:cstheme="minorHAnsi"/>
        </w:rPr>
        <w:t>a particular norm</w:t>
      </w:r>
      <w:r w:rsidR="00E959C2">
        <w:rPr>
          <w:rFonts w:asciiTheme="minorHAnsi" w:hAnsiTheme="minorHAnsi" w:cstheme="minorHAnsi"/>
        </w:rPr>
        <w:t xml:space="preserve"> which </w:t>
      </w:r>
      <w:r w:rsidR="00325AA7" w:rsidRPr="00871656">
        <w:rPr>
          <w:rFonts w:asciiTheme="minorHAnsi" w:hAnsiTheme="minorHAnsi" w:cstheme="minorHAnsi"/>
        </w:rPr>
        <w:t>den</w:t>
      </w:r>
      <w:r w:rsidR="00E959C2">
        <w:rPr>
          <w:rFonts w:asciiTheme="minorHAnsi" w:hAnsiTheme="minorHAnsi" w:cstheme="minorHAnsi"/>
        </w:rPr>
        <w:t>ies</w:t>
      </w:r>
      <w:r w:rsidR="00325AA7" w:rsidRPr="00871656">
        <w:rPr>
          <w:rFonts w:asciiTheme="minorHAnsi" w:hAnsiTheme="minorHAnsi" w:cstheme="minorHAnsi"/>
        </w:rPr>
        <w:t xml:space="preserve"> </w:t>
      </w:r>
      <w:r w:rsidR="00E959C2">
        <w:rPr>
          <w:rFonts w:asciiTheme="minorHAnsi" w:hAnsiTheme="minorHAnsi" w:cstheme="minorHAnsi"/>
        </w:rPr>
        <w:t>the</w:t>
      </w:r>
      <w:r w:rsidR="00325AA7" w:rsidRPr="00871656">
        <w:rPr>
          <w:rFonts w:asciiTheme="minorHAnsi" w:hAnsiTheme="minorHAnsi" w:cstheme="minorHAnsi"/>
        </w:rPr>
        <w:t xml:space="preserve"> identity </w:t>
      </w:r>
      <w:r w:rsidR="00E959C2">
        <w:rPr>
          <w:rFonts w:asciiTheme="minorHAnsi" w:hAnsiTheme="minorHAnsi" w:cstheme="minorHAnsi"/>
        </w:rPr>
        <w:t>and</w:t>
      </w:r>
      <w:r w:rsidR="00C315BD">
        <w:rPr>
          <w:rFonts w:asciiTheme="minorHAnsi" w:hAnsiTheme="minorHAnsi" w:cstheme="minorHAnsi"/>
        </w:rPr>
        <w:t xml:space="preserve"> </w:t>
      </w:r>
      <w:r w:rsidR="00325AA7" w:rsidRPr="00871656">
        <w:rPr>
          <w:rFonts w:asciiTheme="minorHAnsi" w:hAnsiTheme="minorHAnsi" w:cstheme="minorHAnsi"/>
        </w:rPr>
        <w:t xml:space="preserve">full </w:t>
      </w:r>
      <w:r w:rsidR="00E959C2">
        <w:rPr>
          <w:rFonts w:asciiTheme="minorHAnsi" w:hAnsiTheme="minorHAnsi" w:cstheme="minorHAnsi"/>
        </w:rPr>
        <w:t xml:space="preserve">inclusion </w:t>
      </w:r>
      <w:r w:rsidR="00325AA7" w:rsidRPr="00871656">
        <w:rPr>
          <w:rFonts w:asciiTheme="minorHAnsi" w:hAnsiTheme="minorHAnsi" w:cstheme="minorHAnsi"/>
        </w:rPr>
        <w:t xml:space="preserve">in </w:t>
      </w:r>
      <w:r w:rsidR="00981209">
        <w:rPr>
          <w:rFonts w:asciiTheme="minorHAnsi" w:hAnsiTheme="minorHAnsi" w:cstheme="minorHAnsi"/>
        </w:rPr>
        <w:t xml:space="preserve">the community </w:t>
      </w:r>
      <w:r w:rsidR="00E959C2">
        <w:rPr>
          <w:rFonts w:asciiTheme="minorHAnsi" w:hAnsiTheme="minorHAnsi" w:cstheme="minorHAnsi"/>
        </w:rPr>
        <w:t xml:space="preserve">of </w:t>
      </w:r>
      <w:r w:rsidR="00811A89">
        <w:rPr>
          <w:rFonts w:asciiTheme="minorHAnsi" w:hAnsiTheme="minorHAnsi" w:cstheme="minorHAnsi"/>
        </w:rPr>
        <w:t>people with disability</w:t>
      </w:r>
      <w:r w:rsidR="00325AA7" w:rsidRPr="00871656">
        <w:rPr>
          <w:rFonts w:asciiTheme="minorHAnsi" w:hAnsiTheme="minorHAnsi" w:cstheme="minorHAnsi"/>
        </w:rPr>
        <w:t xml:space="preserve">. As Justice Brennan observed in </w:t>
      </w:r>
      <w:r w:rsidR="00325AA7" w:rsidRPr="00871656">
        <w:rPr>
          <w:rFonts w:asciiTheme="minorHAnsi" w:hAnsiTheme="minorHAnsi" w:cstheme="minorHAnsi"/>
          <w:i/>
          <w:iCs/>
        </w:rPr>
        <w:t>Gerhardy v Brown</w:t>
      </w:r>
      <w:r w:rsidR="008A3ECE">
        <w:rPr>
          <w:rFonts w:asciiTheme="minorHAnsi" w:hAnsiTheme="minorHAnsi" w:cstheme="minorHAnsi"/>
        </w:rPr>
        <w:t>:</w:t>
      </w:r>
    </w:p>
    <w:p w14:paraId="1AB6F7BF" w14:textId="77777777" w:rsidR="00325AA7" w:rsidRPr="00403837" w:rsidRDefault="00325AA7" w:rsidP="008A3ECE">
      <w:pPr>
        <w:pStyle w:val="FootnoteText"/>
        <w:spacing w:line="312" w:lineRule="auto"/>
        <w:ind w:left="720"/>
        <w:rPr>
          <w:rStyle w:val="FootnoteReference"/>
          <w:rFonts w:cstheme="minorHAnsi"/>
          <w:sz w:val="24"/>
          <w:szCs w:val="24"/>
        </w:rPr>
      </w:pPr>
      <w:r w:rsidRPr="00403837">
        <w:rPr>
          <w:rFonts w:cstheme="minorHAnsi"/>
          <w:i/>
          <w:iCs/>
          <w:sz w:val="24"/>
          <w:szCs w:val="24"/>
        </w:rPr>
        <w:t>Formal equality before the law is an engine of oppression destructive of human dignity if the law entrenches inequalities ‘in the political, economic, social cultural or any other field of public life’.</w:t>
      </w:r>
      <w:r w:rsidRPr="00403837">
        <w:rPr>
          <w:rStyle w:val="FootnoteReference"/>
          <w:rFonts w:cstheme="minorHAnsi"/>
          <w:sz w:val="24"/>
          <w:szCs w:val="24"/>
        </w:rPr>
        <w:t xml:space="preserve"> </w:t>
      </w:r>
      <w:r w:rsidRPr="00403837">
        <w:rPr>
          <w:rStyle w:val="FootnoteReference"/>
          <w:rFonts w:cstheme="minorHAnsi"/>
          <w:sz w:val="24"/>
          <w:szCs w:val="24"/>
        </w:rPr>
        <w:footnoteReference w:id="38"/>
      </w:r>
    </w:p>
    <w:p w14:paraId="318648FF" w14:textId="1F9B343A" w:rsidR="00BA204D" w:rsidRDefault="007758F5" w:rsidP="008A3ECE">
      <w:pPr>
        <w:pStyle w:val="BodyText"/>
        <w:spacing w:line="312" w:lineRule="auto"/>
        <w:rPr>
          <w:rFonts w:asciiTheme="minorHAnsi" w:hAnsiTheme="minorHAnsi" w:cstheme="minorHAnsi"/>
        </w:rPr>
      </w:pPr>
      <w:r>
        <w:rPr>
          <w:rFonts w:asciiTheme="minorHAnsi" w:hAnsiTheme="minorHAnsi" w:cstheme="minorHAnsi"/>
        </w:rPr>
        <w:t>PWDA submits that</w:t>
      </w:r>
      <w:r w:rsidR="00BA204D">
        <w:rPr>
          <w:rFonts w:asciiTheme="minorHAnsi" w:hAnsiTheme="minorHAnsi" w:cstheme="minorHAnsi"/>
        </w:rPr>
        <w:t xml:space="preserve"> an over reliance on formal equality has entrenched </w:t>
      </w:r>
      <w:r w:rsidR="008917A0">
        <w:rPr>
          <w:rFonts w:asciiTheme="minorHAnsi" w:hAnsiTheme="minorHAnsi" w:cstheme="minorHAnsi"/>
        </w:rPr>
        <w:t>inequalities across multiple systems in NSW</w:t>
      </w:r>
      <w:r w:rsidR="00BE268E">
        <w:rPr>
          <w:rFonts w:asciiTheme="minorHAnsi" w:hAnsiTheme="minorHAnsi" w:cstheme="minorHAnsi"/>
        </w:rPr>
        <w:t xml:space="preserve">, including health, </w:t>
      </w:r>
      <w:r w:rsidR="002732CA">
        <w:rPr>
          <w:rFonts w:asciiTheme="minorHAnsi" w:hAnsiTheme="minorHAnsi" w:cstheme="minorHAnsi"/>
        </w:rPr>
        <w:t>education,</w:t>
      </w:r>
      <w:r w:rsidR="00BE268E">
        <w:rPr>
          <w:rFonts w:asciiTheme="minorHAnsi" w:hAnsiTheme="minorHAnsi" w:cstheme="minorHAnsi"/>
        </w:rPr>
        <w:t xml:space="preserve"> and justice</w:t>
      </w:r>
      <w:r w:rsidR="002732CA">
        <w:rPr>
          <w:rFonts w:asciiTheme="minorHAnsi" w:hAnsiTheme="minorHAnsi" w:cstheme="minorHAnsi"/>
        </w:rPr>
        <w:t xml:space="preserve"> and</w:t>
      </w:r>
      <w:r w:rsidR="00495EC0">
        <w:rPr>
          <w:rFonts w:asciiTheme="minorHAnsi" w:hAnsiTheme="minorHAnsi" w:cstheme="minorHAnsi"/>
        </w:rPr>
        <w:t xml:space="preserve"> </w:t>
      </w:r>
      <w:r w:rsidR="002732CA">
        <w:rPr>
          <w:rFonts w:asciiTheme="minorHAnsi" w:hAnsiTheme="minorHAnsi" w:cstheme="minorHAnsi"/>
        </w:rPr>
        <w:t xml:space="preserve">that the only way to tackle these are through </w:t>
      </w:r>
      <w:r w:rsidR="00495EC0">
        <w:rPr>
          <w:rFonts w:asciiTheme="minorHAnsi" w:hAnsiTheme="minorHAnsi" w:cstheme="minorHAnsi"/>
        </w:rPr>
        <w:t>methods aimed at achieving substantive equality.</w:t>
      </w:r>
      <w:r w:rsidR="002732CA">
        <w:rPr>
          <w:rFonts w:asciiTheme="minorHAnsi" w:hAnsiTheme="minorHAnsi" w:cstheme="minorHAnsi"/>
        </w:rPr>
        <w:t xml:space="preserve"> </w:t>
      </w:r>
    </w:p>
    <w:p w14:paraId="518E739F" w14:textId="0BD5F7E6" w:rsidR="003F46A5" w:rsidRPr="00403837" w:rsidRDefault="00DB229D" w:rsidP="008A3ECE">
      <w:pPr>
        <w:pStyle w:val="Heading3"/>
        <w:spacing w:line="312" w:lineRule="auto"/>
      </w:pPr>
      <w:bookmarkStart w:id="93" w:name="_Toc146877527"/>
      <w:r w:rsidRPr="00403837">
        <w:t>The example of Victoria</w:t>
      </w:r>
      <w:r w:rsidR="00312AC2" w:rsidRPr="00403837">
        <w:t>,</w:t>
      </w:r>
      <w:r w:rsidRPr="00403837">
        <w:t xml:space="preserve"> the </w:t>
      </w:r>
      <w:r w:rsidR="00403837">
        <w:t>ACT</w:t>
      </w:r>
      <w:r w:rsidR="00312AC2" w:rsidRPr="00403837">
        <w:t>,</w:t>
      </w:r>
      <w:r w:rsidR="005133D3" w:rsidRPr="00403837">
        <w:t xml:space="preserve"> and the United Kingdom</w:t>
      </w:r>
      <w:bookmarkEnd w:id="93"/>
    </w:p>
    <w:p w14:paraId="561445C3" w14:textId="37253C04" w:rsidR="003336BF" w:rsidRPr="00871656" w:rsidRDefault="008059C1" w:rsidP="008A3ECE">
      <w:pPr>
        <w:spacing w:line="312" w:lineRule="auto"/>
        <w:rPr>
          <w:rFonts w:cstheme="minorHAnsi"/>
        </w:rPr>
      </w:pPr>
      <w:r w:rsidRPr="00871656">
        <w:rPr>
          <w:rFonts w:cstheme="minorHAnsi"/>
        </w:rPr>
        <w:t xml:space="preserve">The </w:t>
      </w:r>
      <w:r w:rsidRPr="00871656">
        <w:rPr>
          <w:rFonts w:cstheme="minorHAnsi"/>
          <w:i/>
          <w:iCs/>
        </w:rPr>
        <w:t>Equal Opportunity Act 2010</w:t>
      </w:r>
      <w:r w:rsidRPr="00871656">
        <w:rPr>
          <w:rFonts w:cstheme="minorHAnsi"/>
        </w:rPr>
        <w:t xml:space="preserve"> (V</w:t>
      </w:r>
      <w:r w:rsidR="00AB331A" w:rsidRPr="00871656">
        <w:rPr>
          <w:rFonts w:cstheme="minorHAnsi"/>
        </w:rPr>
        <w:t>ic</w:t>
      </w:r>
      <w:r w:rsidRPr="00871656">
        <w:rPr>
          <w:rFonts w:cstheme="minorHAnsi"/>
        </w:rPr>
        <w:t xml:space="preserve">) (EOA) and the </w:t>
      </w:r>
      <w:r w:rsidRPr="00871656">
        <w:rPr>
          <w:rFonts w:cstheme="minorHAnsi"/>
          <w:i/>
          <w:iCs/>
        </w:rPr>
        <w:t>Discrimination Act 1991</w:t>
      </w:r>
      <w:r w:rsidRPr="00871656">
        <w:rPr>
          <w:rFonts w:cstheme="minorHAnsi"/>
        </w:rPr>
        <w:t xml:space="preserve"> (ACT) (DA)</w:t>
      </w:r>
      <w:r w:rsidR="00877D21" w:rsidRPr="00871656">
        <w:rPr>
          <w:rFonts w:cstheme="minorHAnsi"/>
        </w:rPr>
        <w:t xml:space="preserve"> recognise </w:t>
      </w:r>
      <w:r w:rsidR="0009359A" w:rsidRPr="00871656">
        <w:rPr>
          <w:rFonts w:cstheme="minorHAnsi"/>
        </w:rPr>
        <w:t xml:space="preserve">in an almost identical way </w:t>
      </w:r>
      <w:r w:rsidR="00877D21" w:rsidRPr="00871656">
        <w:rPr>
          <w:rFonts w:cstheme="minorHAnsi"/>
        </w:rPr>
        <w:t>the</w:t>
      </w:r>
      <w:r w:rsidR="00981FB8" w:rsidRPr="00871656">
        <w:rPr>
          <w:rFonts w:cstheme="minorHAnsi"/>
        </w:rPr>
        <w:t xml:space="preserve"> need to </w:t>
      </w:r>
      <w:r w:rsidR="00A22852" w:rsidRPr="00871656">
        <w:rPr>
          <w:rFonts w:cstheme="minorHAnsi"/>
        </w:rPr>
        <w:t>eliminate</w:t>
      </w:r>
      <w:r w:rsidR="00981FB8" w:rsidRPr="00871656">
        <w:rPr>
          <w:rFonts w:cstheme="minorHAnsi"/>
        </w:rPr>
        <w:t xml:space="preserve"> systemic discrimination</w:t>
      </w:r>
      <w:r w:rsidR="00A22852" w:rsidRPr="00871656">
        <w:rPr>
          <w:rFonts w:cstheme="minorHAnsi"/>
        </w:rPr>
        <w:t xml:space="preserve"> and move towards sub</w:t>
      </w:r>
      <w:r w:rsidR="00596E14" w:rsidRPr="00871656">
        <w:rPr>
          <w:rFonts w:cstheme="minorHAnsi"/>
        </w:rPr>
        <w:t>stantive equality</w:t>
      </w:r>
      <w:r w:rsidR="001D61FB" w:rsidRPr="00871656">
        <w:rPr>
          <w:rFonts w:cstheme="minorHAnsi"/>
        </w:rPr>
        <w:t>.</w:t>
      </w:r>
      <w:r w:rsidR="001D61FB" w:rsidRPr="00871656">
        <w:rPr>
          <w:rStyle w:val="FootnoteReference"/>
          <w:rFonts w:cstheme="minorHAnsi"/>
        </w:rPr>
        <w:footnoteReference w:id="39"/>
      </w:r>
      <w:r w:rsidR="00AB331A" w:rsidRPr="00871656">
        <w:rPr>
          <w:rFonts w:cstheme="minorHAnsi"/>
        </w:rPr>
        <w:t xml:space="preserve"> </w:t>
      </w:r>
      <w:r w:rsidR="00877D21" w:rsidRPr="00871656">
        <w:rPr>
          <w:rFonts w:cstheme="minorHAnsi"/>
        </w:rPr>
        <w:t>It is recognised</w:t>
      </w:r>
      <w:r w:rsidR="000A0030" w:rsidRPr="00871656">
        <w:rPr>
          <w:rFonts w:cstheme="minorHAnsi"/>
        </w:rPr>
        <w:t xml:space="preserve"> in both</w:t>
      </w:r>
      <w:r w:rsidR="00403837">
        <w:rPr>
          <w:rFonts w:cstheme="minorHAnsi"/>
        </w:rPr>
        <w:t xml:space="preserve"> the Victorian and ACT Acts </w:t>
      </w:r>
      <w:r w:rsidR="00877D21" w:rsidRPr="00871656">
        <w:rPr>
          <w:rFonts w:cstheme="minorHAnsi"/>
        </w:rPr>
        <w:t xml:space="preserve">that a </w:t>
      </w:r>
      <w:r w:rsidR="0009359A" w:rsidRPr="00871656">
        <w:rPr>
          <w:rFonts w:cstheme="minorHAnsi"/>
        </w:rPr>
        <w:t xml:space="preserve">strict or </w:t>
      </w:r>
      <w:r w:rsidR="00877D21" w:rsidRPr="00871656">
        <w:rPr>
          <w:rFonts w:cstheme="minorHAnsi"/>
        </w:rPr>
        <w:t>simple equal application of the law (formal equality) has</w:t>
      </w:r>
      <w:r w:rsidR="0009359A" w:rsidRPr="00871656">
        <w:rPr>
          <w:rFonts w:cstheme="minorHAnsi"/>
        </w:rPr>
        <w:t xml:space="preserve"> </w:t>
      </w:r>
      <w:r w:rsidR="000721E2" w:rsidRPr="00871656">
        <w:rPr>
          <w:rFonts w:cstheme="minorHAnsi"/>
        </w:rPr>
        <w:t>limitations and</w:t>
      </w:r>
      <w:r w:rsidR="00877D21" w:rsidRPr="00871656">
        <w:rPr>
          <w:rFonts w:cstheme="minorHAnsi"/>
        </w:rPr>
        <w:t xml:space="preserve"> is associated with</w:t>
      </w:r>
      <w:r w:rsidR="000721E2" w:rsidRPr="00871656">
        <w:rPr>
          <w:rFonts w:cstheme="minorHAnsi"/>
        </w:rPr>
        <w:t xml:space="preserve"> negative outcomes</w:t>
      </w:r>
      <w:r w:rsidR="0009359A" w:rsidRPr="00871656">
        <w:rPr>
          <w:rFonts w:cstheme="minorHAnsi"/>
        </w:rPr>
        <w:t xml:space="preserve"> such as an increase in disadvantage and the entrenchment of inequality</w:t>
      </w:r>
      <w:r w:rsidR="001D61FB" w:rsidRPr="00871656">
        <w:rPr>
          <w:rFonts w:cstheme="minorHAnsi"/>
        </w:rPr>
        <w:t>.</w:t>
      </w:r>
      <w:r w:rsidR="001D61FB" w:rsidRPr="00871656">
        <w:rPr>
          <w:rStyle w:val="FootnoteReference"/>
          <w:rFonts w:cstheme="minorHAnsi"/>
        </w:rPr>
        <w:footnoteReference w:id="40"/>
      </w:r>
    </w:p>
    <w:p w14:paraId="3BE36C35" w14:textId="3688F4EC" w:rsidR="00403837" w:rsidRDefault="00312AC2" w:rsidP="008A3ECE">
      <w:pPr>
        <w:spacing w:line="312" w:lineRule="auto"/>
        <w:rPr>
          <w:rFonts w:cstheme="minorHAnsi"/>
        </w:rPr>
      </w:pPr>
      <w:r w:rsidRPr="00871656">
        <w:rPr>
          <w:rFonts w:cstheme="minorHAnsi"/>
        </w:rPr>
        <w:t xml:space="preserve">The </w:t>
      </w:r>
      <w:r w:rsidRPr="00871656">
        <w:rPr>
          <w:rFonts w:cstheme="minorHAnsi"/>
          <w:i/>
          <w:iCs/>
        </w:rPr>
        <w:t>Equality Act 2010</w:t>
      </w:r>
      <w:r w:rsidRPr="00871656">
        <w:rPr>
          <w:rFonts w:cstheme="minorHAnsi"/>
        </w:rPr>
        <w:t xml:space="preserve"> (UK) </w:t>
      </w:r>
      <w:r w:rsidR="00D51F0F" w:rsidRPr="00871656">
        <w:rPr>
          <w:rFonts w:cstheme="minorHAnsi"/>
        </w:rPr>
        <w:t xml:space="preserve">(EA) </w:t>
      </w:r>
      <w:r w:rsidR="00403837">
        <w:rPr>
          <w:rFonts w:cstheme="minorHAnsi"/>
        </w:rPr>
        <w:t xml:space="preserve">also </w:t>
      </w:r>
      <w:r w:rsidRPr="00871656">
        <w:rPr>
          <w:rFonts w:cstheme="minorHAnsi"/>
        </w:rPr>
        <w:t>recognises in its introduction that a key function of the Act is to require decision makers to make decisions after regarding</w:t>
      </w:r>
      <w:r w:rsidR="00D51F0F" w:rsidRPr="00871656">
        <w:rPr>
          <w:rFonts w:cstheme="minorHAnsi"/>
        </w:rPr>
        <w:t xml:space="preserve"> </w:t>
      </w:r>
      <w:r w:rsidR="00342054" w:rsidRPr="00871656">
        <w:rPr>
          <w:rFonts w:cstheme="minorHAnsi"/>
        </w:rPr>
        <w:t>‘</w:t>
      </w:r>
      <w:r w:rsidRPr="00871656">
        <w:rPr>
          <w:rFonts w:cstheme="minorHAnsi"/>
        </w:rPr>
        <w:t>the desirability of reducing-socioeconomic inequalities</w:t>
      </w:r>
      <w:r w:rsidR="00342054" w:rsidRPr="00871656">
        <w:rPr>
          <w:rFonts w:cstheme="minorHAnsi"/>
        </w:rPr>
        <w:t>,’</w:t>
      </w:r>
      <w:r w:rsidR="00D51F0F" w:rsidRPr="00871656">
        <w:rPr>
          <w:rFonts w:cstheme="minorHAnsi"/>
        </w:rPr>
        <w:t xml:space="preserve"> the </w:t>
      </w:r>
      <w:r w:rsidR="00342054" w:rsidRPr="00871656">
        <w:rPr>
          <w:rFonts w:cstheme="minorHAnsi"/>
        </w:rPr>
        <w:t>‘</w:t>
      </w:r>
      <w:r w:rsidR="00D51F0F" w:rsidRPr="00871656">
        <w:rPr>
          <w:rFonts w:cstheme="minorHAnsi"/>
        </w:rPr>
        <w:t>need to eliminate discrimination</w:t>
      </w:r>
      <w:r w:rsidR="00342054" w:rsidRPr="00871656">
        <w:rPr>
          <w:rFonts w:cstheme="minorHAnsi"/>
        </w:rPr>
        <w:t>’</w:t>
      </w:r>
      <w:r w:rsidR="00D51F0F" w:rsidRPr="00871656">
        <w:rPr>
          <w:rFonts w:cstheme="minorHAnsi"/>
        </w:rPr>
        <w:t xml:space="preserve"> and the need to </w:t>
      </w:r>
      <w:r w:rsidR="00342054" w:rsidRPr="00871656">
        <w:rPr>
          <w:rFonts w:cstheme="minorHAnsi"/>
        </w:rPr>
        <w:t>‘</w:t>
      </w:r>
      <w:r w:rsidR="00D51F0F" w:rsidRPr="00871656">
        <w:rPr>
          <w:rFonts w:cstheme="minorHAnsi"/>
        </w:rPr>
        <w:t>increase equality of opportunity</w:t>
      </w:r>
      <w:r w:rsidR="00342054" w:rsidRPr="00871656">
        <w:rPr>
          <w:rFonts w:cstheme="minorHAnsi"/>
        </w:rPr>
        <w:t>.’</w:t>
      </w:r>
      <w:r w:rsidRPr="00871656">
        <w:rPr>
          <w:rStyle w:val="FootnoteReference"/>
          <w:rFonts w:cstheme="minorHAnsi"/>
        </w:rPr>
        <w:footnoteReference w:id="41"/>
      </w:r>
      <w:r w:rsidRPr="00871656">
        <w:rPr>
          <w:rFonts w:cstheme="minorHAnsi"/>
        </w:rPr>
        <w:t xml:space="preserve"> </w:t>
      </w:r>
      <w:r w:rsidR="00403837">
        <w:rPr>
          <w:rFonts w:cstheme="minorHAnsi"/>
        </w:rPr>
        <w:t xml:space="preserve">The Act further provides the following: </w:t>
      </w:r>
    </w:p>
    <w:p w14:paraId="015049D5" w14:textId="77777777" w:rsidR="00403837" w:rsidRDefault="00312AC2" w:rsidP="008A3ECE">
      <w:pPr>
        <w:pStyle w:val="ListParagraph"/>
        <w:numPr>
          <w:ilvl w:val="0"/>
          <w:numId w:val="27"/>
        </w:numPr>
        <w:spacing w:line="312" w:lineRule="auto"/>
        <w:rPr>
          <w:rFonts w:cstheme="minorHAnsi"/>
        </w:rPr>
      </w:pPr>
      <w:r w:rsidRPr="00403837">
        <w:rPr>
          <w:rFonts w:cstheme="minorHAnsi"/>
        </w:rPr>
        <w:lastRenderedPageBreak/>
        <w:t xml:space="preserve">Section 1(1) </w:t>
      </w:r>
      <w:r w:rsidR="00D51F0F" w:rsidRPr="00403837">
        <w:rPr>
          <w:rFonts w:cstheme="minorHAnsi"/>
        </w:rPr>
        <w:t xml:space="preserve">of the EA </w:t>
      </w:r>
      <w:r w:rsidRPr="00403837">
        <w:rPr>
          <w:rFonts w:cstheme="minorHAnsi"/>
        </w:rPr>
        <w:t xml:space="preserve">states again that functions of an authority must be exercised </w:t>
      </w:r>
      <w:r w:rsidR="00342054" w:rsidRPr="00403837">
        <w:rPr>
          <w:rFonts w:cstheme="minorHAnsi"/>
        </w:rPr>
        <w:t>‘</w:t>
      </w:r>
      <w:r w:rsidRPr="00403837">
        <w:rPr>
          <w:rFonts w:cstheme="minorHAnsi"/>
        </w:rPr>
        <w:t>in a way that is designed to reduce the inequalities of outcome which result from socio-economic disadvantage.</w:t>
      </w:r>
      <w:r w:rsidR="00342054" w:rsidRPr="00403837">
        <w:rPr>
          <w:rFonts w:cstheme="minorHAnsi"/>
        </w:rPr>
        <w:t>’</w:t>
      </w:r>
    </w:p>
    <w:p w14:paraId="00B417F1" w14:textId="5CB751E6" w:rsidR="00312AC2" w:rsidRPr="00403837" w:rsidRDefault="00D51F0F" w:rsidP="008A3ECE">
      <w:pPr>
        <w:pStyle w:val="ListParagraph"/>
        <w:numPr>
          <w:ilvl w:val="0"/>
          <w:numId w:val="27"/>
        </w:numPr>
        <w:spacing w:line="312" w:lineRule="auto"/>
        <w:rPr>
          <w:rFonts w:cstheme="minorHAnsi"/>
        </w:rPr>
      </w:pPr>
      <w:r w:rsidRPr="00403837">
        <w:rPr>
          <w:rFonts w:cstheme="minorHAnsi"/>
        </w:rPr>
        <w:t>Section</w:t>
      </w:r>
      <w:r w:rsidR="00AB331A" w:rsidRPr="00403837">
        <w:rPr>
          <w:rFonts w:cstheme="minorHAnsi"/>
        </w:rPr>
        <w:t>s</w:t>
      </w:r>
      <w:r w:rsidRPr="00403837">
        <w:rPr>
          <w:rFonts w:cstheme="minorHAnsi"/>
        </w:rPr>
        <w:t xml:space="preserve"> 149(1)</w:t>
      </w:r>
      <w:r w:rsidR="00AF5039" w:rsidRPr="00403837">
        <w:rPr>
          <w:rFonts w:cstheme="minorHAnsi"/>
        </w:rPr>
        <w:t>(a)</w:t>
      </w:r>
      <w:r w:rsidR="00AB331A" w:rsidRPr="00403837">
        <w:rPr>
          <w:rFonts w:cstheme="minorHAnsi"/>
        </w:rPr>
        <w:t>-(b)</w:t>
      </w:r>
      <w:r w:rsidR="00871656" w:rsidRPr="00403837">
        <w:rPr>
          <w:rFonts w:cstheme="minorHAnsi"/>
        </w:rPr>
        <w:t xml:space="preserve"> of the EA</w:t>
      </w:r>
      <w:r w:rsidR="00AF5039" w:rsidRPr="00403837">
        <w:rPr>
          <w:rFonts w:cstheme="minorHAnsi"/>
        </w:rPr>
        <w:t xml:space="preserve"> </w:t>
      </w:r>
      <w:r w:rsidRPr="00403837">
        <w:rPr>
          <w:rFonts w:cstheme="minorHAnsi"/>
        </w:rPr>
        <w:t>note that a public authority must exercise its functions in a manner that eliminates discrimination</w:t>
      </w:r>
      <w:r w:rsidR="00AF5039" w:rsidRPr="00403837">
        <w:rPr>
          <w:rFonts w:cstheme="minorHAnsi"/>
        </w:rPr>
        <w:t xml:space="preserve"> </w:t>
      </w:r>
      <w:r w:rsidRPr="00403837">
        <w:rPr>
          <w:rFonts w:cstheme="minorHAnsi"/>
        </w:rPr>
        <w:t xml:space="preserve">and advances </w:t>
      </w:r>
      <w:r w:rsidR="00342054" w:rsidRPr="00403837">
        <w:rPr>
          <w:rFonts w:cstheme="minorHAnsi"/>
        </w:rPr>
        <w:t>‘</w:t>
      </w:r>
      <w:r w:rsidRPr="00403837">
        <w:rPr>
          <w:rFonts w:cstheme="minorHAnsi"/>
        </w:rPr>
        <w:t>equality of opportunity between persons who share a relevant protected characteristic and persons who do not share it</w:t>
      </w:r>
      <w:r w:rsidR="00AB331A" w:rsidRPr="00403837">
        <w:rPr>
          <w:rFonts w:cstheme="minorHAnsi"/>
        </w:rPr>
        <w:t>.</w:t>
      </w:r>
      <w:r w:rsidR="00342054" w:rsidRPr="00403837">
        <w:rPr>
          <w:rFonts w:cstheme="minorHAnsi"/>
        </w:rPr>
        <w:t>’</w:t>
      </w:r>
    </w:p>
    <w:p w14:paraId="4535234F" w14:textId="1D730186" w:rsidR="00492CA3" w:rsidRPr="006E567A" w:rsidRDefault="00C07193" w:rsidP="008A3ECE">
      <w:pPr>
        <w:spacing w:line="312" w:lineRule="auto"/>
        <w:rPr>
          <w:rFonts w:cstheme="minorHAnsi"/>
        </w:rPr>
      </w:pPr>
      <w:r w:rsidRPr="00403837">
        <w:rPr>
          <w:rFonts w:cstheme="minorHAnsi"/>
        </w:rPr>
        <w:t xml:space="preserve">A key </w:t>
      </w:r>
      <w:r w:rsidR="00B368D5" w:rsidRPr="00403837">
        <w:rPr>
          <w:rFonts w:cstheme="minorHAnsi"/>
        </w:rPr>
        <w:t>method</w:t>
      </w:r>
      <w:r w:rsidRPr="00403837">
        <w:rPr>
          <w:rFonts w:cstheme="minorHAnsi"/>
        </w:rPr>
        <w:t xml:space="preserve"> b</w:t>
      </w:r>
      <w:r w:rsidR="00B368D5" w:rsidRPr="00403837">
        <w:rPr>
          <w:rFonts w:cstheme="minorHAnsi"/>
        </w:rPr>
        <w:t>y</w:t>
      </w:r>
      <w:r w:rsidRPr="00403837">
        <w:rPr>
          <w:rFonts w:cstheme="minorHAnsi"/>
        </w:rPr>
        <w:t xml:space="preserve"> which substantive justice can be promoted and systemic discrimination challenged is through the </w:t>
      </w:r>
      <w:r w:rsidR="00B368D5" w:rsidRPr="00403837">
        <w:rPr>
          <w:rFonts w:cstheme="minorHAnsi"/>
        </w:rPr>
        <w:t>introduction</w:t>
      </w:r>
      <w:r w:rsidRPr="00403837">
        <w:rPr>
          <w:rFonts w:cstheme="minorHAnsi"/>
        </w:rPr>
        <w:t xml:space="preserve"> of </w:t>
      </w:r>
      <w:r w:rsidR="00B368D5" w:rsidRPr="00403837">
        <w:rPr>
          <w:rFonts w:cstheme="minorHAnsi"/>
        </w:rPr>
        <w:t xml:space="preserve">a </w:t>
      </w:r>
      <w:r w:rsidR="00B368D5" w:rsidRPr="00DF3B8B">
        <w:rPr>
          <w:rFonts w:cstheme="minorHAnsi"/>
          <w:b/>
          <w:bCs/>
        </w:rPr>
        <w:t>positive duty to provide reasonable adjustments</w:t>
      </w:r>
      <w:r w:rsidR="00B368D5" w:rsidRPr="00403837">
        <w:rPr>
          <w:rFonts w:cstheme="minorHAnsi"/>
        </w:rPr>
        <w:t xml:space="preserve">, and a </w:t>
      </w:r>
      <w:r w:rsidR="00B368D5" w:rsidRPr="00DF3B8B">
        <w:rPr>
          <w:rFonts w:cstheme="minorHAnsi"/>
          <w:b/>
          <w:bCs/>
        </w:rPr>
        <w:t>positive duty to prevent discrimination</w:t>
      </w:r>
      <w:r w:rsidR="00B368D5" w:rsidRPr="00403837">
        <w:rPr>
          <w:rFonts w:cstheme="minorHAnsi"/>
        </w:rPr>
        <w:t xml:space="preserve">. </w:t>
      </w:r>
      <w:r w:rsidR="00CE0948" w:rsidRPr="00403837">
        <w:rPr>
          <w:rFonts w:cstheme="minorHAnsi"/>
        </w:rPr>
        <w:t xml:space="preserve">This is discussed in Part </w:t>
      </w:r>
      <w:r w:rsidR="0009359A" w:rsidRPr="00403837">
        <w:rPr>
          <w:rFonts w:cstheme="minorHAnsi"/>
        </w:rPr>
        <w:t>three</w:t>
      </w:r>
      <w:r w:rsidR="00CE0948" w:rsidRPr="00403837">
        <w:rPr>
          <w:rFonts w:cstheme="minorHAnsi"/>
        </w:rPr>
        <w:t xml:space="preserve">. </w:t>
      </w:r>
    </w:p>
    <w:p w14:paraId="1E875BDE" w14:textId="5823C78D" w:rsidR="00E26783" w:rsidRDefault="009E313A" w:rsidP="008A3ECE">
      <w:pPr>
        <w:pStyle w:val="Heading3"/>
        <w:spacing w:line="312" w:lineRule="auto"/>
      </w:pPr>
      <w:bookmarkStart w:id="94" w:name="_Toc141200536"/>
      <w:bookmarkStart w:id="95" w:name="_Toc146291282"/>
      <w:bookmarkStart w:id="96" w:name="_Toc146877528"/>
      <w:r w:rsidRPr="00403837">
        <w:t>R</w:t>
      </w:r>
      <w:r w:rsidR="00F85732" w:rsidRPr="00403837">
        <w:t>ecommendation</w:t>
      </w:r>
      <w:bookmarkEnd w:id="94"/>
      <w:bookmarkEnd w:id="95"/>
      <w:bookmarkEnd w:id="96"/>
    </w:p>
    <w:p w14:paraId="747CA909" w14:textId="77777777" w:rsidR="00537FCB" w:rsidRDefault="00537FCB" w:rsidP="00537FCB">
      <w:pPr>
        <w:spacing w:before="0" w:after="5" w:line="312" w:lineRule="auto"/>
        <w:contextualSpacing/>
        <w:rPr>
          <w:rFonts w:ascii="Arial" w:hAnsi="Arial" w:cs="Arial"/>
        </w:rPr>
      </w:pPr>
      <w:r w:rsidRPr="0069728F">
        <w:rPr>
          <w:rFonts w:ascii="Arial" w:hAnsi="Arial" w:cs="Arial"/>
          <w:b/>
          <w:bCs/>
        </w:rPr>
        <w:t xml:space="preserve">Recommendation 4 – </w:t>
      </w:r>
      <w:r w:rsidRPr="0069728F">
        <w:rPr>
          <w:rFonts w:ascii="Arial" w:hAnsi="Arial" w:cs="Arial"/>
        </w:rPr>
        <w:t xml:space="preserve">The ADA must contain key objects and purposes </w:t>
      </w:r>
      <w:r>
        <w:rPr>
          <w:rFonts w:ascii="Arial" w:hAnsi="Arial" w:cs="Arial"/>
        </w:rPr>
        <w:t>recognising</w:t>
      </w:r>
      <w:r w:rsidRPr="00112997">
        <w:rPr>
          <w:rFonts w:ascii="Arial" w:hAnsi="Arial" w:cs="Arial"/>
        </w:rPr>
        <w:t xml:space="preserve"> that systemic discrimination operates as a significant barrier to </w:t>
      </w:r>
      <w:r>
        <w:rPr>
          <w:rFonts w:ascii="Arial" w:hAnsi="Arial" w:cs="Arial"/>
        </w:rPr>
        <w:t xml:space="preserve">social </w:t>
      </w:r>
      <w:r w:rsidRPr="00112997">
        <w:rPr>
          <w:rFonts w:ascii="Arial" w:hAnsi="Arial" w:cs="Arial"/>
        </w:rPr>
        <w:t>inclusion for people with disability</w:t>
      </w:r>
      <w:r>
        <w:rPr>
          <w:rFonts w:ascii="Arial" w:hAnsi="Arial" w:cs="Arial"/>
        </w:rPr>
        <w:t>, that f</w:t>
      </w:r>
      <w:r w:rsidRPr="0069728F">
        <w:rPr>
          <w:rFonts w:ascii="Arial" w:hAnsi="Arial" w:cs="Arial"/>
        </w:rPr>
        <w:t>ormal equality</w:t>
      </w:r>
      <w:r>
        <w:rPr>
          <w:rFonts w:ascii="Arial" w:hAnsi="Arial" w:cs="Arial"/>
        </w:rPr>
        <w:t xml:space="preserve"> has limitations in tackling systemic discrimination</w:t>
      </w:r>
      <w:r w:rsidRPr="0069728F">
        <w:rPr>
          <w:rFonts w:ascii="Arial" w:hAnsi="Arial" w:cs="Arial"/>
        </w:rPr>
        <w:t xml:space="preserve">, </w:t>
      </w:r>
      <w:r>
        <w:rPr>
          <w:rFonts w:ascii="Arial" w:hAnsi="Arial" w:cs="Arial"/>
        </w:rPr>
        <w:t xml:space="preserve">that </w:t>
      </w:r>
      <w:r w:rsidRPr="0069728F">
        <w:rPr>
          <w:rFonts w:ascii="Arial" w:hAnsi="Arial" w:cs="Arial"/>
        </w:rPr>
        <w:t>promot</w:t>
      </w:r>
      <w:r>
        <w:rPr>
          <w:rFonts w:ascii="Arial" w:hAnsi="Arial" w:cs="Arial"/>
        </w:rPr>
        <w:t>ing</w:t>
      </w:r>
      <w:r w:rsidRPr="0069728F">
        <w:rPr>
          <w:rFonts w:ascii="Arial" w:hAnsi="Arial" w:cs="Arial"/>
        </w:rPr>
        <w:t xml:space="preserve"> </w:t>
      </w:r>
      <w:r>
        <w:rPr>
          <w:rFonts w:ascii="Arial" w:hAnsi="Arial" w:cs="Arial"/>
        </w:rPr>
        <w:t xml:space="preserve">equality of opportunity and equality of outcomes challenges systemic discrimination, and that targeted measures are a key method to advance the achievement of substantive equality.     </w:t>
      </w:r>
    </w:p>
    <w:p w14:paraId="6D33A1E7" w14:textId="77777777" w:rsidR="008A3ECE" w:rsidRDefault="008A3ECE" w:rsidP="008A3ECE">
      <w:pPr>
        <w:spacing w:before="0" w:after="5" w:line="312" w:lineRule="auto"/>
        <w:contextualSpacing/>
        <w:rPr>
          <w:rFonts w:ascii="Arial" w:eastAsia="Arial" w:hAnsi="Arial" w:cs="Arial"/>
        </w:rPr>
      </w:pPr>
    </w:p>
    <w:p w14:paraId="7432FE9F" w14:textId="77777777" w:rsidR="008A3ECE" w:rsidRDefault="008A3ECE" w:rsidP="008A3ECE">
      <w:pPr>
        <w:spacing w:before="0" w:after="5" w:line="312" w:lineRule="auto"/>
        <w:contextualSpacing/>
        <w:rPr>
          <w:rFonts w:ascii="Arial" w:eastAsia="Arial" w:hAnsi="Arial" w:cs="Arial"/>
        </w:rPr>
      </w:pPr>
    </w:p>
    <w:p w14:paraId="159FE059" w14:textId="77777777" w:rsidR="008A3ECE" w:rsidRDefault="008A3ECE" w:rsidP="008A3ECE">
      <w:pPr>
        <w:spacing w:before="0" w:after="5" w:line="312" w:lineRule="auto"/>
        <w:contextualSpacing/>
        <w:rPr>
          <w:rFonts w:ascii="Arial" w:eastAsia="Arial" w:hAnsi="Arial" w:cs="Arial"/>
        </w:rPr>
      </w:pPr>
    </w:p>
    <w:p w14:paraId="50A5E8F8" w14:textId="77777777" w:rsidR="008A3ECE" w:rsidRDefault="008A3ECE" w:rsidP="008A3ECE">
      <w:pPr>
        <w:spacing w:before="0" w:after="5" w:line="312" w:lineRule="auto"/>
        <w:contextualSpacing/>
        <w:rPr>
          <w:rFonts w:ascii="Arial" w:eastAsia="Arial" w:hAnsi="Arial" w:cs="Arial"/>
        </w:rPr>
      </w:pPr>
    </w:p>
    <w:p w14:paraId="7387F0B2" w14:textId="77777777" w:rsidR="008A3ECE" w:rsidRPr="00B2769D" w:rsidRDefault="008A3ECE" w:rsidP="008A3ECE">
      <w:pPr>
        <w:spacing w:before="0" w:after="5" w:line="312" w:lineRule="auto"/>
        <w:contextualSpacing/>
        <w:rPr>
          <w:rFonts w:ascii="Arial" w:eastAsia="Arial" w:hAnsi="Arial" w:cs="Arial"/>
        </w:rPr>
      </w:pPr>
    </w:p>
    <w:p w14:paraId="6077958A" w14:textId="22EB7C81" w:rsidR="00CE0948" w:rsidRPr="008A3ECE" w:rsidRDefault="00CE0948" w:rsidP="008A3ECE">
      <w:pPr>
        <w:pStyle w:val="Heading1"/>
        <w:spacing w:line="312" w:lineRule="auto"/>
        <w:rPr>
          <w:sz w:val="52"/>
          <w:szCs w:val="52"/>
        </w:rPr>
      </w:pPr>
      <w:bookmarkStart w:id="97" w:name="_Toc146877529"/>
      <w:r w:rsidRPr="008A3ECE">
        <w:rPr>
          <w:sz w:val="52"/>
          <w:szCs w:val="52"/>
        </w:rPr>
        <w:lastRenderedPageBreak/>
        <w:t>Part 3</w:t>
      </w:r>
      <w:r w:rsidR="00403837" w:rsidRPr="008A3ECE">
        <w:rPr>
          <w:sz w:val="52"/>
          <w:szCs w:val="52"/>
        </w:rPr>
        <w:t xml:space="preserve"> -</w:t>
      </w:r>
      <w:r w:rsidRPr="008A3ECE">
        <w:rPr>
          <w:sz w:val="52"/>
          <w:szCs w:val="52"/>
        </w:rPr>
        <w:t xml:space="preserve"> </w:t>
      </w:r>
      <w:r w:rsidR="001B6AAA" w:rsidRPr="008A3ECE">
        <w:rPr>
          <w:sz w:val="52"/>
          <w:szCs w:val="52"/>
        </w:rPr>
        <w:t>Reasonable adjustment</w:t>
      </w:r>
      <w:r w:rsidR="00C30F2F" w:rsidRPr="008A3ECE">
        <w:rPr>
          <w:sz w:val="52"/>
          <w:szCs w:val="52"/>
        </w:rPr>
        <w:t>s</w:t>
      </w:r>
      <w:r w:rsidR="001B6AAA" w:rsidRPr="008A3ECE">
        <w:rPr>
          <w:sz w:val="52"/>
          <w:szCs w:val="52"/>
        </w:rPr>
        <w:t xml:space="preserve"> and p</w:t>
      </w:r>
      <w:r w:rsidR="003F1312" w:rsidRPr="008A3ECE">
        <w:rPr>
          <w:sz w:val="52"/>
          <w:szCs w:val="52"/>
        </w:rPr>
        <w:t xml:space="preserve">reventing discrimination </w:t>
      </w:r>
      <w:r w:rsidR="00641ACA" w:rsidRPr="008A3ECE">
        <w:rPr>
          <w:sz w:val="52"/>
          <w:szCs w:val="52"/>
        </w:rPr>
        <w:t>as positive dut</w:t>
      </w:r>
      <w:r w:rsidR="00612C6A" w:rsidRPr="008A3ECE">
        <w:rPr>
          <w:sz w:val="52"/>
          <w:szCs w:val="52"/>
        </w:rPr>
        <w:t>ies</w:t>
      </w:r>
      <w:bookmarkEnd w:id="97"/>
    </w:p>
    <w:p w14:paraId="66F677F5" w14:textId="2CC89F42" w:rsidR="0031667D" w:rsidRPr="00871656" w:rsidRDefault="00C75022" w:rsidP="008A3ECE">
      <w:pPr>
        <w:spacing w:before="0" w:line="312" w:lineRule="auto"/>
        <w:rPr>
          <w:rFonts w:cstheme="minorHAnsi"/>
        </w:rPr>
      </w:pPr>
      <w:r w:rsidRPr="00871656">
        <w:rPr>
          <w:rFonts w:cstheme="minorHAnsi"/>
        </w:rPr>
        <w:t>PWDA believes that including</w:t>
      </w:r>
      <w:r w:rsidR="00F45160" w:rsidRPr="00871656">
        <w:rPr>
          <w:rFonts w:cstheme="minorHAnsi"/>
        </w:rPr>
        <w:t xml:space="preserve"> </w:t>
      </w:r>
      <w:r w:rsidRPr="00871656">
        <w:rPr>
          <w:rFonts w:cstheme="minorHAnsi"/>
        </w:rPr>
        <w:t>a</w:t>
      </w:r>
      <w:r w:rsidR="00CF114C" w:rsidRPr="00871656">
        <w:rPr>
          <w:rFonts w:cstheme="minorHAnsi"/>
        </w:rPr>
        <w:t xml:space="preserve"> </w:t>
      </w:r>
      <w:r w:rsidRPr="00871656">
        <w:rPr>
          <w:rFonts w:cstheme="minorHAnsi"/>
        </w:rPr>
        <w:t xml:space="preserve">positive </w:t>
      </w:r>
      <w:r w:rsidR="00460410" w:rsidRPr="00871656">
        <w:rPr>
          <w:rFonts w:cstheme="minorHAnsi"/>
        </w:rPr>
        <w:t>duty</w:t>
      </w:r>
      <w:r w:rsidRPr="00871656">
        <w:rPr>
          <w:rFonts w:cstheme="minorHAnsi"/>
        </w:rPr>
        <w:t xml:space="preserve"> </w:t>
      </w:r>
      <w:r w:rsidR="00460410" w:rsidRPr="00871656">
        <w:rPr>
          <w:rFonts w:cstheme="minorHAnsi"/>
        </w:rPr>
        <w:t>to provide reasonable adjustments and a</w:t>
      </w:r>
      <w:r w:rsidR="009C1929" w:rsidRPr="00871656">
        <w:rPr>
          <w:rFonts w:cstheme="minorHAnsi"/>
        </w:rPr>
        <w:t xml:space="preserve"> </w:t>
      </w:r>
      <w:r w:rsidR="00460410" w:rsidRPr="00871656">
        <w:rPr>
          <w:rFonts w:cstheme="minorHAnsi"/>
        </w:rPr>
        <w:t xml:space="preserve">positive duty to prevent discrimination </w:t>
      </w:r>
      <w:r w:rsidR="004A2035" w:rsidRPr="00871656">
        <w:rPr>
          <w:rFonts w:cstheme="minorHAnsi"/>
        </w:rPr>
        <w:t>in the ADA</w:t>
      </w:r>
      <w:r w:rsidR="00460410" w:rsidRPr="00871656">
        <w:rPr>
          <w:rFonts w:cstheme="minorHAnsi"/>
        </w:rPr>
        <w:t xml:space="preserve"> will</w:t>
      </w:r>
      <w:r w:rsidR="0031667D" w:rsidRPr="00871656">
        <w:rPr>
          <w:rFonts w:cstheme="minorHAnsi"/>
        </w:rPr>
        <w:t xml:space="preserve"> </w:t>
      </w:r>
      <w:r w:rsidR="00460410" w:rsidRPr="00871656">
        <w:rPr>
          <w:rFonts w:cstheme="minorHAnsi"/>
        </w:rPr>
        <w:t xml:space="preserve">provide increased protections to </w:t>
      </w:r>
      <w:r w:rsidR="00460410" w:rsidRPr="00871656">
        <w:rPr>
          <w:rFonts w:cstheme="minorHAnsi"/>
          <w:i/>
          <w:iCs/>
        </w:rPr>
        <w:t xml:space="preserve">all </w:t>
      </w:r>
      <w:r w:rsidR="00460410" w:rsidRPr="00871656">
        <w:rPr>
          <w:rFonts w:cstheme="minorHAnsi"/>
        </w:rPr>
        <w:t xml:space="preserve">NSW residents. </w:t>
      </w:r>
    </w:p>
    <w:p w14:paraId="6C79F2A5" w14:textId="4269A1DD" w:rsidR="00042B6E" w:rsidRPr="00871656" w:rsidRDefault="009C1929" w:rsidP="008A3ECE">
      <w:pPr>
        <w:spacing w:before="0" w:line="312" w:lineRule="auto"/>
        <w:rPr>
          <w:rFonts w:cstheme="minorHAnsi"/>
        </w:rPr>
      </w:pPr>
      <w:r w:rsidRPr="00871656">
        <w:rPr>
          <w:rFonts w:cstheme="minorHAnsi"/>
        </w:rPr>
        <w:t xml:space="preserve">By providing clear expectations on how community members </w:t>
      </w:r>
      <w:r w:rsidR="00DE2164" w:rsidRPr="00871656">
        <w:rPr>
          <w:rFonts w:cstheme="minorHAnsi"/>
        </w:rPr>
        <w:t>must</w:t>
      </w:r>
      <w:r w:rsidRPr="00871656">
        <w:rPr>
          <w:rFonts w:cstheme="minorHAnsi"/>
        </w:rPr>
        <w:t xml:space="preserve"> behave</w:t>
      </w:r>
      <w:r w:rsidR="00DE2164" w:rsidRPr="00871656">
        <w:rPr>
          <w:rFonts w:cstheme="minorHAnsi"/>
        </w:rPr>
        <w:t xml:space="preserve">, </w:t>
      </w:r>
      <w:r w:rsidR="0084022D" w:rsidRPr="00871656">
        <w:rPr>
          <w:rFonts w:cstheme="minorHAnsi"/>
        </w:rPr>
        <w:t>p</w:t>
      </w:r>
      <w:r w:rsidR="00E2024F" w:rsidRPr="00871656">
        <w:rPr>
          <w:rFonts w:cstheme="minorHAnsi"/>
        </w:rPr>
        <w:t xml:space="preserve">ositive duties </w:t>
      </w:r>
      <w:r w:rsidR="0084022D" w:rsidRPr="00871656">
        <w:rPr>
          <w:rFonts w:cstheme="minorHAnsi"/>
        </w:rPr>
        <w:t>in legislation</w:t>
      </w:r>
      <w:r w:rsidR="00C04286" w:rsidRPr="00871656">
        <w:rPr>
          <w:rFonts w:cstheme="minorHAnsi"/>
        </w:rPr>
        <w:t xml:space="preserve"> </w:t>
      </w:r>
      <w:r w:rsidR="0084022D" w:rsidRPr="00871656">
        <w:rPr>
          <w:rFonts w:cstheme="minorHAnsi"/>
        </w:rPr>
        <w:t xml:space="preserve">provide </w:t>
      </w:r>
      <w:r w:rsidR="00E2024F" w:rsidRPr="00871656">
        <w:rPr>
          <w:rFonts w:cstheme="minorHAnsi"/>
        </w:rPr>
        <w:t>a significant</w:t>
      </w:r>
      <w:r w:rsidR="00CE0948" w:rsidRPr="00871656">
        <w:rPr>
          <w:rFonts w:cstheme="minorHAnsi"/>
        </w:rPr>
        <w:t xml:space="preserve"> education benefit</w:t>
      </w:r>
      <w:r w:rsidR="00DE2164" w:rsidRPr="00871656">
        <w:rPr>
          <w:rFonts w:cstheme="minorHAnsi"/>
        </w:rPr>
        <w:t xml:space="preserve"> and </w:t>
      </w:r>
      <w:r w:rsidR="00F07EEE" w:rsidRPr="00871656">
        <w:rPr>
          <w:rFonts w:cstheme="minorHAnsi"/>
        </w:rPr>
        <w:t>help change community attitudes towards disability.</w:t>
      </w:r>
      <w:r w:rsidR="00DE2164" w:rsidRPr="00871656">
        <w:rPr>
          <w:rFonts w:cstheme="minorHAnsi"/>
        </w:rPr>
        <w:t xml:space="preserve"> Positive</w:t>
      </w:r>
      <w:r w:rsidR="00CC0A51" w:rsidRPr="00871656">
        <w:rPr>
          <w:rFonts w:cstheme="minorHAnsi"/>
        </w:rPr>
        <w:t xml:space="preserve"> duties can directly address systemic discrimination.</w:t>
      </w:r>
      <w:r w:rsidR="00CC0A51" w:rsidRPr="00871656">
        <w:rPr>
          <w:rStyle w:val="FootnoteReference"/>
          <w:rFonts w:cstheme="minorHAnsi"/>
        </w:rPr>
        <w:footnoteReference w:id="42"/>
      </w:r>
      <w:r w:rsidR="00CC0A51" w:rsidRPr="00871656">
        <w:rPr>
          <w:rFonts w:cstheme="minorHAnsi"/>
        </w:rPr>
        <w:t xml:space="preserve"> </w:t>
      </w:r>
      <w:r w:rsidR="00042B6E" w:rsidRPr="00871656">
        <w:rPr>
          <w:rFonts w:cstheme="minorHAnsi"/>
        </w:rPr>
        <w:t xml:space="preserve">The AHRC notes </w:t>
      </w:r>
      <w:r w:rsidR="00DE2164" w:rsidRPr="00871656">
        <w:rPr>
          <w:rFonts w:cstheme="minorHAnsi"/>
        </w:rPr>
        <w:t>for example</w:t>
      </w:r>
      <w:r w:rsidR="00403837">
        <w:rPr>
          <w:rFonts w:cstheme="minorHAnsi"/>
        </w:rPr>
        <w:t>:</w:t>
      </w:r>
    </w:p>
    <w:p w14:paraId="5064CCDD" w14:textId="46141A31" w:rsidR="00042B6E" w:rsidRPr="00871656" w:rsidRDefault="00042B6E" w:rsidP="008A3ECE">
      <w:pPr>
        <w:spacing w:before="0" w:line="312" w:lineRule="auto"/>
        <w:ind w:left="720"/>
        <w:rPr>
          <w:rFonts w:cstheme="minorHAnsi"/>
        </w:rPr>
      </w:pPr>
      <w:r w:rsidRPr="006E567A">
        <w:rPr>
          <w:rFonts w:cstheme="minorHAnsi"/>
          <w:i/>
          <w:iCs/>
        </w:rPr>
        <w:t>The benefit of positive duties is that they are focused on instituting change – rather than on fault. A positive duty would support businesses to take steps to embed non-discrimination measures into their operations. It would also benefit businesses by helping to prevent individual claims of discrimination from being brought against them</w:t>
      </w:r>
      <w:r w:rsidRPr="00871656">
        <w:rPr>
          <w:rFonts w:cstheme="minorHAnsi"/>
        </w:rPr>
        <w:t>.</w:t>
      </w:r>
      <w:r w:rsidRPr="00871656">
        <w:rPr>
          <w:rStyle w:val="FootnoteReference"/>
          <w:rFonts w:cstheme="minorHAnsi"/>
        </w:rPr>
        <w:footnoteReference w:id="43"/>
      </w:r>
    </w:p>
    <w:p w14:paraId="362AA2B5" w14:textId="220E990D" w:rsidR="00C04286" w:rsidRPr="00871656" w:rsidRDefault="005510AC" w:rsidP="008A3ECE">
      <w:pPr>
        <w:spacing w:before="0" w:line="312" w:lineRule="auto"/>
        <w:rPr>
          <w:rFonts w:cstheme="minorHAnsi"/>
        </w:rPr>
      </w:pPr>
      <w:r w:rsidRPr="00871656">
        <w:rPr>
          <w:rFonts w:cstheme="minorHAnsi"/>
        </w:rPr>
        <w:t xml:space="preserve">The </w:t>
      </w:r>
      <w:r w:rsidR="003A4741" w:rsidRPr="00871656">
        <w:rPr>
          <w:rFonts w:cstheme="minorHAnsi"/>
        </w:rPr>
        <w:t>prevention of discrimination</w:t>
      </w:r>
      <w:r w:rsidR="008473A7" w:rsidRPr="00871656">
        <w:rPr>
          <w:rFonts w:cstheme="minorHAnsi"/>
        </w:rPr>
        <w:t xml:space="preserve"> through the building of </w:t>
      </w:r>
      <w:r w:rsidR="00DE2164" w:rsidRPr="00871656">
        <w:rPr>
          <w:rFonts w:cstheme="minorHAnsi"/>
        </w:rPr>
        <w:t xml:space="preserve">what the AHRC calls </w:t>
      </w:r>
      <w:r w:rsidR="008473A7" w:rsidRPr="00871656">
        <w:rPr>
          <w:rFonts w:cstheme="minorHAnsi"/>
        </w:rPr>
        <w:t xml:space="preserve">a </w:t>
      </w:r>
      <w:r w:rsidR="00342054" w:rsidRPr="00871656">
        <w:rPr>
          <w:rFonts w:cstheme="minorHAnsi"/>
        </w:rPr>
        <w:t>‘</w:t>
      </w:r>
      <w:r w:rsidR="008473A7" w:rsidRPr="00871656">
        <w:rPr>
          <w:rFonts w:cstheme="minorHAnsi"/>
        </w:rPr>
        <w:t>preventative culture</w:t>
      </w:r>
      <w:r w:rsidR="00342054" w:rsidRPr="00871656">
        <w:rPr>
          <w:rFonts w:cstheme="minorHAnsi"/>
        </w:rPr>
        <w:t>’</w:t>
      </w:r>
      <w:r w:rsidR="00DE2164" w:rsidRPr="00871656">
        <w:rPr>
          <w:rFonts w:cstheme="minorHAnsi"/>
        </w:rPr>
        <w:t xml:space="preserve"> and </w:t>
      </w:r>
      <w:r w:rsidR="003A4741" w:rsidRPr="00871656">
        <w:rPr>
          <w:rFonts w:cstheme="minorHAnsi"/>
        </w:rPr>
        <w:t xml:space="preserve">the promotion </w:t>
      </w:r>
      <w:r w:rsidR="000653AC" w:rsidRPr="00871656">
        <w:rPr>
          <w:rFonts w:cstheme="minorHAnsi"/>
        </w:rPr>
        <w:t xml:space="preserve">of </w:t>
      </w:r>
      <w:r w:rsidR="00342054" w:rsidRPr="00871656">
        <w:rPr>
          <w:rFonts w:cstheme="minorHAnsi"/>
        </w:rPr>
        <w:t>‘</w:t>
      </w:r>
      <w:r w:rsidR="000653AC" w:rsidRPr="00871656">
        <w:rPr>
          <w:rFonts w:cstheme="minorHAnsi"/>
        </w:rPr>
        <w:t>equality of treatment and equal opportunity</w:t>
      </w:r>
      <w:r w:rsidR="00342054" w:rsidRPr="00871656">
        <w:rPr>
          <w:rFonts w:cstheme="minorHAnsi"/>
        </w:rPr>
        <w:t>’</w:t>
      </w:r>
      <w:r w:rsidR="00F07EEE" w:rsidRPr="00871656">
        <w:rPr>
          <w:rFonts w:cstheme="minorHAnsi"/>
        </w:rPr>
        <w:t xml:space="preserve"> (substantive equality)</w:t>
      </w:r>
      <w:r w:rsidR="000653AC" w:rsidRPr="00871656">
        <w:rPr>
          <w:rFonts w:cstheme="minorHAnsi"/>
        </w:rPr>
        <w:t xml:space="preserve"> must be the </w:t>
      </w:r>
      <w:r w:rsidR="00342054" w:rsidRPr="00871656">
        <w:rPr>
          <w:rFonts w:cstheme="minorHAnsi"/>
        </w:rPr>
        <w:t>‘</w:t>
      </w:r>
      <w:r w:rsidR="000653AC" w:rsidRPr="00871656">
        <w:rPr>
          <w:rFonts w:cstheme="minorHAnsi"/>
        </w:rPr>
        <w:t>ultimate goals</w:t>
      </w:r>
      <w:r w:rsidR="00342054" w:rsidRPr="00871656">
        <w:rPr>
          <w:rFonts w:cstheme="minorHAnsi"/>
        </w:rPr>
        <w:t>’</w:t>
      </w:r>
      <w:r w:rsidR="008473A7" w:rsidRPr="00871656">
        <w:rPr>
          <w:rStyle w:val="FootnoteReference"/>
          <w:rFonts w:cstheme="minorHAnsi"/>
        </w:rPr>
        <w:t xml:space="preserve"> </w:t>
      </w:r>
      <w:r w:rsidR="00CD0162" w:rsidRPr="00871656">
        <w:rPr>
          <w:rFonts w:cstheme="minorHAnsi"/>
        </w:rPr>
        <w:t xml:space="preserve"> </w:t>
      </w:r>
      <w:r w:rsidR="0050350F" w:rsidRPr="00871656">
        <w:rPr>
          <w:rFonts w:cstheme="minorHAnsi"/>
        </w:rPr>
        <w:t>of discrimination legislation</w:t>
      </w:r>
      <w:r w:rsidRPr="00871656">
        <w:rPr>
          <w:rFonts w:cstheme="minorHAnsi"/>
        </w:rPr>
        <w:t>.</w:t>
      </w:r>
      <w:r w:rsidR="00CD0162" w:rsidRPr="00871656">
        <w:rPr>
          <w:rStyle w:val="FootnoteReference"/>
          <w:rFonts w:cstheme="minorHAnsi"/>
        </w:rPr>
        <w:footnoteReference w:id="44"/>
      </w:r>
      <w:r w:rsidR="008473A7" w:rsidRPr="00871656">
        <w:rPr>
          <w:rFonts w:cstheme="minorHAnsi"/>
        </w:rPr>
        <w:t xml:space="preserve"> </w:t>
      </w:r>
    </w:p>
    <w:p w14:paraId="45C17BE9" w14:textId="139778CE" w:rsidR="009E313A" w:rsidRPr="00871656" w:rsidRDefault="00C04286" w:rsidP="008A3ECE">
      <w:pPr>
        <w:spacing w:before="0" w:line="312" w:lineRule="auto"/>
        <w:rPr>
          <w:rFonts w:cstheme="minorHAnsi"/>
        </w:rPr>
      </w:pPr>
      <w:r w:rsidRPr="00871656">
        <w:rPr>
          <w:rFonts w:cstheme="minorHAnsi"/>
        </w:rPr>
        <w:t xml:space="preserve">PWDA </w:t>
      </w:r>
      <w:r w:rsidR="00DE2164" w:rsidRPr="00871656">
        <w:rPr>
          <w:rFonts w:cstheme="minorHAnsi"/>
        </w:rPr>
        <w:t>believes</w:t>
      </w:r>
      <w:r w:rsidRPr="00871656">
        <w:rPr>
          <w:rFonts w:cstheme="minorHAnsi"/>
        </w:rPr>
        <w:t xml:space="preserve"> </w:t>
      </w:r>
      <w:r w:rsidR="00DE2164" w:rsidRPr="00871656">
        <w:rPr>
          <w:rFonts w:cstheme="minorHAnsi"/>
        </w:rPr>
        <w:t>that c</w:t>
      </w:r>
      <w:r w:rsidRPr="00871656">
        <w:rPr>
          <w:rFonts w:cstheme="minorHAnsi"/>
        </w:rPr>
        <w:t xml:space="preserve">hanging community attitudes towards disability must extend beyond duty holders, and beyond a </w:t>
      </w:r>
      <w:r w:rsidR="00A80CC3" w:rsidRPr="00871656">
        <w:rPr>
          <w:rFonts w:cstheme="minorHAnsi"/>
        </w:rPr>
        <w:t>person’s</w:t>
      </w:r>
      <w:r w:rsidRPr="00871656">
        <w:rPr>
          <w:rFonts w:cstheme="minorHAnsi"/>
        </w:rPr>
        <w:t xml:space="preserve"> </w:t>
      </w:r>
      <w:r w:rsidR="00DE2164" w:rsidRPr="00871656">
        <w:rPr>
          <w:rFonts w:cstheme="minorHAnsi"/>
        </w:rPr>
        <w:t xml:space="preserve">current </w:t>
      </w:r>
      <w:r w:rsidR="00342054" w:rsidRPr="00871656">
        <w:rPr>
          <w:rFonts w:cstheme="minorHAnsi"/>
        </w:rPr>
        <w:t>‘</w:t>
      </w:r>
      <w:r w:rsidRPr="00871656">
        <w:rPr>
          <w:rFonts w:cstheme="minorHAnsi"/>
        </w:rPr>
        <w:t>lived experience</w:t>
      </w:r>
      <w:r w:rsidR="00342054" w:rsidRPr="00871656">
        <w:rPr>
          <w:rFonts w:cstheme="minorHAnsi"/>
        </w:rPr>
        <w:t>’</w:t>
      </w:r>
      <w:r w:rsidRPr="00871656">
        <w:rPr>
          <w:rFonts w:cstheme="minorHAnsi"/>
        </w:rPr>
        <w:t xml:space="preserve"> </w:t>
      </w:r>
      <w:r w:rsidR="00DE2164" w:rsidRPr="00871656">
        <w:rPr>
          <w:rFonts w:cstheme="minorHAnsi"/>
        </w:rPr>
        <w:t xml:space="preserve">or understanding </w:t>
      </w:r>
      <w:r w:rsidRPr="00871656">
        <w:rPr>
          <w:rFonts w:cstheme="minorHAnsi"/>
        </w:rPr>
        <w:t xml:space="preserve">of disability. In other </w:t>
      </w:r>
      <w:r w:rsidR="00A80CC3" w:rsidRPr="00871656">
        <w:rPr>
          <w:rFonts w:cstheme="minorHAnsi"/>
        </w:rPr>
        <w:t>words,</w:t>
      </w:r>
      <w:r w:rsidRPr="00871656">
        <w:rPr>
          <w:rFonts w:cstheme="minorHAnsi"/>
        </w:rPr>
        <w:t xml:space="preserve"> changing community attitudes towards disability must be about more than a community adhering to a </w:t>
      </w:r>
      <w:r w:rsidRPr="00871656">
        <w:rPr>
          <w:rFonts w:cstheme="minorHAnsi"/>
          <w:i/>
          <w:iCs/>
        </w:rPr>
        <w:t>legal obligation</w:t>
      </w:r>
      <w:r w:rsidR="00330F3C" w:rsidRPr="00871656">
        <w:rPr>
          <w:rFonts w:cstheme="minorHAnsi"/>
        </w:rPr>
        <w:t xml:space="preserve"> </w:t>
      </w:r>
      <w:r w:rsidR="00DE2164" w:rsidRPr="00871656">
        <w:rPr>
          <w:rFonts w:cstheme="minorHAnsi"/>
        </w:rPr>
        <w:t xml:space="preserve">influencing </w:t>
      </w:r>
      <w:r w:rsidR="00330F3C" w:rsidRPr="00871656">
        <w:rPr>
          <w:rFonts w:cstheme="minorHAnsi"/>
        </w:rPr>
        <w:t>what they do in the public sphere</w:t>
      </w:r>
      <w:r w:rsidR="00821B84">
        <w:rPr>
          <w:rFonts w:cstheme="minorHAnsi"/>
        </w:rPr>
        <w:t>.</w:t>
      </w:r>
    </w:p>
    <w:p w14:paraId="5969E89F" w14:textId="335503A5" w:rsidR="001062A1" w:rsidRPr="00871656" w:rsidRDefault="009E313A" w:rsidP="008A3ECE">
      <w:pPr>
        <w:spacing w:before="0" w:line="312" w:lineRule="auto"/>
        <w:rPr>
          <w:rFonts w:cstheme="minorHAnsi"/>
        </w:rPr>
      </w:pPr>
      <w:r w:rsidRPr="00871656">
        <w:rPr>
          <w:rFonts w:cstheme="minorHAnsi"/>
        </w:rPr>
        <w:lastRenderedPageBreak/>
        <w:t>Instead, th</w:t>
      </w:r>
      <w:r w:rsidR="00AA57EF" w:rsidRPr="00871656">
        <w:rPr>
          <w:rFonts w:cstheme="minorHAnsi"/>
        </w:rPr>
        <w:t>e</w:t>
      </w:r>
      <w:r w:rsidR="00C04286" w:rsidRPr="00871656">
        <w:rPr>
          <w:rFonts w:cstheme="minorHAnsi"/>
        </w:rPr>
        <w:t xml:space="preserve"> ideal </w:t>
      </w:r>
      <w:r w:rsidRPr="00871656">
        <w:rPr>
          <w:rFonts w:cstheme="minorHAnsi"/>
        </w:rPr>
        <w:t>should be that</w:t>
      </w:r>
      <w:r w:rsidR="00AA57EF" w:rsidRPr="00871656">
        <w:rPr>
          <w:rFonts w:cstheme="minorHAnsi"/>
        </w:rPr>
        <w:t xml:space="preserve"> </w:t>
      </w:r>
      <w:r w:rsidR="00C04286" w:rsidRPr="00871656">
        <w:rPr>
          <w:rFonts w:cstheme="minorHAnsi"/>
        </w:rPr>
        <w:t xml:space="preserve">attitudes </w:t>
      </w:r>
      <w:r w:rsidR="00330F3C" w:rsidRPr="00871656">
        <w:rPr>
          <w:rFonts w:cstheme="minorHAnsi"/>
        </w:rPr>
        <w:t xml:space="preserve">in </w:t>
      </w:r>
      <w:r w:rsidR="00DE2164" w:rsidRPr="00871656">
        <w:rPr>
          <w:rFonts w:cstheme="minorHAnsi"/>
        </w:rPr>
        <w:t>the public sphere and</w:t>
      </w:r>
      <w:r w:rsidR="00330F3C" w:rsidRPr="00871656">
        <w:rPr>
          <w:rFonts w:cstheme="minorHAnsi"/>
        </w:rPr>
        <w:t xml:space="preserve"> private spheres</w:t>
      </w:r>
      <w:r w:rsidRPr="00871656">
        <w:rPr>
          <w:rFonts w:cstheme="minorHAnsi"/>
        </w:rPr>
        <w:t xml:space="preserve"> are changed</w:t>
      </w:r>
      <w:r w:rsidR="00330F3C" w:rsidRPr="00871656">
        <w:rPr>
          <w:rFonts w:cstheme="minorHAnsi"/>
        </w:rPr>
        <w:t xml:space="preserve"> </w:t>
      </w:r>
      <w:r w:rsidR="00C04286" w:rsidRPr="00871656">
        <w:rPr>
          <w:rFonts w:cstheme="minorHAnsi"/>
        </w:rPr>
        <w:t xml:space="preserve">because we recognise that we are all </w:t>
      </w:r>
      <w:r w:rsidR="00C04286" w:rsidRPr="00871656">
        <w:rPr>
          <w:rFonts w:cstheme="minorHAnsi"/>
          <w:i/>
          <w:iCs/>
        </w:rPr>
        <w:t>human</w:t>
      </w:r>
      <w:r w:rsidR="00F07EEE" w:rsidRPr="00871656">
        <w:rPr>
          <w:rFonts w:cstheme="minorHAnsi"/>
        </w:rPr>
        <w:t xml:space="preserve"> with intrinsic worth</w:t>
      </w:r>
      <w:r w:rsidR="00AA57EF" w:rsidRPr="00871656">
        <w:rPr>
          <w:rFonts w:cstheme="minorHAnsi"/>
        </w:rPr>
        <w:t xml:space="preserve"> and </w:t>
      </w:r>
      <w:r w:rsidR="00821B84" w:rsidRPr="00821B84">
        <w:rPr>
          <w:rFonts w:cstheme="minorHAnsi"/>
          <w:i/>
          <w:iCs/>
        </w:rPr>
        <w:t>rights</w:t>
      </w:r>
      <w:r w:rsidR="00821B84">
        <w:rPr>
          <w:rFonts w:cstheme="minorHAnsi"/>
          <w:i/>
          <w:iCs/>
        </w:rPr>
        <w:t xml:space="preserve"> and</w:t>
      </w:r>
      <w:r w:rsidR="00821B84">
        <w:rPr>
          <w:rFonts w:cstheme="minorHAnsi"/>
        </w:rPr>
        <w:t xml:space="preserve"> exist in a </w:t>
      </w:r>
      <w:r w:rsidR="00821B84" w:rsidRPr="00821B84">
        <w:rPr>
          <w:rFonts w:cstheme="minorHAnsi"/>
          <w:i/>
          <w:iCs/>
        </w:rPr>
        <w:t>shared space as one community</w:t>
      </w:r>
      <w:r w:rsidR="00821B84">
        <w:rPr>
          <w:rFonts w:cstheme="minorHAnsi"/>
        </w:rPr>
        <w:t>.</w:t>
      </w:r>
      <w:r w:rsidR="00A80CC3" w:rsidRPr="00871656">
        <w:rPr>
          <w:rFonts w:cstheme="minorHAnsi"/>
        </w:rPr>
        <w:t xml:space="preserve"> The ADA should consider how it can promote the dignity of all beyond just</w:t>
      </w:r>
      <w:r w:rsidR="00DE2164" w:rsidRPr="00871656">
        <w:rPr>
          <w:rFonts w:cstheme="minorHAnsi"/>
        </w:rPr>
        <w:t xml:space="preserve"> adherence to</w:t>
      </w:r>
      <w:r w:rsidR="00A80CC3" w:rsidRPr="00871656">
        <w:rPr>
          <w:rFonts w:cstheme="minorHAnsi"/>
        </w:rPr>
        <w:t xml:space="preserve"> legal obligations.</w:t>
      </w:r>
    </w:p>
    <w:p w14:paraId="5D145E9D" w14:textId="289EFCFD" w:rsidR="00042B6E" w:rsidRPr="00871656" w:rsidRDefault="00F45160" w:rsidP="008A3ECE">
      <w:pPr>
        <w:spacing w:before="0" w:line="312" w:lineRule="auto"/>
        <w:rPr>
          <w:rFonts w:cstheme="minorHAnsi"/>
        </w:rPr>
      </w:pPr>
      <w:r w:rsidRPr="00871656">
        <w:rPr>
          <w:rFonts w:cstheme="minorHAnsi"/>
        </w:rPr>
        <w:t>Building a</w:t>
      </w:r>
      <w:r w:rsidR="00017E0B" w:rsidRPr="00871656">
        <w:rPr>
          <w:rFonts w:cstheme="minorHAnsi"/>
        </w:rPr>
        <w:t xml:space="preserve"> </w:t>
      </w:r>
      <w:r w:rsidR="00342054" w:rsidRPr="00871656">
        <w:rPr>
          <w:rFonts w:cstheme="minorHAnsi"/>
        </w:rPr>
        <w:t>‘</w:t>
      </w:r>
      <w:r w:rsidR="00017E0B" w:rsidRPr="00871656">
        <w:rPr>
          <w:rFonts w:cstheme="minorHAnsi"/>
        </w:rPr>
        <w:t>prevent</w:t>
      </w:r>
      <w:r w:rsidR="00B568BB">
        <w:rPr>
          <w:rFonts w:cstheme="minorHAnsi"/>
        </w:rPr>
        <w:t>at</w:t>
      </w:r>
      <w:r w:rsidR="00017E0B" w:rsidRPr="00871656">
        <w:rPr>
          <w:rFonts w:cstheme="minorHAnsi"/>
        </w:rPr>
        <w:t>ive culture</w:t>
      </w:r>
      <w:r w:rsidR="00342054" w:rsidRPr="00871656">
        <w:rPr>
          <w:rFonts w:cstheme="minorHAnsi"/>
        </w:rPr>
        <w:t>’</w:t>
      </w:r>
      <w:r w:rsidR="001062A1" w:rsidRPr="00871656">
        <w:rPr>
          <w:rFonts w:cstheme="minorHAnsi"/>
        </w:rPr>
        <w:t xml:space="preserve"> is</w:t>
      </w:r>
      <w:r w:rsidR="00017E0B" w:rsidRPr="00871656">
        <w:rPr>
          <w:rFonts w:cstheme="minorHAnsi"/>
        </w:rPr>
        <w:t xml:space="preserve"> critical as</w:t>
      </w:r>
      <w:r w:rsidR="004D7774" w:rsidRPr="00871656">
        <w:rPr>
          <w:rFonts w:cstheme="minorHAnsi"/>
        </w:rPr>
        <w:t xml:space="preserve"> NSW discrimination law is almost entirely reliant on</w:t>
      </w:r>
      <w:r w:rsidR="0093609C" w:rsidRPr="00871656">
        <w:rPr>
          <w:rFonts w:cstheme="minorHAnsi"/>
        </w:rPr>
        <w:t xml:space="preserve"> </w:t>
      </w:r>
      <w:r w:rsidR="004D7774" w:rsidRPr="00871656">
        <w:rPr>
          <w:rFonts w:cstheme="minorHAnsi"/>
        </w:rPr>
        <w:t>a person coming forward to make a complaint</w:t>
      </w:r>
      <w:r w:rsidR="0093609C" w:rsidRPr="00871656">
        <w:rPr>
          <w:rFonts w:cstheme="minorHAnsi"/>
        </w:rPr>
        <w:t>, and</w:t>
      </w:r>
      <w:r w:rsidR="00017E0B" w:rsidRPr="00871656">
        <w:rPr>
          <w:rFonts w:cstheme="minorHAnsi"/>
        </w:rPr>
        <w:t xml:space="preserve"> many people who do experience </w:t>
      </w:r>
      <w:r w:rsidR="001062A1" w:rsidRPr="00871656">
        <w:rPr>
          <w:rFonts w:cstheme="minorHAnsi"/>
        </w:rPr>
        <w:t>discrimination</w:t>
      </w:r>
      <w:r w:rsidR="00017E0B" w:rsidRPr="00871656">
        <w:rPr>
          <w:rFonts w:cstheme="minorHAnsi"/>
        </w:rPr>
        <w:t xml:space="preserve"> </w:t>
      </w:r>
      <w:r w:rsidR="001062A1" w:rsidRPr="00871656">
        <w:rPr>
          <w:rFonts w:cstheme="minorHAnsi"/>
        </w:rPr>
        <w:t>do not take any action</w:t>
      </w:r>
      <w:r w:rsidR="000E4608">
        <w:rPr>
          <w:rFonts w:cstheme="minorHAnsi"/>
        </w:rPr>
        <w:t xml:space="preserve"> for a variety of reasons, including lack of knowledge about their rights, </w:t>
      </w:r>
      <w:r w:rsidR="00D6217E">
        <w:rPr>
          <w:rFonts w:cstheme="minorHAnsi"/>
        </w:rPr>
        <w:t xml:space="preserve">lack of knowledge of </w:t>
      </w:r>
      <w:r w:rsidR="000E4608">
        <w:rPr>
          <w:rFonts w:cstheme="minorHAnsi"/>
        </w:rPr>
        <w:t>where to get assistance,</w:t>
      </w:r>
      <w:r w:rsidR="00D6217E">
        <w:rPr>
          <w:rFonts w:cstheme="minorHAnsi"/>
        </w:rPr>
        <w:t xml:space="preserve"> and concerns about impact of proceedings on their health and </w:t>
      </w:r>
      <w:r w:rsidR="000A4B6F">
        <w:rPr>
          <w:rFonts w:cstheme="minorHAnsi"/>
        </w:rPr>
        <w:t>wellbeing</w:t>
      </w:r>
      <w:r w:rsidR="00D6217E">
        <w:rPr>
          <w:rFonts w:cstheme="minorHAnsi"/>
        </w:rPr>
        <w:t xml:space="preserve"> </w:t>
      </w:r>
      <w:r w:rsidR="000A4B6F">
        <w:rPr>
          <w:rFonts w:cstheme="minorHAnsi"/>
        </w:rPr>
        <w:t>or future career</w:t>
      </w:r>
      <w:r w:rsidR="001062A1" w:rsidRPr="00871656">
        <w:rPr>
          <w:rFonts w:cstheme="minorHAnsi"/>
        </w:rPr>
        <w:t>.</w:t>
      </w:r>
      <w:r w:rsidR="001062A1" w:rsidRPr="00871656">
        <w:rPr>
          <w:rStyle w:val="FootnoteReference"/>
          <w:rFonts w:cstheme="minorHAnsi"/>
        </w:rPr>
        <w:footnoteReference w:id="45"/>
      </w:r>
      <w:r w:rsidR="001062A1" w:rsidRPr="00871656">
        <w:rPr>
          <w:rFonts w:cstheme="minorHAnsi"/>
        </w:rPr>
        <w:t xml:space="preserve"> </w:t>
      </w:r>
    </w:p>
    <w:p w14:paraId="4DD0B1B1" w14:textId="246A3636" w:rsidR="00AD6FA4" w:rsidRPr="00871656" w:rsidRDefault="00CD6E5E" w:rsidP="008A3ECE">
      <w:pPr>
        <w:spacing w:before="0" w:line="312" w:lineRule="auto"/>
        <w:rPr>
          <w:rFonts w:cstheme="minorHAnsi"/>
        </w:rPr>
      </w:pPr>
      <w:r w:rsidRPr="00871656">
        <w:rPr>
          <w:rFonts w:cstheme="minorHAnsi"/>
        </w:rPr>
        <w:t xml:space="preserve">Along </w:t>
      </w:r>
      <w:r w:rsidRPr="00DF3B8B">
        <w:rPr>
          <w:rFonts w:cstheme="minorHAnsi"/>
        </w:rPr>
        <w:t xml:space="preserve">with a positive duty to </w:t>
      </w:r>
      <w:r w:rsidR="00B84F2C" w:rsidRPr="00DF3B8B">
        <w:rPr>
          <w:rFonts w:cstheme="minorHAnsi"/>
        </w:rPr>
        <w:t xml:space="preserve">prevent discrimination, a </w:t>
      </w:r>
      <w:r w:rsidR="00B84F2C" w:rsidRPr="00DF3B8B">
        <w:rPr>
          <w:rFonts w:cstheme="minorHAnsi"/>
          <w:b/>
          <w:bCs/>
        </w:rPr>
        <w:t xml:space="preserve">positive duty to provide reasonable adjustments </w:t>
      </w:r>
      <w:r w:rsidR="00B84F2C" w:rsidRPr="00DF3B8B">
        <w:rPr>
          <w:rFonts w:cstheme="minorHAnsi"/>
        </w:rPr>
        <w:t xml:space="preserve">(up to the point </w:t>
      </w:r>
      <w:r w:rsidR="00E60AEC" w:rsidRPr="00DF3B8B">
        <w:rPr>
          <w:rFonts w:cstheme="minorHAnsi"/>
        </w:rPr>
        <w:t>of</w:t>
      </w:r>
      <w:r w:rsidR="00B84F2C" w:rsidRPr="00DF3B8B">
        <w:rPr>
          <w:rFonts w:cstheme="minorHAnsi"/>
        </w:rPr>
        <w:t xml:space="preserve"> </w:t>
      </w:r>
      <w:r w:rsidR="00342054" w:rsidRPr="00DF3B8B">
        <w:rPr>
          <w:rFonts w:cstheme="minorHAnsi"/>
        </w:rPr>
        <w:t>‘</w:t>
      </w:r>
      <w:r w:rsidR="00B84F2C" w:rsidRPr="00DF3B8B">
        <w:rPr>
          <w:rFonts w:cstheme="minorHAnsi"/>
        </w:rPr>
        <w:t>unjustifiable hardship</w:t>
      </w:r>
      <w:r w:rsidR="00342054" w:rsidRPr="00DF3B8B">
        <w:rPr>
          <w:rFonts w:cstheme="minorHAnsi"/>
        </w:rPr>
        <w:t>’</w:t>
      </w:r>
      <w:r w:rsidR="00B84F2C" w:rsidRPr="00DF3B8B">
        <w:rPr>
          <w:rFonts w:cstheme="minorHAnsi"/>
        </w:rPr>
        <w:t xml:space="preserve">) </w:t>
      </w:r>
      <w:r w:rsidR="00030551" w:rsidRPr="00DF3B8B">
        <w:rPr>
          <w:rFonts w:cstheme="minorHAnsi"/>
        </w:rPr>
        <w:t xml:space="preserve">is a key mechanism </w:t>
      </w:r>
      <w:r w:rsidR="0051585A" w:rsidRPr="00DF3B8B">
        <w:rPr>
          <w:rFonts w:cstheme="minorHAnsi"/>
        </w:rPr>
        <w:t>PWDA believes will</w:t>
      </w:r>
      <w:r w:rsidR="00030551" w:rsidRPr="00DF3B8B">
        <w:rPr>
          <w:rFonts w:cstheme="minorHAnsi"/>
        </w:rPr>
        <w:t xml:space="preserve"> </w:t>
      </w:r>
      <w:r w:rsidR="00393F1B" w:rsidRPr="00DF3B8B">
        <w:rPr>
          <w:rFonts w:cstheme="minorHAnsi"/>
        </w:rPr>
        <w:t>support</w:t>
      </w:r>
      <w:r w:rsidR="00393F1B" w:rsidRPr="00871656">
        <w:rPr>
          <w:rFonts w:cstheme="minorHAnsi"/>
        </w:rPr>
        <w:t xml:space="preserve"> </w:t>
      </w:r>
      <w:r w:rsidR="00030551" w:rsidRPr="00871656">
        <w:rPr>
          <w:rFonts w:cstheme="minorHAnsi"/>
        </w:rPr>
        <w:t>efforts to promote</w:t>
      </w:r>
      <w:r w:rsidR="00393F1B" w:rsidRPr="00871656">
        <w:rPr>
          <w:rFonts w:cstheme="minorHAnsi"/>
        </w:rPr>
        <w:t xml:space="preserve"> substantive equality.</w:t>
      </w:r>
      <w:r w:rsidR="00393F1B" w:rsidRPr="00871656">
        <w:rPr>
          <w:rStyle w:val="FootnoteReference"/>
          <w:rFonts w:cstheme="minorHAnsi"/>
        </w:rPr>
        <w:footnoteReference w:id="46"/>
      </w:r>
      <w:r w:rsidR="00030551" w:rsidRPr="00871656">
        <w:rPr>
          <w:rFonts w:cstheme="minorHAnsi"/>
        </w:rPr>
        <w:t xml:space="preserve"> </w:t>
      </w:r>
    </w:p>
    <w:p w14:paraId="667EB353" w14:textId="43FE6996" w:rsidR="00030551" w:rsidRPr="00871656" w:rsidRDefault="00C70448" w:rsidP="008A3ECE">
      <w:pPr>
        <w:spacing w:before="0" w:line="312" w:lineRule="auto"/>
        <w:rPr>
          <w:rFonts w:cstheme="minorHAnsi"/>
        </w:rPr>
      </w:pPr>
      <w:r w:rsidRPr="00871656">
        <w:rPr>
          <w:rFonts w:cstheme="minorHAnsi"/>
        </w:rPr>
        <w:t>While subject to reasonable exceptions, these positive duties are to apply broadly across the public sphere</w:t>
      </w:r>
      <w:r w:rsidR="00A7774B" w:rsidRPr="00871656">
        <w:rPr>
          <w:rFonts w:cstheme="minorHAnsi"/>
        </w:rPr>
        <w:t xml:space="preserve"> including</w:t>
      </w:r>
      <w:r w:rsidR="00A80CC3" w:rsidRPr="00871656">
        <w:rPr>
          <w:rFonts w:cstheme="minorHAnsi"/>
        </w:rPr>
        <w:t xml:space="preserve"> but not limited to</w:t>
      </w:r>
      <w:r w:rsidR="00A7774B" w:rsidRPr="00871656">
        <w:rPr>
          <w:rFonts w:cstheme="minorHAnsi"/>
        </w:rPr>
        <w:t xml:space="preserve">, employment, education, the provision of goods and services, accommodation, clubs, </w:t>
      </w:r>
      <w:r w:rsidR="00C53FE2" w:rsidRPr="00871656">
        <w:rPr>
          <w:rFonts w:cstheme="minorHAnsi"/>
        </w:rPr>
        <w:t xml:space="preserve">and </w:t>
      </w:r>
      <w:r w:rsidR="00A7774B" w:rsidRPr="00871656">
        <w:rPr>
          <w:rFonts w:cstheme="minorHAnsi"/>
        </w:rPr>
        <w:t>s</w:t>
      </w:r>
      <w:r w:rsidR="00C53FE2" w:rsidRPr="00871656">
        <w:rPr>
          <w:rFonts w:cstheme="minorHAnsi"/>
        </w:rPr>
        <w:t>p</w:t>
      </w:r>
      <w:r w:rsidR="00A7774B" w:rsidRPr="00871656">
        <w:rPr>
          <w:rFonts w:cstheme="minorHAnsi"/>
        </w:rPr>
        <w:t>ort</w:t>
      </w:r>
      <w:r w:rsidR="00C53FE2" w:rsidRPr="00871656">
        <w:rPr>
          <w:rFonts w:cstheme="minorHAnsi"/>
        </w:rPr>
        <w:t>.</w:t>
      </w:r>
      <w:r w:rsidR="00330F3C" w:rsidRPr="00871656">
        <w:rPr>
          <w:rFonts w:cstheme="minorHAnsi"/>
        </w:rPr>
        <w:t xml:space="preserve"> </w:t>
      </w:r>
    </w:p>
    <w:p w14:paraId="0F8E0CE3" w14:textId="5C172D2E" w:rsidR="00AB4FCA" w:rsidRPr="00BA1B07" w:rsidRDefault="00AB4FCA" w:rsidP="008A3ECE">
      <w:pPr>
        <w:pStyle w:val="Heading3"/>
        <w:spacing w:line="312" w:lineRule="auto"/>
      </w:pPr>
      <w:bookmarkStart w:id="98" w:name="_Toc146877530"/>
      <w:r w:rsidRPr="00BA1B07">
        <w:t xml:space="preserve">The example of </w:t>
      </w:r>
      <w:r w:rsidR="00A75631" w:rsidRPr="00BA1B07">
        <w:t xml:space="preserve">the United Kingdom and </w:t>
      </w:r>
      <w:r w:rsidRPr="00BA1B07">
        <w:t>Victoria</w:t>
      </w:r>
      <w:bookmarkEnd w:id="98"/>
      <w:r w:rsidRPr="00BA1B07">
        <w:t xml:space="preserve"> </w:t>
      </w:r>
    </w:p>
    <w:p w14:paraId="55C89D52" w14:textId="4F7F48FA" w:rsidR="00A75631" w:rsidRPr="00871656" w:rsidRDefault="00A75631" w:rsidP="008A3ECE">
      <w:pPr>
        <w:pStyle w:val="BodyText"/>
        <w:spacing w:line="312" w:lineRule="auto"/>
        <w:rPr>
          <w:rFonts w:asciiTheme="minorHAnsi" w:hAnsiTheme="minorHAnsi" w:cstheme="minorHAnsi"/>
        </w:rPr>
      </w:pPr>
      <w:r w:rsidRPr="00871656">
        <w:rPr>
          <w:rFonts w:asciiTheme="minorHAnsi" w:hAnsiTheme="minorHAnsi" w:cstheme="minorHAnsi"/>
        </w:rPr>
        <w:t xml:space="preserve">The </w:t>
      </w:r>
      <w:r w:rsidRPr="00871656">
        <w:rPr>
          <w:rFonts w:asciiTheme="minorHAnsi" w:hAnsiTheme="minorHAnsi" w:cstheme="minorHAnsi"/>
          <w:i/>
          <w:iCs/>
        </w:rPr>
        <w:t>Equality Act 2010</w:t>
      </w:r>
      <w:r w:rsidRPr="00871656">
        <w:rPr>
          <w:rFonts w:asciiTheme="minorHAnsi" w:hAnsiTheme="minorHAnsi" w:cstheme="minorHAnsi"/>
        </w:rPr>
        <w:t xml:space="preserve"> (UK) contains a </w:t>
      </w:r>
      <w:r w:rsidR="00342054" w:rsidRPr="00871656">
        <w:rPr>
          <w:rFonts w:asciiTheme="minorHAnsi" w:hAnsiTheme="minorHAnsi" w:cstheme="minorHAnsi"/>
        </w:rPr>
        <w:t>‘[p]</w:t>
      </w:r>
      <w:r w:rsidRPr="00871656">
        <w:rPr>
          <w:rFonts w:asciiTheme="minorHAnsi" w:hAnsiTheme="minorHAnsi" w:cstheme="minorHAnsi"/>
        </w:rPr>
        <w:t>ublic sector duty regarding socio-economic inequalities</w:t>
      </w:r>
      <w:r w:rsidR="00AA57EF" w:rsidRPr="00871656">
        <w:rPr>
          <w:rFonts w:asciiTheme="minorHAnsi" w:hAnsiTheme="minorHAnsi" w:cstheme="minorHAnsi"/>
        </w:rPr>
        <w:t>,’</w:t>
      </w:r>
      <w:r w:rsidR="00AA57EF" w:rsidRPr="00871656">
        <w:rPr>
          <w:rStyle w:val="FootnoteReference"/>
          <w:rFonts w:asciiTheme="minorHAnsi" w:hAnsiTheme="minorHAnsi" w:cstheme="minorHAnsi"/>
        </w:rPr>
        <w:footnoteReference w:id="47"/>
      </w:r>
      <w:r w:rsidR="00AA57EF" w:rsidRPr="00871656">
        <w:rPr>
          <w:rFonts w:asciiTheme="minorHAnsi" w:hAnsiTheme="minorHAnsi" w:cstheme="minorHAnsi"/>
        </w:rPr>
        <w:t xml:space="preserve"> </w:t>
      </w:r>
      <w:r w:rsidRPr="00871656">
        <w:rPr>
          <w:rFonts w:asciiTheme="minorHAnsi" w:hAnsiTheme="minorHAnsi" w:cstheme="minorHAnsi"/>
        </w:rPr>
        <w:t xml:space="preserve">and a </w:t>
      </w:r>
      <w:r w:rsidR="00342054" w:rsidRPr="00871656">
        <w:rPr>
          <w:rFonts w:asciiTheme="minorHAnsi" w:hAnsiTheme="minorHAnsi" w:cstheme="minorHAnsi"/>
        </w:rPr>
        <w:t>‘[p]</w:t>
      </w:r>
      <w:r w:rsidRPr="00871656">
        <w:rPr>
          <w:rFonts w:asciiTheme="minorHAnsi" w:hAnsiTheme="minorHAnsi" w:cstheme="minorHAnsi"/>
        </w:rPr>
        <w:t>ublic sector equality duty</w:t>
      </w:r>
      <w:r w:rsidR="009A0C50" w:rsidRPr="00871656">
        <w:rPr>
          <w:rFonts w:asciiTheme="minorHAnsi" w:hAnsiTheme="minorHAnsi" w:cstheme="minorHAnsi"/>
        </w:rPr>
        <w:t>.</w:t>
      </w:r>
      <w:r w:rsidR="00342054" w:rsidRPr="00871656">
        <w:rPr>
          <w:rFonts w:asciiTheme="minorHAnsi" w:hAnsiTheme="minorHAnsi" w:cstheme="minorHAnsi"/>
        </w:rPr>
        <w:t>’</w:t>
      </w:r>
      <w:r w:rsidR="00AA57EF" w:rsidRPr="00871656">
        <w:rPr>
          <w:rStyle w:val="FootnoteReference"/>
          <w:rFonts w:asciiTheme="minorHAnsi" w:hAnsiTheme="minorHAnsi" w:cstheme="minorHAnsi"/>
        </w:rPr>
        <w:footnoteReference w:id="48"/>
      </w:r>
      <w:r w:rsidR="009A0C50" w:rsidRPr="00871656">
        <w:rPr>
          <w:rFonts w:asciiTheme="minorHAnsi" w:hAnsiTheme="minorHAnsi" w:cstheme="minorHAnsi"/>
        </w:rPr>
        <w:t xml:space="preserve"> </w:t>
      </w:r>
      <w:r w:rsidRPr="00871656">
        <w:rPr>
          <w:rFonts w:asciiTheme="minorHAnsi" w:hAnsiTheme="minorHAnsi" w:cstheme="minorHAnsi"/>
        </w:rPr>
        <w:t>These duties apply to all exercising public functions. These duties can be broken down as:</w:t>
      </w:r>
    </w:p>
    <w:p w14:paraId="31FF1044" w14:textId="422EBEE8" w:rsidR="00057E44" w:rsidRPr="00871656" w:rsidRDefault="00A75631" w:rsidP="008A3ECE">
      <w:pPr>
        <w:pStyle w:val="BodyText"/>
        <w:numPr>
          <w:ilvl w:val="0"/>
          <w:numId w:val="18"/>
        </w:numPr>
        <w:spacing w:line="312" w:lineRule="auto"/>
        <w:rPr>
          <w:rFonts w:asciiTheme="minorHAnsi" w:hAnsiTheme="minorHAnsi" w:cstheme="minorHAnsi"/>
        </w:rPr>
      </w:pPr>
      <w:r w:rsidRPr="00871656">
        <w:rPr>
          <w:rFonts w:asciiTheme="minorHAnsi" w:hAnsiTheme="minorHAnsi" w:cstheme="minorHAnsi"/>
        </w:rPr>
        <w:t xml:space="preserve">A duty to exercise </w:t>
      </w:r>
      <w:r w:rsidR="00AF5039" w:rsidRPr="00871656">
        <w:rPr>
          <w:rFonts w:asciiTheme="minorHAnsi" w:hAnsiTheme="minorHAnsi" w:cstheme="minorHAnsi"/>
        </w:rPr>
        <w:t>functions</w:t>
      </w:r>
      <w:r w:rsidRPr="00871656">
        <w:rPr>
          <w:rFonts w:asciiTheme="minorHAnsi" w:hAnsiTheme="minorHAnsi" w:cstheme="minorHAnsi"/>
        </w:rPr>
        <w:t xml:space="preserve"> in a way that will reduce inequalities of outcome which result from socio-economic disadvantage</w:t>
      </w:r>
      <w:r w:rsidR="00AA57EF" w:rsidRPr="00871656">
        <w:rPr>
          <w:rStyle w:val="FootnoteReference"/>
          <w:rFonts w:asciiTheme="minorHAnsi" w:hAnsiTheme="minorHAnsi" w:cstheme="minorHAnsi"/>
        </w:rPr>
        <w:footnoteReference w:id="49"/>
      </w:r>
      <w:r w:rsidR="00AA57EF" w:rsidRPr="00871656">
        <w:rPr>
          <w:rFonts w:asciiTheme="minorHAnsi" w:hAnsiTheme="minorHAnsi" w:cstheme="minorHAnsi"/>
        </w:rPr>
        <w:t xml:space="preserve"> </w:t>
      </w:r>
    </w:p>
    <w:p w14:paraId="0EB5F283" w14:textId="1E3057D8" w:rsidR="00AF5039" w:rsidRPr="00871656" w:rsidRDefault="00AF5039" w:rsidP="008A3ECE">
      <w:pPr>
        <w:pStyle w:val="BodyText"/>
        <w:numPr>
          <w:ilvl w:val="0"/>
          <w:numId w:val="18"/>
        </w:numPr>
        <w:spacing w:line="312" w:lineRule="auto"/>
        <w:rPr>
          <w:rFonts w:asciiTheme="minorHAnsi" w:hAnsiTheme="minorHAnsi" w:cstheme="minorHAnsi"/>
        </w:rPr>
      </w:pPr>
      <w:r w:rsidRPr="00871656">
        <w:rPr>
          <w:rFonts w:asciiTheme="minorHAnsi" w:hAnsiTheme="minorHAnsi" w:cstheme="minorHAnsi"/>
        </w:rPr>
        <w:t>A duty to eliminate discrimination</w:t>
      </w:r>
      <w:r w:rsidR="00AA57EF" w:rsidRPr="00871656">
        <w:rPr>
          <w:rStyle w:val="FootnoteReference"/>
          <w:rFonts w:asciiTheme="minorHAnsi" w:hAnsiTheme="minorHAnsi" w:cstheme="minorHAnsi"/>
        </w:rPr>
        <w:footnoteReference w:id="50"/>
      </w:r>
    </w:p>
    <w:p w14:paraId="11341405" w14:textId="3BC4B06A" w:rsidR="00A0187A" w:rsidRPr="00871656" w:rsidRDefault="00AF5039" w:rsidP="008A3ECE">
      <w:pPr>
        <w:pStyle w:val="BodyText"/>
        <w:numPr>
          <w:ilvl w:val="0"/>
          <w:numId w:val="18"/>
        </w:numPr>
        <w:spacing w:line="312" w:lineRule="auto"/>
        <w:rPr>
          <w:rFonts w:asciiTheme="minorHAnsi" w:hAnsiTheme="minorHAnsi" w:cstheme="minorHAnsi"/>
        </w:rPr>
      </w:pPr>
      <w:r w:rsidRPr="00871656">
        <w:rPr>
          <w:rFonts w:asciiTheme="minorHAnsi" w:hAnsiTheme="minorHAnsi" w:cstheme="minorHAnsi"/>
        </w:rPr>
        <w:t>A duty to advance equality of opportunity</w:t>
      </w:r>
      <w:r w:rsidR="00A0187A" w:rsidRPr="00871656">
        <w:rPr>
          <w:rStyle w:val="FootnoteReference"/>
          <w:rFonts w:asciiTheme="minorHAnsi" w:hAnsiTheme="minorHAnsi" w:cstheme="minorHAnsi"/>
        </w:rPr>
        <w:footnoteReference w:id="51"/>
      </w:r>
    </w:p>
    <w:p w14:paraId="116ADCFF" w14:textId="470783AD" w:rsidR="00AF5039" w:rsidRPr="00871656" w:rsidRDefault="00A0187A" w:rsidP="008A3ECE">
      <w:pPr>
        <w:pStyle w:val="BodyText"/>
        <w:numPr>
          <w:ilvl w:val="0"/>
          <w:numId w:val="18"/>
        </w:numPr>
        <w:spacing w:line="312" w:lineRule="auto"/>
        <w:rPr>
          <w:rFonts w:asciiTheme="minorHAnsi" w:hAnsiTheme="minorHAnsi" w:cstheme="minorHAnsi"/>
        </w:rPr>
      </w:pPr>
      <w:r w:rsidRPr="00871656">
        <w:rPr>
          <w:rFonts w:asciiTheme="minorHAnsi" w:hAnsiTheme="minorHAnsi" w:cstheme="minorHAnsi"/>
        </w:rPr>
        <w:lastRenderedPageBreak/>
        <w:t>A duty to</w:t>
      </w:r>
      <w:r w:rsidR="00AF5039" w:rsidRPr="00871656">
        <w:rPr>
          <w:rFonts w:asciiTheme="minorHAnsi" w:hAnsiTheme="minorHAnsi" w:cstheme="minorHAnsi"/>
        </w:rPr>
        <w:t xml:space="preserve"> encourag</w:t>
      </w:r>
      <w:r w:rsidRPr="00871656">
        <w:rPr>
          <w:rFonts w:asciiTheme="minorHAnsi" w:hAnsiTheme="minorHAnsi" w:cstheme="minorHAnsi"/>
        </w:rPr>
        <w:t>e</w:t>
      </w:r>
      <w:r w:rsidR="00AF5039" w:rsidRPr="00871656">
        <w:rPr>
          <w:rFonts w:asciiTheme="minorHAnsi" w:hAnsiTheme="minorHAnsi" w:cstheme="minorHAnsi"/>
        </w:rPr>
        <w:t xml:space="preserve"> participation in public life</w:t>
      </w:r>
      <w:r w:rsidR="007C71D2">
        <w:rPr>
          <w:rFonts w:asciiTheme="minorHAnsi" w:hAnsiTheme="minorHAnsi" w:cstheme="minorHAnsi"/>
        </w:rPr>
        <w:t>;</w:t>
      </w:r>
      <w:r w:rsidRPr="00871656">
        <w:rPr>
          <w:rStyle w:val="FootnoteReference"/>
          <w:rFonts w:asciiTheme="minorHAnsi" w:hAnsiTheme="minorHAnsi" w:cstheme="minorHAnsi"/>
        </w:rPr>
        <w:footnoteReference w:id="52"/>
      </w:r>
      <w:r w:rsidRPr="00871656">
        <w:rPr>
          <w:rFonts w:asciiTheme="minorHAnsi" w:hAnsiTheme="minorHAnsi" w:cstheme="minorHAnsi"/>
        </w:rPr>
        <w:t xml:space="preserve"> and </w:t>
      </w:r>
    </w:p>
    <w:p w14:paraId="09F6BB18" w14:textId="70CED067" w:rsidR="00AF5039" w:rsidRPr="00871656" w:rsidRDefault="00AF5039" w:rsidP="008A3ECE">
      <w:pPr>
        <w:pStyle w:val="BodyText"/>
        <w:numPr>
          <w:ilvl w:val="0"/>
          <w:numId w:val="18"/>
        </w:numPr>
        <w:spacing w:line="312" w:lineRule="auto"/>
        <w:rPr>
          <w:rFonts w:asciiTheme="minorHAnsi" w:hAnsiTheme="minorHAnsi" w:cstheme="minorHAnsi"/>
        </w:rPr>
      </w:pPr>
      <w:r w:rsidRPr="00871656">
        <w:rPr>
          <w:rFonts w:asciiTheme="minorHAnsi" w:hAnsiTheme="minorHAnsi" w:cstheme="minorHAnsi"/>
        </w:rPr>
        <w:t>A duty to provide reasonable adjustments to minimize or remove disadvantage</w:t>
      </w:r>
      <w:r w:rsidR="00821B84">
        <w:rPr>
          <w:rFonts w:asciiTheme="minorHAnsi" w:hAnsiTheme="minorHAnsi" w:cstheme="minorHAnsi"/>
        </w:rPr>
        <w:t>.</w:t>
      </w:r>
      <w:r w:rsidR="00A0187A" w:rsidRPr="00871656">
        <w:rPr>
          <w:rStyle w:val="FootnoteReference"/>
          <w:rFonts w:asciiTheme="minorHAnsi" w:hAnsiTheme="minorHAnsi" w:cstheme="minorHAnsi"/>
        </w:rPr>
        <w:footnoteReference w:id="53"/>
      </w:r>
    </w:p>
    <w:p w14:paraId="28652C20" w14:textId="23D1C219" w:rsidR="007B06D1" w:rsidRPr="00DF3B8B" w:rsidRDefault="007856E1" w:rsidP="008A3ECE">
      <w:pPr>
        <w:pStyle w:val="BodyText"/>
        <w:spacing w:line="312" w:lineRule="auto"/>
        <w:rPr>
          <w:rFonts w:asciiTheme="minorHAnsi" w:hAnsiTheme="minorHAnsi" w:cstheme="minorHAnsi"/>
        </w:rPr>
      </w:pPr>
      <w:r w:rsidRPr="00871656">
        <w:rPr>
          <w:rFonts w:asciiTheme="minorHAnsi" w:hAnsiTheme="minorHAnsi" w:cstheme="minorHAnsi"/>
        </w:rPr>
        <w:t xml:space="preserve">Section 15 of the </w:t>
      </w:r>
      <w:r w:rsidR="00EC771E" w:rsidRPr="00871656">
        <w:rPr>
          <w:rFonts w:asciiTheme="minorHAnsi" w:hAnsiTheme="minorHAnsi" w:cstheme="minorHAnsi"/>
          <w:i/>
          <w:iCs/>
        </w:rPr>
        <w:t>Equal Opportunity Act 2010</w:t>
      </w:r>
      <w:r w:rsidR="00EC771E" w:rsidRPr="00871656">
        <w:rPr>
          <w:rFonts w:asciiTheme="minorHAnsi" w:hAnsiTheme="minorHAnsi" w:cstheme="minorHAnsi"/>
        </w:rPr>
        <w:t xml:space="preserve"> (V</w:t>
      </w:r>
      <w:r w:rsidR="00AB331A" w:rsidRPr="00871656">
        <w:rPr>
          <w:rFonts w:asciiTheme="minorHAnsi" w:hAnsiTheme="minorHAnsi" w:cstheme="minorHAnsi"/>
        </w:rPr>
        <w:t>ic</w:t>
      </w:r>
      <w:r w:rsidR="00EC771E" w:rsidRPr="00871656">
        <w:rPr>
          <w:rFonts w:asciiTheme="minorHAnsi" w:hAnsiTheme="minorHAnsi" w:cstheme="minorHAnsi"/>
        </w:rPr>
        <w:t>)</w:t>
      </w:r>
      <w:r w:rsidR="0043771C" w:rsidRPr="00871656">
        <w:rPr>
          <w:rFonts w:asciiTheme="minorHAnsi" w:hAnsiTheme="minorHAnsi" w:cstheme="minorHAnsi"/>
        </w:rPr>
        <w:t xml:space="preserve"> (EOA) is an example of </w:t>
      </w:r>
      <w:r w:rsidR="005F1BB3" w:rsidRPr="00DF3B8B">
        <w:rPr>
          <w:rFonts w:asciiTheme="minorHAnsi" w:hAnsiTheme="minorHAnsi" w:cstheme="minorHAnsi"/>
          <w:b/>
          <w:bCs/>
        </w:rPr>
        <w:t xml:space="preserve">a positive </w:t>
      </w:r>
      <w:r w:rsidR="0043771C" w:rsidRPr="00DF3B8B">
        <w:rPr>
          <w:rFonts w:asciiTheme="minorHAnsi" w:hAnsiTheme="minorHAnsi" w:cstheme="minorHAnsi"/>
          <w:b/>
          <w:bCs/>
        </w:rPr>
        <w:t>duty to</w:t>
      </w:r>
      <w:r w:rsidR="004B4BE3" w:rsidRPr="00DF3B8B">
        <w:rPr>
          <w:rFonts w:asciiTheme="minorHAnsi" w:hAnsiTheme="minorHAnsi" w:cstheme="minorHAnsi"/>
          <w:b/>
          <w:bCs/>
        </w:rPr>
        <w:t xml:space="preserve"> not engage in discrimination and to</w:t>
      </w:r>
      <w:r w:rsidR="0043771C" w:rsidRPr="00DF3B8B">
        <w:rPr>
          <w:rFonts w:asciiTheme="minorHAnsi" w:hAnsiTheme="minorHAnsi" w:cstheme="minorHAnsi"/>
          <w:b/>
          <w:bCs/>
        </w:rPr>
        <w:t xml:space="preserve"> eliminate discrimination, sexual </w:t>
      </w:r>
      <w:r w:rsidR="0080610E" w:rsidRPr="00DF3B8B">
        <w:rPr>
          <w:rFonts w:asciiTheme="minorHAnsi" w:hAnsiTheme="minorHAnsi" w:cstheme="minorHAnsi"/>
          <w:b/>
          <w:bCs/>
        </w:rPr>
        <w:t>harassment,</w:t>
      </w:r>
      <w:r w:rsidR="0043771C" w:rsidRPr="00DF3B8B">
        <w:rPr>
          <w:rFonts w:asciiTheme="minorHAnsi" w:hAnsiTheme="minorHAnsi" w:cstheme="minorHAnsi"/>
          <w:b/>
          <w:bCs/>
        </w:rPr>
        <w:t xml:space="preserve"> or victimi</w:t>
      </w:r>
      <w:r w:rsidR="00DF3B8B">
        <w:rPr>
          <w:rFonts w:asciiTheme="minorHAnsi" w:hAnsiTheme="minorHAnsi" w:cstheme="minorHAnsi"/>
          <w:b/>
          <w:bCs/>
        </w:rPr>
        <w:t>s</w:t>
      </w:r>
      <w:r w:rsidR="0043771C" w:rsidRPr="00DF3B8B">
        <w:rPr>
          <w:rFonts w:asciiTheme="minorHAnsi" w:hAnsiTheme="minorHAnsi" w:cstheme="minorHAnsi"/>
          <w:b/>
          <w:bCs/>
        </w:rPr>
        <w:t>ation</w:t>
      </w:r>
      <w:r w:rsidR="0043771C" w:rsidRPr="00DF3B8B">
        <w:rPr>
          <w:rFonts w:asciiTheme="minorHAnsi" w:hAnsiTheme="minorHAnsi" w:cstheme="minorHAnsi"/>
        </w:rPr>
        <w:t>. It</w:t>
      </w:r>
      <w:r w:rsidR="005175ED" w:rsidRPr="00DF3B8B">
        <w:rPr>
          <w:rFonts w:asciiTheme="minorHAnsi" w:hAnsiTheme="minorHAnsi" w:cstheme="minorHAnsi"/>
        </w:rPr>
        <w:t xml:space="preserve"> applies to a person who has a duty</w:t>
      </w:r>
      <w:r w:rsidR="002D5993" w:rsidRPr="00DF3B8B">
        <w:rPr>
          <w:rFonts w:asciiTheme="minorHAnsi" w:hAnsiTheme="minorHAnsi" w:cstheme="minorHAnsi"/>
        </w:rPr>
        <w:t xml:space="preserve"> </w:t>
      </w:r>
      <w:r w:rsidR="005175ED" w:rsidRPr="00DF3B8B">
        <w:rPr>
          <w:rFonts w:asciiTheme="minorHAnsi" w:hAnsiTheme="minorHAnsi" w:cstheme="minorHAnsi"/>
        </w:rPr>
        <w:t xml:space="preserve">under </w:t>
      </w:r>
      <w:r w:rsidR="0043771C" w:rsidRPr="00DF3B8B">
        <w:rPr>
          <w:rFonts w:asciiTheme="minorHAnsi" w:hAnsiTheme="minorHAnsi" w:cstheme="minorHAnsi"/>
        </w:rPr>
        <w:t xml:space="preserve">EOA </w:t>
      </w:r>
      <w:r w:rsidR="005175ED" w:rsidRPr="00DF3B8B">
        <w:rPr>
          <w:rFonts w:asciiTheme="minorHAnsi" w:hAnsiTheme="minorHAnsi" w:cstheme="minorHAnsi"/>
        </w:rPr>
        <w:t>Part</w:t>
      </w:r>
      <w:r w:rsidR="00A0187A" w:rsidRPr="00DF3B8B">
        <w:rPr>
          <w:rFonts w:asciiTheme="minorHAnsi" w:hAnsiTheme="minorHAnsi" w:cstheme="minorHAnsi"/>
        </w:rPr>
        <w:t>s</w:t>
      </w:r>
      <w:r w:rsidR="005175ED" w:rsidRPr="00DF3B8B">
        <w:rPr>
          <w:rFonts w:asciiTheme="minorHAnsi" w:hAnsiTheme="minorHAnsi" w:cstheme="minorHAnsi"/>
        </w:rPr>
        <w:t xml:space="preserve"> 4, 6 or 7 </w:t>
      </w:r>
      <w:r w:rsidR="00C328FA" w:rsidRPr="00DF3B8B">
        <w:rPr>
          <w:rFonts w:asciiTheme="minorHAnsi" w:hAnsiTheme="minorHAnsi" w:cstheme="minorHAnsi"/>
        </w:rPr>
        <w:t xml:space="preserve">– they are </w:t>
      </w:r>
      <w:r w:rsidR="005175ED" w:rsidRPr="00DF3B8B">
        <w:rPr>
          <w:rFonts w:asciiTheme="minorHAnsi" w:hAnsiTheme="minorHAnsi" w:cstheme="minorHAnsi"/>
        </w:rPr>
        <w:t>not to engage in</w:t>
      </w:r>
      <w:r w:rsidR="002D5993" w:rsidRPr="00DF3B8B">
        <w:rPr>
          <w:rFonts w:asciiTheme="minorHAnsi" w:hAnsiTheme="minorHAnsi" w:cstheme="minorHAnsi"/>
        </w:rPr>
        <w:t xml:space="preserve"> </w:t>
      </w:r>
      <w:r w:rsidR="005175ED" w:rsidRPr="00DF3B8B">
        <w:rPr>
          <w:rFonts w:asciiTheme="minorHAnsi" w:hAnsiTheme="minorHAnsi" w:cstheme="minorHAnsi"/>
        </w:rPr>
        <w:t xml:space="preserve">discrimination, sexual </w:t>
      </w:r>
      <w:r w:rsidR="00500DFA" w:rsidRPr="00DF3B8B">
        <w:rPr>
          <w:rFonts w:asciiTheme="minorHAnsi" w:hAnsiTheme="minorHAnsi" w:cstheme="minorHAnsi"/>
        </w:rPr>
        <w:t>harassment,</w:t>
      </w:r>
      <w:r w:rsidR="005175ED" w:rsidRPr="00DF3B8B">
        <w:rPr>
          <w:rFonts w:asciiTheme="minorHAnsi" w:hAnsiTheme="minorHAnsi" w:cstheme="minorHAnsi"/>
        </w:rPr>
        <w:t xml:space="preserve"> or</w:t>
      </w:r>
      <w:r w:rsidR="002D5993" w:rsidRPr="00DF3B8B">
        <w:rPr>
          <w:rFonts w:asciiTheme="minorHAnsi" w:hAnsiTheme="minorHAnsi" w:cstheme="minorHAnsi"/>
        </w:rPr>
        <w:t xml:space="preserve"> </w:t>
      </w:r>
      <w:r w:rsidR="0043771C" w:rsidRPr="00DF3B8B">
        <w:rPr>
          <w:rFonts w:asciiTheme="minorHAnsi" w:hAnsiTheme="minorHAnsi" w:cstheme="minorHAnsi"/>
        </w:rPr>
        <w:t>v</w:t>
      </w:r>
      <w:r w:rsidRPr="00DF3B8B">
        <w:rPr>
          <w:rFonts w:asciiTheme="minorHAnsi" w:hAnsiTheme="minorHAnsi" w:cstheme="minorHAnsi"/>
        </w:rPr>
        <w:t>ictimization</w:t>
      </w:r>
      <w:r w:rsidR="00A0187A" w:rsidRPr="00DF3B8B">
        <w:rPr>
          <w:rFonts w:asciiTheme="minorHAnsi" w:hAnsiTheme="minorHAnsi" w:cstheme="minorHAnsi"/>
        </w:rPr>
        <w:t>,</w:t>
      </w:r>
      <w:r w:rsidR="00A0187A" w:rsidRPr="00DF3B8B">
        <w:rPr>
          <w:rStyle w:val="FootnoteReference"/>
          <w:rFonts w:asciiTheme="minorHAnsi" w:hAnsiTheme="minorHAnsi" w:cstheme="minorHAnsi"/>
        </w:rPr>
        <w:footnoteReference w:id="54"/>
      </w:r>
      <w:r w:rsidR="00A0187A" w:rsidRPr="00DF3B8B">
        <w:rPr>
          <w:rFonts w:asciiTheme="minorHAnsi" w:hAnsiTheme="minorHAnsi" w:cstheme="minorHAnsi"/>
        </w:rPr>
        <w:t xml:space="preserve"> </w:t>
      </w:r>
      <w:r w:rsidR="004B4BE3" w:rsidRPr="00DF3B8B">
        <w:rPr>
          <w:rFonts w:asciiTheme="minorHAnsi" w:hAnsiTheme="minorHAnsi" w:cstheme="minorHAnsi"/>
        </w:rPr>
        <w:t>and must take ‘</w:t>
      </w:r>
      <w:r w:rsidR="005175ED" w:rsidRPr="00DF3B8B">
        <w:rPr>
          <w:rFonts w:asciiTheme="minorHAnsi" w:hAnsiTheme="minorHAnsi" w:cstheme="minorHAnsi"/>
        </w:rPr>
        <w:t>reasonable and proportionate</w:t>
      </w:r>
      <w:r w:rsidR="002D5993" w:rsidRPr="00DF3B8B">
        <w:rPr>
          <w:rFonts w:asciiTheme="minorHAnsi" w:hAnsiTheme="minorHAnsi" w:cstheme="minorHAnsi"/>
        </w:rPr>
        <w:t xml:space="preserve"> </w:t>
      </w:r>
      <w:r w:rsidR="005175ED" w:rsidRPr="00DF3B8B">
        <w:rPr>
          <w:rFonts w:asciiTheme="minorHAnsi" w:hAnsiTheme="minorHAnsi" w:cstheme="minorHAnsi"/>
        </w:rPr>
        <w:t>measures to eliminate that</w:t>
      </w:r>
      <w:r w:rsidR="0043771C" w:rsidRPr="00DF3B8B">
        <w:rPr>
          <w:rFonts w:asciiTheme="minorHAnsi" w:hAnsiTheme="minorHAnsi" w:cstheme="minorHAnsi"/>
        </w:rPr>
        <w:t xml:space="preserve"> </w:t>
      </w:r>
      <w:r w:rsidR="005175ED" w:rsidRPr="00DF3B8B">
        <w:rPr>
          <w:rFonts w:asciiTheme="minorHAnsi" w:hAnsiTheme="minorHAnsi" w:cstheme="minorHAnsi"/>
        </w:rPr>
        <w:t>discrimination, sexual</w:t>
      </w:r>
      <w:r w:rsidR="002D5993" w:rsidRPr="00DF3B8B">
        <w:rPr>
          <w:rFonts w:asciiTheme="minorHAnsi" w:hAnsiTheme="minorHAnsi" w:cstheme="minorHAnsi"/>
        </w:rPr>
        <w:t xml:space="preserve"> </w:t>
      </w:r>
      <w:r w:rsidR="005175ED" w:rsidRPr="00DF3B8B">
        <w:rPr>
          <w:rFonts w:asciiTheme="minorHAnsi" w:hAnsiTheme="minorHAnsi" w:cstheme="minorHAnsi"/>
        </w:rPr>
        <w:t xml:space="preserve">harassment or </w:t>
      </w:r>
      <w:r w:rsidR="0043771C" w:rsidRPr="00DF3B8B">
        <w:rPr>
          <w:rFonts w:asciiTheme="minorHAnsi" w:hAnsiTheme="minorHAnsi" w:cstheme="minorHAnsi"/>
        </w:rPr>
        <w:t>v</w:t>
      </w:r>
      <w:r w:rsidRPr="00DF3B8B">
        <w:rPr>
          <w:rFonts w:asciiTheme="minorHAnsi" w:hAnsiTheme="minorHAnsi" w:cstheme="minorHAnsi"/>
        </w:rPr>
        <w:t>ictimization</w:t>
      </w:r>
      <w:r w:rsidR="005175ED" w:rsidRPr="00DF3B8B">
        <w:rPr>
          <w:rFonts w:asciiTheme="minorHAnsi" w:hAnsiTheme="minorHAnsi" w:cstheme="minorHAnsi"/>
        </w:rPr>
        <w:t xml:space="preserve"> as far as possible</w:t>
      </w:r>
      <w:r w:rsidR="00A0187A" w:rsidRPr="00DF3B8B">
        <w:rPr>
          <w:rFonts w:asciiTheme="minorHAnsi" w:hAnsiTheme="minorHAnsi" w:cstheme="minorHAnsi"/>
        </w:rPr>
        <w:t>.</w:t>
      </w:r>
      <w:r w:rsidR="004B4BE3" w:rsidRPr="00DF3B8B">
        <w:rPr>
          <w:rFonts w:asciiTheme="minorHAnsi" w:hAnsiTheme="minorHAnsi" w:cstheme="minorHAnsi"/>
        </w:rPr>
        <w:t>’</w:t>
      </w:r>
      <w:r w:rsidR="00A0187A" w:rsidRPr="00DF3B8B">
        <w:rPr>
          <w:rStyle w:val="FootnoteReference"/>
          <w:rFonts w:asciiTheme="minorHAnsi" w:hAnsiTheme="minorHAnsi" w:cstheme="minorHAnsi"/>
        </w:rPr>
        <w:footnoteReference w:id="55"/>
      </w:r>
    </w:p>
    <w:p w14:paraId="607331FD" w14:textId="47EF15ED" w:rsidR="00C255B8" w:rsidRPr="00DF3B8B" w:rsidRDefault="0043771C" w:rsidP="008A3ECE">
      <w:pPr>
        <w:pStyle w:val="BodyText"/>
        <w:spacing w:line="312" w:lineRule="auto"/>
        <w:rPr>
          <w:rFonts w:asciiTheme="minorHAnsi" w:hAnsiTheme="minorHAnsi" w:cstheme="minorHAnsi"/>
        </w:rPr>
      </w:pPr>
      <w:r w:rsidRPr="00DF3B8B">
        <w:rPr>
          <w:rFonts w:asciiTheme="minorHAnsi" w:hAnsiTheme="minorHAnsi" w:cstheme="minorHAnsi"/>
        </w:rPr>
        <w:t>Section 20 of the EOA is an example of the</w:t>
      </w:r>
      <w:r w:rsidR="00C328FA" w:rsidRPr="00DF3B8B">
        <w:rPr>
          <w:rFonts w:asciiTheme="minorHAnsi" w:hAnsiTheme="minorHAnsi" w:cstheme="minorHAnsi"/>
        </w:rPr>
        <w:t xml:space="preserve"> </w:t>
      </w:r>
      <w:r w:rsidR="00C328FA" w:rsidRPr="00DF3B8B">
        <w:rPr>
          <w:rFonts w:asciiTheme="minorHAnsi" w:hAnsiTheme="minorHAnsi" w:cstheme="minorHAnsi"/>
          <w:b/>
          <w:bCs/>
        </w:rPr>
        <w:t>positive</w:t>
      </w:r>
      <w:r w:rsidRPr="00DF3B8B">
        <w:rPr>
          <w:rFonts w:asciiTheme="minorHAnsi" w:hAnsiTheme="minorHAnsi" w:cstheme="minorHAnsi"/>
          <w:b/>
          <w:bCs/>
        </w:rPr>
        <w:t xml:space="preserve"> duty </w:t>
      </w:r>
      <w:r w:rsidR="0080610E" w:rsidRPr="00DF3B8B">
        <w:rPr>
          <w:rFonts w:asciiTheme="minorHAnsi" w:hAnsiTheme="minorHAnsi" w:cstheme="minorHAnsi"/>
          <w:b/>
          <w:bCs/>
        </w:rPr>
        <w:t>to make</w:t>
      </w:r>
      <w:r w:rsidRPr="00DF3B8B">
        <w:rPr>
          <w:rFonts w:asciiTheme="minorHAnsi" w:hAnsiTheme="minorHAnsi" w:cstheme="minorHAnsi"/>
          <w:b/>
          <w:bCs/>
        </w:rPr>
        <w:t xml:space="preserve"> reasonable adjustments</w:t>
      </w:r>
      <w:r w:rsidR="00500DFA" w:rsidRPr="00DF3B8B">
        <w:rPr>
          <w:rFonts w:asciiTheme="minorHAnsi" w:hAnsiTheme="minorHAnsi" w:cstheme="minorHAnsi"/>
        </w:rPr>
        <w:t>, i</w:t>
      </w:r>
      <w:r w:rsidRPr="00DF3B8B">
        <w:rPr>
          <w:rFonts w:asciiTheme="minorHAnsi" w:hAnsiTheme="minorHAnsi" w:cstheme="minorHAnsi"/>
        </w:rPr>
        <w:t>n this instance in employment</w:t>
      </w:r>
      <w:r w:rsidR="00C328FA" w:rsidRPr="00DF3B8B">
        <w:rPr>
          <w:rFonts w:asciiTheme="minorHAnsi" w:hAnsiTheme="minorHAnsi" w:cstheme="minorHAnsi"/>
        </w:rPr>
        <w:t xml:space="preserve"> (it applies in </w:t>
      </w:r>
      <w:r w:rsidR="00500DFA" w:rsidRPr="00DF3B8B">
        <w:rPr>
          <w:rFonts w:asciiTheme="minorHAnsi" w:hAnsiTheme="minorHAnsi" w:cstheme="minorHAnsi"/>
        </w:rPr>
        <w:t>other</w:t>
      </w:r>
      <w:r w:rsidR="00C328FA" w:rsidRPr="00DF3B8B">
        <w:rPr>
          <w:rFonts w:asciiTheme="minorHAnsi" w:hAnsiTheme="minorHAnsi" w:cstheme="minorHAnsi"/>
        </w:rPr>
        <w:t xml:space="preserve"> domains)</w:t>
      </w:r>
      <w:r w:rsidR="000C36D0" w:rsidRPr="00DF3B8B">
        <w:rPr>
          <w:rFonts w:asciiTheme="minorHAnsi" w:hAnsiTheme="minorHAnsi" w:cstheme="minorHAnsi"/>
        </w:rPr>
        <w:t xml:space="preserve">. Section </w:t>
      </w:r>
      <w:r w:rsidR="00440484" w:rsidRPr="00DF3B8B">
        <w:rPr>
          <w:rFonts w:asciiTheme="minorHAnsi" w:hAnsiTheme="minorHAnsi" w:cstheme="minorHAnsi"/>
        </w:rPr>
        <w:t>20</w:t>
      </w:r>
      <w:r w:rsidR="000C36D0" w:rsidRPr="00DF3B8B">
        <w:rPr>
          <w:rFonts w:asciiTheme="minorHAnsi" w:hAnsiTheme="minorHAnsi" w:cstheme="minorHAnsi"/>
        </w:rPr>
        <w:t>(2) states</w:t>
      </w:r>
      <w:r w:rsidR="008A3ECE">
        <w:rPr>
          <w:rFonts w:asciiTheme="minorHAnsi" w:hAnsiTheme="minorHAnsi" w:cstheme="minorHAnsi"/>
        </w:rPr>
        <w:t>:</w:t>
      </w:r>
    </w:p>
    <w:p w14:paraId="4BB4B981" w14:textId="13891149" w:rsidR="00C255B8" w:rsidRPr="00871656" w:rsidRDefault="00C255B8" w:rsidP="008A3ECE">
      <w:pPr>
        <w:pStyle w:val="BodyText"/>
        <w:spacing w:line="312" w:lineRule="auto"/>
        <w:ind w:left="720"/>
        <w:rPr>
          <w:rFonts w:asciiTheme="minorHAnsi" w:hAnsiTheme="minorHAnsi" w:cstheme="minorHAnsi"/>
        </w:rPr>
      </w:pPr>
      <w:r w:rsidRPr="00DF3B8B">
        <w:rPr>
          <w:rFonts w:asciiTheme="minorHAnsi" w:hAnsiTheme="minorHAnsi" w:cstheme="minorHAnsi"/>
        </w:rPr>
        <w:t xml:space="preserve">The employer </w:t>
      </w:r>
      <w:r w:rsidRPr="00DF3B8B">
        <w:rPr>
          <w:rFonts w:asciiTheme="minorHAnsi" w:hAnsiTheme="minorHAnsi" w:cstheme="minorHAnsi"/>
          <w:b/>
          <w:bCs/>
        </w:rPr>
        <w:t>must</w:t>
      </w:r>
      <w:r w:rsidRPr="00DF3B8B">
        <w:rPr>
          <w:rFonts w:asciiTheme="minorHAnsi" w:hAnsiTheme="minorHAnsi" w:cstheme="minorHAnsi"/>
        </w:rPr>
        <w:t xml:space="preserve"> make </w:t>
      </w:r>
      <w:r w:rsidRPr="00DF3B8B">
        <w:rPr>
          <w:rFonts w:asciiTheme="minorHAnsi" w:hAnsiTheme="minorHAnsi" w:cstheme="minorHAnsi"/>
          <w:b/>
          <w:bCs/>
        </w:rPr>
        <w:t>reasonable adjustments</w:t>
      </w:r>
      <w:r w:rsidRPr="00DF3B8B">
        <w:rPr>
          <w:rFonts w:asciiTheme="minorHAnsi" w:hAnsiTheme="minorHAnsi" w:cstheme="minorHAnsi"/>
        </w:rPr>
        <w:t xml:space="preserve"> unless the person or employee could not or cannot adequately perform the genuine</w:t>
      </w:r>
      <w:r w:rsidRPr="00871656">
        <w:rPr>
          <w:rFonts w:asciiTheme="minorHAnsi" w:hAnsiTheme="minorHAnsi" w:cstheme="minorHAnsi"/>
        </w:rPr>
        <w:t xml:space="preserve"> and reasonable</w:t>
      </w:r>
      <w:r w:rsidR="00D879AF" w:rsidRPr="00871656">
        <w:rPr>
          <w:rFonts w:asciiTheme="minorHAnsi" w:hAnsiTheme="minorHAnsi" w:cstheme="minorHAnsi"/>
        </w:rPr>
        <w:t xml:space="preserve"> </w:t>
      </w:r>
      <w:r w:rsidRPr="00871656">
        <w:rPr>
          <w:rFonts w:asciiTheme="minorHAnsi" w:hAnsiTheme="minorHAnsi" w:cstheme="minorHAnsi"/>
        </w:rPr>
        <w:t xml:space="preserve">requirements of the employment even after </w:t>
      </w:r>
      <w:r w:rsidR="00D879AF" w:rsidRPr="00871656">
        <w:rPr>
          <w:rFonts w:asciiTheme="minorHAnsi" w:hAnsiTheme="minorHAnsi" w:cstheme="minorHAnsi"/>
        </w:rPr>
        <w:t>the adjustments are made</w:t>
      </w:r>
      <w:r w:rsidR="00440484" w:rsidRPr="00871656">
        <w:rPr>
          <w:rFonts w:asciiTheme="minorHAnsi" w:hAnsiTheme="minorHAnsi" w:cstheme="minorHAnsi"/>
        </w:rPr>
        <w:t>.</w:t>
      </w:r>
    </w:p>
    <w:p w14:paraId="1EE10E5C" w14:textId="77777777" w:rsidR="007C71D2" w:rsidRDefault="00BD3A14" w:rsidP="008A3ECE">
      <w:pPr>
        <w:spacing w:before="0" w:after="0" w:line="312" w:lineRule="auto"/>
        <w:rPr>
          <w:rFonts w:eastAsia="Times New Roman" w:cstheme="minorHAnsi"/>
          <w:lang w:eastAsia="en-AU"/>
        </w:rPr>
      </w:pPr>
      <w:r w:rsidRPr="00871656">
        <w:rPr>
          <w:rFonts w:eastAsia="Times New Roman" w:cstheme="minorHAnsi"/>
          <w:lang w:eastAsia="en-AU"/>
        </w:rPr>
        <w:t xml:space="preserve">The Victorian </w:t>
      </w:r>
      <w:r w:rsidR="00097261" w:rsidRPr="00871656">
        <w:rPr>
          <w:rFonts w:eastAsia="Times New Roman" w:cstheme="minorHAnsi"/>
          <w:lang w:eastAsia="en-AU"/>
        </w:rPr>
        <w:t>Civil</w:t>
      </w:r>
      <w:r w:rsidRPr="00871656">
        <w:rPr>
          <w:rFonts w:eastAsia="Times New Roman" w:cstheme="minorHAnsi"/>
          <w:lang w:eastAsia="en-AU"/>
        </w:rPr>
        <w:t xml:space="preserve"> and </w:t>
      </w:r>
      <w:r w:rsidR="00097261" w:rsidRPr="00871656">
        <w:rPr>
          <w:rFonts w:eastAsia="Times New Roman" w:cstheme="minorHAnsi"/>
          <w:lang w:eastAsia="en-AU"/>
        </w:rPr>
        <w:t>Administrative</w:t>
      </w:r>
      <w:r w:rsidRPr="00871656">
        <w:rPr>
          <w:rFonts w:eastAsia="Times New Roman" w:cstheme="minorHAnsi"/>
          <w:lang w:eastAsia="en-AU"/>
        </w:rPr>
        <w:t xml:space="preserve"> Tribunal</w:t>
      </w:r>
      <w:r w:rsidR="00A80CC3" w:rsidRPr="00871656">
        <w:rPr>
          <w:rFonts w:eastAsia="Times New Roman" w:cstheme="minorHAnsi"/>
          <w:lang w:eastAsia="en-AU"/>
        </w:rPr>
        <w:t xml:space="preserve"> (VCAT)</w:t>
      </w:r>
      <w:r w:rsidRPr="00871656">
        <w:rPr>
          <w:rFonts w:eastAsia="Times New Roman" w:cstheme="minorHAnsi"/>
          <w:lang w:eastAsia="en-AU"/>
        </w:rPr>
        <w:t xml:space="preserve"> </w:t>
      </w:r>
      <w:r w:rsidR="00621474" w:rsidRPr="00871656">
        <w:rPr>
          <w:rFonts w:eastAsia="Times New Roman" w:cstheme="minorHAnsi"/>
          <w:lang w:eastAsia="en-AU"/>
        </w:rPr>
        <w:t xml:space="preserve">has </w:t>
      </w:r>
      <w:r w:rsidR="00097261" w:rsidRPr="00871656">
        <w:rPr>
          <w:rFonts w:eastAsia="Times New Roman" w:cstheme="minorHAnsi"/>
          <w:lang w:eastAsia="en-AU"/>
        </w:rPr>
        <w:t>described</w:t>
      </w:r>
      <w:r w:rsidR="00621474" w:rsidRPr="00871656">
        <w:rPr>
          <w:rFonts w:eastAsia="Times New Roman" w:cstheme="minorHAnsi"/>
          <w:lang w:eastAsia="en-AU"/>
        </w:rPr>
        <w:t xml:space="preserve"> </w:t>
      </w:r>
      <w:r w:rsidR="00097261" w:rsidRPr="00871656">
        <w:rPr>
          <w:rFonts w:eastAsia="Times New Roman" w:cstheme="minorHAnsi"/>
          <w:lang w:eastAsia="en-AU"/>
        </w:rPr>
        <w:t>reasonable</w:t>
      </w:r>
      <w:r w:rsidR="00621474" w:rsidRPr="00871656">
        <w:rPr>
          <w:rFonts w:eastAsia="Times New Roman" w:cstheme="minorHAnsi"/>
          <w:lang w:eastAsia="en-AU"/>
        </w:rPr>
        <w:t xml:space="preserve"> adjustment provisions in the </w:t>
      </w:r>
      <w:r w:rsidR="00C81D51" w:rsidRPr="00871656">
        <w:rPr>
          <w:rFonts w:eastAsia="Times New Roman" w:cstheme="minorHAnsi"/>
          <w:lang w:eastAsia="en-AU"/>
        </w:rPr>
        <w:t>EOA</w:t>
      </w:r>
      <w:r w:rsidR="00621474" w:rsidRPr="00871656">
        <w:rPr>
          <w:rFonts w:eastAsia="Times New Roman" w:cstheme="minorHAnsi"/>
          <w:lang w:eastAsia="en-AU"/>
        </w:rPr>
        <w:t xml:space="preserve"> as an </w:t>
      </w:r>
      <w:r w:rsidR="00342054" w:rsidRPr="00871656">
        <w:rPr>
          <w:rFonts w:eastAsia="Times New Roman" w:cstheme="minorHAnsi"/>
          <w:lang w:eastAsia="en-AU"/>
        </w:rPr>
        <w:t>‘</w:t>
      </w:r>
      <w:r w:rsidR="00097261" w:rsidRPr="00871656">
        <w:rPr>
          <w:rFonts w:eastAsia="Times New Roman" w:cstheme="minorHAnsi"/>
          <w:lang w:eastAsia="en-AU"/>
        </w:rPr>
        <w:t>explicit</w:t>
      </w:r>
      <w:r w:rsidR="00621474" w:rsidRPr="00871656">
        <w:rPr>
          <w:rFonts w:eastAsia="Times New Roman" w:cstheme="minorHAnsi"/>
          <w:lang w:eastAsia="en-AU"/>
        </w:rPr>
        <w:t xml:space="preserve"> requirement</w:t>
      </w:r>
      <w:r w:rsidR="00342054" w:rsidRPr="00871656">
        <w:rPr>
          <w:rFonts w:eastAsia="Times New Roman" w:cstheme="minorHAnsi"/>
          <w:lang w:eastAsia="en-AU"/>
        </w:rPr>
        <w:t>.’</w:t>
      </w:r>
      <w:r w:rsidR="004B28E6" w:rsidRPr="00871656">
        <w:rPr>
          <w:rStyle w:val="FootnoteReference"/>
          <w:rFonts w:eastAsia="Times New Roman" w:cstheme="minorHAnsi"/>
          <w:lang w:eastAsia="en-AU"/>
        </w:rPr>
        <w:footnoteReference w:id="56"/>
      </w:r>
      <w:r w:rsidR="00DB5CCF" w:rsidRPr="00871656">
        <w:rPr>
          <w:rFonts w:eastAsia="Times New Roman" w:cstheme="minorHAnsi"/>
          <w:lang w:eastAsia="en-AU"/>
        </w:rPr>
        <w:t xml:space="preserve"> </w:t>
      </w:r>
    </w:p>
    <w:p w14:paraId="3C7F395D" w14:textId="77777777" w:rsidR="007C71D2" w:rsidRDefault="007C71D2" w:rsidP="008A3ECE">
      <w:pPr>
        <w:spacing w:before="0" w:after="0" w:line="312" w:lineRule="auto"/>
        <w:rPr>
          <w:rFonts w:eastAsia="Times New Roman" w:cstheme="minorHAnsi"/>
          <w:lang w:eastAsia="en-AU"/>
        </w:rPr>
      </w:pPr>
    </w:p>
    <w:p w14:paraId="2AB0DE6E" w14:textId="77777777" w:rsidR="007C71D2" w:rsidRDefault="004B28E6" w:rsidP="008A3ECE">
      <w:pPr>
        <w:spacing w:before="0" w:after="0" w:line="312" w:lineRule="auto"/>
        <w:rPr>
          <w:rFonts w:eastAsia="Times New Roman" w:cstheme="minorHAnsi"/>
          <w:lang w:eastAsia="en-AU"/>
        </w:rPr>
      </w:pPr>
      <w:r w:rsidRPr="00871656">
        <w:rPr>
          <w:rFonts w:eastAsia="Times New Roman" w:cstheme="minorHAnsi"/>
          <w:lang w:eastAsia="en-AU"/>
        </w:rPr>
        <w:t xml:space="preserve">Feedback from the operation of the </w:t>
      </w:r>
      <w:r w:rsidR="00C81D51" w:rsidRPr="00871656">
        <w:rPr>
          <w:rFonts w:eastAsia="Times New Roman" w:cstheme="minorHAnsi"/>
          <w:lang w:eastAsia="en-AU"/>
        </w:rPr>
        <w:t>EOA</w:t>
      </w:r>
      <w:r w:rsidRPr="00871656">
        <w:rPr>
          <w:rFonts w:eastAsia="Times New Roman" w:cstheme="minorHAnsi"/>
          <w:lang w:eastAsia="en-AU"/>
        </w:rPr>
        <w:t xml:space="preserve"> suggest</w:t>
      </w:r>
      <w:r w:rsidR="00C81D51" w:rsidRPr="00871656">
        <w:rPr>
          <w:rFonts w:eastAsia="Times New Roman" w:cstheme="minorHAnsi"/>
          <w:lang w:eastAsia="en-AU"/>
        </w:rPr>
        <w:t>s</w:t>
      </w:r>
      <w:r w:rsidRPr="00871656">
        <w:rPr>
          <w:rFonts w:eastAsia="Times New Roman" w:cstheme="minorHAnsi"/>
          <w:lang w:eastAsia="en-AU"/>
        </w:rPr>
        <w:t xml:space="preserve"> the duty to make reasonable </w:t>
      </w:r>
      <w:r w:rsidR="00AB7F76" w:rsidRPr="00871656">
        <w:rPr>
          <w:rFonts w:eastAsia="Times New Roman" w:cstheme="minorHAnsi"/>
          <w:lang w:eastAsia="en-AU"/>
        </w:rPr>
        <w:t>adjustments</w:t>
      </w:r>
      <w:r w:rsidRPr="00871656">
        <w:rPr>
          <w:rFonts w:eastAsia="Times New Roman" w:cstheme="minorHAnsi"/>
          <w:lang w:eastAsia="en-AU"/>
        </w:rPr>
        <w:t xml:space="preserve"> </w:t>
      </w:r>
      <w:r w:rsidR="00AB7F76" w:rsidRPr="00871656">
        <w:rPr>
          <w:rFonts w:eastAsia="Times New Roman" w:cstheme="minorHAnsi"/>
          <w:lang w:eastAsia="en-AU"/>
        </w:rPr>
        <w:t xml:space="preserve">is one of the Acts </w:t>
      </w:r>
      <w:r w:rsidR="00342054" w:rsidRPr="00871656">
        <w:rPr>
          <w:rFonts w:eastAsia="Times New Roman" w:cstheme="minorHAnsi"/>
          <w:lang w:eastAsia="en-AU"/>
        </w:rPr>
        <w:t>‘</w:t>
      </w:r>
      <w:r w:rsidR="00AB7F76" w:rsidRPr="00871656">
        <w:rPr>
          <w:rFonts w:eastAsia="Times New Roman" w:cstheme="minorHAnsi"/>
          <w:lang w:eastAsia="en-AU"/>
        </w:rPr>
        <w:t>greatest strengths</w:t>
      </w:r>
      <w:r w:rsidR="00342054" w:rsidRPr="00871656">
        <w:rPr>
          <w:rFonts w:eastAsia="Times New Roman" w:cstheme="minorHAnsi"/>
          <w:lang w:eastAsia="en-AU"/>
        </w:rPr>
        <w:t>’</w:t>
      </w:r>
      <w:r w:rsidR="00AB7F76" w:rsidRPr="00871656">
        <w:rPr>
          <w:rFonts w:eastAsia="Times New Roman" w:cstheme="minorHAnsi"/>
          <w:lang w:eastAsia="en-AU"/>
        </w:rPr>
        <w:t xml:space="preserve">, leading to an increased use of the </w:t>
      </w:r>
      <w:r w:rsidR="00C81D51" w:rsidRPr="00871656">
        <w:rPr>
          <w:rFonts w:eastAsia="Times New Roman" w:cstheme="minorHAnsi"/>
          <w:lang w:eastAsia="en-AU"/>
        </w:rPr>
        <w:t>EOA</w:t>
      </w:r>
      <w:r w:rsidR="00AB7F76" w:rsidRPr="00871656">
        <w:rPr>
          <w:rFonts w:eastAsia="Times New Roman" w:cstheme="minorHAnsi"/>
          <w:lang w:eastAsia="en-AU"/>
        </w:rPr>
        <w:t xml:space="preserve"> versus bringing a complaint under the </w:t>
      </w:r>
      <w:r w:rsidR="00AB7F76" w:rsidRPr="00871656">
        <w:rPr>
          <w:rFonts w:eastAsia="Times New Roman" w:cstheme="minorHAnsi"/>
          <w:i/>
          <w:iCs/>
          <w:lang w:eastAsia="en-AU"/>
        </w:rPr>
        <w:t xml:space="preserve">Disability </w:t>
      </w:r>
      <w:r w:rsidR="00E20C88" w:rsidRPr="00871656">
        <w:rPr>
          <w:rFonts w:eastAsia="Times New Roman" w:cstheme="minorHAnsi"/>
          <w:i/>
          <w:iCs/>
          <w:lang w:eastAsia="en-AU"/>
        </w:rPr>
        <w:t>Discrimination</w:t>
      </w:r>
      <w:r w:rsidR="00AB7F76" w:rsidRPr="00871656">
        <w:rPr>
          <w:rFonts w:eastAsia="Times New Roman" w:cstheme="minorHAnsi"/>
          <w:i/>
          <w:iCs/>
          <w:lang w:eastAsia="en-AU"/>
        </w:rPr>
        <w:t xml:space="preserve"> Act</w:t>
      </w:r>
      <w:r w:rsidR="00E20C88" w:rsidRPr="00871656">
        <w:rPr>
          <w:rFonts w:eastAsia="Times New Roman" w:cstheme="minorHAnsi"/>
          <w:i/>
          <w:iCs/>
          <w:lang w:eastAsia="en-AU"/>
        </w:rPr>
        <w:t xml:space="preserve"> 1992</w:t>
      </w:r>
      <w:r w:rsidR="00E20C88" w:rsidRPr="00871656">
        <w:rPr>
          <w:rFonts w:eastAsia="Times New Roman" w:cstheme="minorHAnsi"/>
          <w:lang w:eastAsia="en-AU"/>
        </w:rPr>
        <w:t xml:space="preserve"> (Cth). </w:t>
      </w:r>
    </w:p>
    <w:p w14:paraId="09F95BDD" w14:textId="77777777" w:rsidR="007C71D2" w:rsidRDefault="007C71D2" w:rsidP="008A3ECE">
      <w:pPr>
        <w:spacing w:before="0" w:after="0" w:line="312" w:lineRule="auto"/>
        <w:rPr>
          <w:rFonts w:eastAsia="Times New Roman" w:cstheme="minorHAnsi"/>
          <w:lang w:eastAsia="en-AU"/>
        </w:rPr>
      </w:pPr>
    </w:p>
    <w:p w14:paraId="2597C0ED" w14:textId="0E0EA6DA" w:rsidR="004B32C9" w:rsidRDefault="007C71D2" w:rsidP="008A3ECE">
      <w:pPr>
        <w:spacing w:before="0" w:after="0" w:line="312" w:lineRule="auto"/>
        <w:rPr>
          <w:rFonts w:eastAsia="Times New Roman" w:cstheme="minorHAnsi"/>
          <w:lang w:eastAsia="en-AU"/>
        </w:rPr>
      </w:pPr>
      <w:r>
        <w:rPr>
          <w:rFonts w:eastAsia="Times New Roman" w:cstheme="minorHAnsi"/>
          <w:lang w:eastAsia="en-AU"/>
        </w:rPr>
        <w:t>The positive duty</w:t>
      </w:r>
      <w:r w:rsidR="00E20C88" w:rsidRPr="00871656">
        <w:rPr>
          <w:rFonts w:eastAsia="Times New Roman" w:cstheme="minorHAnsi"/>
          <w:lang w:eastAsia="en-AU"/>
        </w:rPr>
        <w:t xml:space="preserve"> has improved access to </w:t>
      </w:r>
      <w:r w:rsidR="00DF1FB4" w:rsidRPr="00871656">
        <w:rPr>
          <w:rFonts w:eastAsia="Times New Roman" w:cstheme="minorHAnsi"/>
          <w:lang w:eastAsia="en-AU"/>
        </w:rPr>
        <w:t>justice</w:t>
      </w:r>
      <w:r w:rsidR="00E20C88" w:rsidRPr="00871656">
        <w:rPr>
          <w:rFonts w:eastAsia="Times New Roman" w:cstheme="minorHAnsi"/>
          <w:lang w:eastAsia="en-AU"/>
        </w:rPr>
        <w:t xml:space="preserve"> as it is n</w:t>
      </w:r>
      <w:r w:rsidR="00DF1FB4" w:rsidRPr="00871656">
        <w:rPr>
          <w:rFonts w:eastAsia="Times New Roman" w:cstheme="minorHAnsi"/>
          <w:lang w:eastAsia="en-AU"/>
        </w:rPr>
        <w:t>ow e</w:t>
      </w:r>
      <w:r w:rsidR="00E20C88" w:rsidRPr="00871656">
        <w:rPr>
          <w:rFonts w:eastAsia="Times New Roman" w:cstheme="minorHAnsi"/>
          <w:lang w:eastAsia="en-AU"/>
        </w:rPr>
        <w:t xml:space="preserve">asier to point to a failure </w:t>
      </w:r>
      <w:r w:rsidR="00DF1FB4" w:rsidRPr="00871656">
        <w:rPr>
          <w:rFonts w:eastAsia="Times New Roman" w:cstheme="minorHAnsi"/>
          <w:lang w:eastAsia="en-AU"/>
        </w:rPr>
        <w:t>to make a reasonable adjustment</w:t>
      </w:r>
      <w:r w:rsidR="005D0396" w:rsidRPr="00871656">
        <w:rPr>
          <w:rFonts w:eastAsia="Times New Roman" w:cstheme="minorHAnsi"/>
          <w:lang w:eastAsia="en-AU"/>
        </w:rPr>
        <w:t xml:space="preserve"> (breach of a duty)</w:t>
      </w:r>
      <w:r w:rsidR="00A80CC3" w:rsidRPr="00871656">
        <w:rPr>
          <w:rFonts w:eastAsia="Times New Roman" w:cstheme="minorHAnsi"/>
          <w:lang w:eastAsia="en-AU"/>
        </w:rPr>
        <w:t>,</w:t>
      </w:r>
      <w:r w:rsidR="00DF1FB4" w:rsidRPr="00871656">
        <w:rPr>
          <w:rFonts w:eastAsia="Times New Roman" w:cstheme="minorHAnsi"/>
          <w:lang w:eastAsia="en-AU"/>
        </w:rPr>
        <w:t xml:space="preserve"> and that can be the basis for a claim.</w:t>
      </w:r>
      <w:r w:rsidR="00DF1FB4" w:rsidRPr="00871656">
        <w:rPr>
          <w:rStyle w:val="FootnoteReference"/>
          <w:rFonts w:eastAsia="Times New Roman" w:cstheme="minorHAnsi"/>
          <w:lang w:eastAsia="en-AU"/>
        </w:rPr>
        <w:footnoteReference w:id="57"/>
      </w:r>
    </w:p>
    <w:p w14:paraId="5237C433" w14:textId="77777777" w:rsidR="008A3ECE" w:rsidRDefault="008A3ECE" w:rsidP="008A3ECE">
      <w:pPr>
        <w:spacing w:before="0" w:after="0" w:line="312" w:lineRule="auto"/>
        <w:rPr>
          <w:rFonts w:eastAsia="Times New Roman" w:cstheme="minorHAnsi"/>
          <w:lang w:eastAsia="en-AU"/>
        </w:rPr>
      </w:pPr>
    </w:p>
    <w:p w14:paraId="72E2C4A0" w14:textId="77777777" w:rsidR="008A3ECE" w:rsidRDefault="008A3ECE" w:rsidP="008A3ECE">
      <w:pPr>
        <w:spacing w:before="0" w:after="0" w:line="312" w:lineRule="auto"/>
        <w:rPr>
          <w:rFonts w:eastAsia="Times New Roman" w:cstheme="minorHAnsi"/>
          <w:lang w:eastAsia="en-AU"/>
        </w:rPr>
      </w:pPr>
    </w:p>
    <w:p w14:paraId="4F921C31" w14:textId="77777777" w:rsidR="008A3ECE" w:rsidRDefault="008A3ECE" w:rsidP="008A3ECE">
      <w:pPr>
        <w:spacing w:before="0" w:after="0" w:line="312" w:lineRule="auto"/>
        <w:rPr>
          <w:rFonts w:eastAsia="Times New Roman" w:cstheme="minorHAnsi"/>
          <w:lang w:eastAsia="en-AU"/>
        </w:rPr>
      </w:pPr>
    </w:p>
    <w:p w14:paraId="2FBD3BD7" w14:textId="77777777" w:rsidR="008A3ECE" w:rsidRDefault="008A3ECE" w:rsidP="008A3ECE">
      <w:pPr>
        <w:spacing w:before="0" w:after="0" w:line="312" w:lineRule="auto"/>
        <w:rPr>
          <w:rFonts w:eastAsia="Times New Roman" w:cstheme="minorHAnsi"/>
          <w:lang w:eastAsia="en-AU"/>
        </w:rPr>
      </w:pPr>
    </w:p>
    <w:p w14:paraId="6004D7EA" w14:textId="77777777" w:rsidR="008A3ECE" w:rsidRDefault="008A3ECE" w:rsidP="008A3ECE">
      <w:pPr>
        <w:spacing w:before="0" w:after="0" w:line="312" w:lineRule="auto"/>
        <w:rPr>
          <w:rFonts w:eastAsia="Times New Roman" w:cstheme="minorHAnsi"/>
          <w:lang w:eastAsia="en-AU"/>
        </w:rPr>
      </w:pPr>
    </w:p>
    <w:p w14:paraId="06B5140A" w14:textId="77777777" w:rsidR="008A3ECE" w:rsidRPr="00146C80" w:rsidRDefault="008A3ECE" w:rsidP="008A3ECE">
      <w:pPr>
        <w:spacing w:before="0" w:after="0" w:line="312" w:lineRule="auto"/>
        <w:rPr>
          <w:rFonts w:eastAsia="Times New Roman" w:cstheme="minorHAnsi"/>
          <w:lang w:eastAsia="en-AU"/>
        </w:rPr>
      </w:pPr>
    </w:p>
    <w:tbl>
      <w:tblPr>
        <w:tblStyle w:val="TableGrid"/>
        <w:tblpPr w:leftFromText="180" w:rightFromText="180" w:vertAnchor="text" w:tblpXSpec="center" w:tblpY="1"/>
        <w:tblOverlap w:val="never"/>
        <w:tblW w:w="9634" w:type="dxa"/>
        <w:tblLayout w:type="fixed"/>
        <w:tblCellMar>
          <w:bottom w:w="198" w:type="dxa"/>
        </w:tblCellMar>
        <w:tblLook w:val="04A0" w:firstRow="1" w:lastRow="0" w:firstColumn="1" w:lastColumn="0" w:noHBand="0" w:noVBand="1"/>
      </w:tblPr>
      <w:tblGrid>
        <w:gridCol w:w="9634"/>
      </w:tblGrid>
      <w:tr w:rsidR="00146C80" w:rsidRPr="009F016B" w14:paraId="3E1DA208" w14:textId="77777777" w:rsidTr="00146C80">
        <w:trPr>
          <w:trHeight w:val="20"/>
        </w:trPr>
        <w:tc>
          <w:tcPr>
            <w:tcW w:w="9634" w:type="dxa"/>
            <w:shd w:val="clear" w:color="auto" w:fill="279FFF" w:themeFill="text2" w:themeFillTint="99"/>
            <w:vAlign w:val="center"/>
          </w:tcPr>
          <w:p w14:paraId="79E365B0" w14:textId="77777777" w:rsidR="00146C80" w:rsidRDefault="00146C80" w:rsidP="008A3ECE">
            <w:pPr>
              <w:spacing w:before="0" w:after="160" w:line="312" w:lineRule="auto"/>
              <w:jc w:val="center"/>
              <w:rPr>
                <w:rFonts w:eastAsia="Calibri" w:cstheme="minorHAnsi"/>
                <w:b/>
                <w:bCs/>
                <w:kern w:val="2"/>
                <w:lang w:val="en-US"/>
                <w14:ligatures w14:val="standardContextual"/>
              </w:rPr>
            </w:pPr>
          </w:p>
          <w:p w14:paraId="23C0FFAF" w14:textId="4C33282E" w:rsidR="00146C80" w:rsidRPr="009F016B" w:rsidRDefault="00146C80" w:rsidP="008A3ECE">
            <w:pPr>
              <w:spacing w:before="0" w:after="160" w:line="312" w:lineRule="auto"/>
              <w:jc w:val="center"/>
              <w:rPr>
                <w:rFonts w:eastAsia="Calibri" w:cstheme="minorHAnsi"/>
                <w:b/>
                <w:bCs/>
                <w:kern w:val="2"/>
                <w:sz w:val="28"/>
                <w:szCs w:val="28"/>
                <w:lang w:val="en-US"/>
                <w14:ligatures w14:val="standardContextual"/>
              </w:rPr>
            </w:pPr>
            <w:r w:rsidRPr="009F016B">
              <w:rPr>
                <w:rFonts w:eastAsia="Calibri" w:cstheme="minorHAnsi"/>
                <w:b/>
                <w:bCs/>
                <w:kern w:val="2"/>
                <w:sz w:val="28"/>
                <w:szCs w:val="28"/>
                <w:lang w:val="en-US"/>
                <w14:ligatures w14:val="standardContextual"/>
              </w:rPr>
              <w:t xml:space="preserve">Case study </w:t>
            </w:r>
            <w:r>
              <w:rPr>
                <w:rFonts w:eastAsia="Calibri" w:cstheme="minorHAnsi"/>
                <w:b/>
                <w:bCs/>
                <w:kern w:val="2"/>
                <w:sz w:val="28"/>
                <w:szCs w:val="28"/>
                <w:lang w:val="en-US"/>
                <w14:ligatures w14:val="standardContextual"/>
              </w:rPr>
              <w:t>2</w:t>
            </w:r>
            <w:r w:rsidRPr="009F016B">
              <w:rPr>
                <w:rFonts w:eastAsia="Calibri" w:cstheme="minorHAnsi"/>
                <w:b/>
                <w:bCs/>
                <w:kern w:val="2"/>
                <w:sz w:val="28"/>
                <w:szCs w:val="28"/>
                <w:lang w:val="en-US"/>
                <w14:ligatures w14:val="standardContextual"/>
              </w:rPr>
              <w:t xml:space="preserve"> – </w:t>
            </w:r>
            <w:r>
              <w:rPr>
                <w:rFonts w:eastAsia="Calibri" w:cstheme="minorHAnsi"/>
                <w:b/>
                <w:bCs/>
                <w:kern w:val="2"/>
                <w:sz w:val="28"/>
                <w:szCs w:val="28"/>
                <w:lang w:val="en-US"/>
                <w14:ligatures w14:val="standardContextual"/>
              </w:rPr>
              <w:t>Kacie</w:t>
            </w:r>
          </w:p>
        </w:tc>
      </w:tr>
    </w:tbl>
    <w:tbl>
      <w:tblPr>
        <w:tblStyle w:val="TableGrid"/>
        <w:tblW w:w="0" w:type="auto"/>
        <w:jc w:val="center"/>
        <w:tblCellMar>
          <w:bottom w:w="198" w:type="dxa"/>
        </w:tblCellMar>
        <w:tblLook w:val="04A0" w:firstRow="1" w:lastRow="0" w:firstColumn="1" w:lastColumn="0" w:noHBand="0" w:noVBand="1"/>
      </w:tblPr>
      <w:tblGrid>
        <w:gridCol w:w="9628"/>
      </w:tblGrid>
      <w:tr w:rsidR="004B32C9" w:rsidRPr="004B32C9" w14:paraId="1179BE56" w14:textId="77777777" w:rsidTr="00146C80">
        <w:trPr>
          <w:trHeight w:val="654"/>
          <w:jc w:val="center"/>
        </w:trPr>
        <w:tc>
          <w:tcPr>
            <w:tcW w:w="0" w:type="auto"/>
          </w:tcPr>
          <w:p w14:paraId="49D0F94C" w14:textId="76EBE4D5" w:rsidR="004B32C9" w:rsidRPr="008A3ECE" w:rsidRDefault="004B32C9" w:rsidP="008A3ECE">
            <w:pPr>
              <w:spacing w:line="312" w:lineRule="auto"/>
              <w:rPr>
                <w:rFonts w:ascii="Arial" w:hAnsi="Arial" w:cs="Arial"/>
              </w:rPr>
            </w:pPr>
            <w:r w:rsidRPr="008A3ECE">
              <w:rPr>
                <w:rFonts w:ascii="Arial" w:hAnsi="Arial" w:cs="Arial"/>
              </w:rPr>
              <w:t xml:space="preserve">Kacie (name changed) is a 23-year-old student. They work as a sales assistant in a small metropolitan clothing boutique where they have worked for 8 months. </w:t>
            </w:r>
          </w:p>
          <w:p w14:paraId="70F8B119" w14:textId="77777777" w:rsidR="004B32C9" w:rsidRPr="008A3ECE" w:rsidRDefault="004B32C9" w:rsidP="008A3ECE">
            <w:pPr>
              <w:spacing w:line="312" w:lineRule="auto"/>
              <w:rPr>
                <w:rFonts w:ascii="Arial" w:hAnsi="Arial" w:cs="Arial"/>
              </w:rPr>
            </w:pPr>
            <w:r w:rsidRPr="008A3ECE">
              <w:rPr>
                <w:rFonts w:ascii="Arial" w:hAnsi="Arial" w:cs="Arial"/>
              </w:rPr>
              <w:t xml:space="preserve">In between serving customers and looking after stock Kacie stands behind the counter. In addition to a mild psychosocial disability, Kacie has a physical disability which can cause pain and discomfort if they spend long hours standing. </w:t>
            </w:r>
          </w:p>
          <w:p w14:paraId="0FAEF9C8" w14:textId="77777777" w:rsidR="004B32C9" w:rsidRPr="008A3ECE" w:rsidRDefault="004B32C9" w:rsidP="008A3ECE">
            <w:pPr>
              <w:spacing w:line="312" w:lineRule="auto"/>
              <w:rPr>
                <w:rFonts w:ascii="Arial" w:hAnsi="Arial" w:cs="Arial"/>
              </w:rPr>
            </w:pPr>
            <w:r w:rsidRPr="008A3ECE">
              <w:rPr>
                <w:rFonts w:ascii="Arial" w:hAnsi="Arial" w:cs="Arial"/>
              </w:rPr>
              <w:t>Kacie asked the manager for some kind of shock absorbing mat placed behind the counter to stand on and a high stool or chair so they could briefly rest off their feet in between serving customers. The manager refused saying staff shouldn’t sit around outside of their break, and that a chair and floor mats would be a safety risk.</w:t>
            </w:r>
          </w:p>
          <w:p w14:paraId="46B11E23" w14:textId="77777777" w:rsidR="004B32C9" w:rsidRPr="008A3ECE" w:rsidRDefault="004B32C9" w:rsidP="008A3ECE">
            <w:pPr>
              <w:spacing w:line="312" w:lineRule="auto"/>
              <w:rPr>
                <w:rFonts w:ascii="Arial" w:hAnsi="Arial" w:cs="Arial"/>
              </w:rPr>
            </w:pPr>
            <w:r w:rsidRPr="008A3ECE">
              <w:rPr>
                <w:rFonts w:ascii="Arial" w:hAnsi="Arial" w:cs="Arial"/>
              </w:rPr>
              <w:t xml:space="preserve">Kacie called a PWDA advocate very upset. They felt there was no safety risk as it was a closed counter area. They felt having an option to get off their feet would not hinder work performance. Kacie said they were not sure of their rights, ‘the law was confusing,’ and they were not confident in speaking with the manager about disability and rights because of this. </w:t>
            </w:r>
          </w:p>
          <w:p w14:paraId="13DDEC33" w14:textId="77777777" w:rsidR="004B32C9" w:rsidRPr="008A3ECE" w:rsidRDefault="004B32C9" w:rsidP="008A3ECE">
            <w:pPr>
              <w:spacing w:line="312" w:lineRule="auto"/>
              <w:rPr>
                <w:rFonts w:ascii="Arial" w:hAnsi="Arial" w:cs="Arial"/>
              </w:rPr>
            </w:pPr>
            <w:r w:rsidRPr="008A3ECE">
              <w:rPr>
                <w:rFonts w:ascii="Arial" w:hAnsi="Arial" w:cs="Arial"/>
              </w:rPr>
              <w:t xml:space="preserve">The advocate looked at Kacie’s employment contract and noted it was not clear at all about reasonable accommodation, inclusion, and accessibility. With permission from Kacie, the advocate contacted the employer to talk about the need for inclusion and reasonable adjustment. The manager said that they didn’t have to do anything and there was no discrimination. </w:t>
            </w:r>
          </w:p>
          <w:p w14:paraId="43BB1EF1" w14:textId="77777777" w:rsidR="004B32C9" w:rsidRPr="008A3ECE" w:rsidRDefault="004B32C9" w:rsidP="008A3ECE">
            <w:pPr>
              <w:spacing w:line="312" w:lineRule="auto"/>
              <w:rPr>
                <w:rFonts w:ascii="Arial" w:hAnsi="Arial" w:cs="Arial"/>
              </w:rPr>
            </w:pPr>
            <w:r w:rsidRPr="008A3ECE">
              <w:rPr>
                <w:rFonts w:ascii="Arial" w:hAnsi="Arial" w:cs="Arial"/>
              </w:rPr>
              <w:t>The advocate referred the matter to a Community Legal Centre but continued to act as an additional advocate and support.</w:t>
            </w:r>
          </w:p>
          <w:p w14:paraId="7C9EE926" w14:textId="77777777" w:rsidR="004B32C9" w:rsidRPr="008A3ECE" w:rsidRDefault="004B32C9" w:rsidP="008A3ECE">
            <w:pPr>
              <w:spacing w:line="312" w:lineRule="auto"/>
              <w:rPr>
                <w:rFonts w:ascii="Arial" w:hAnsi="Arial" w:cs="Arial"/>
              </w:rPr>
            </w:pPr>
            <w:r w:rsidRPr="008A3ECE">
              <w:rPr>
                <w:rFonts w:ascii="Arial" w:hAnsi="Arial" w:cs="Arial"/>
              </w:rPr>
              <w:t xml:space="preserve">Unfortunately, two weeks after this Kacie decided not to proceed with a discrimination complaint. When speaking with the advocate they stated the process to go to mediation or conciliation was going to take too long, they needed some kind of support at work now, they were unclear of what the outcome would be anyway, they were concerned about impact on future employment, and were concerned about potential costs. Kacie </w:t>
            </w:r>
            <w:r w:rsidRPr="008A3ECE">
              <w:rPr>
                <w:rFonts w:ascii="Arial" w:hAnsi="Arial" w:cs="Arial"/>
              </w:rPr>
              <w:lastRenderedPageBreak/>
              <w:t>said it was not yet clear what the final basis of the complaint was going to be. Kacie said they were feeling very stressed and had resumed anti-anxiety medication. Kacie said they were considering resigning from the job.</w:t>
            </w:r>
          </w:p>
          <w:p w14:paraId="776362B1" w14:textId="5EB8F5C8" w:rsidR="004B32C9" w:rsidRPr="008A3ECE" w:rsidRDefault="004B32C9" w:rsidP="008A3ECE">
            <w:pPr>
              <w:spacing w:line="312" w:lineRule="auto"/>
              <w:rPr>
                <w:rFonts w:ascii="Arial" w:hAnsi="Arial" w:cs="Arial"/>
              </w:rPr>
            </w:pPr>
            <w:r w:rsidRPr="008A3ECE">
              <w:rPr>
                <w:rFonts w:ascii="Arial" w:hAnsi="Arial" w:cs="Arial"/>
              </w:rPr>
              <w:t>Relevance</w:t>
            </w:r>
            <w:r w:rsidR="00146C80" w:rsidRPr="008A3ECE">
              <w:rPr>
                <w:rFonts w:ascii="Arial" w:hAnsi="Arial" w:cs="Arial"/>
              </w:rPr>
              <w:t xml:space="preserve"> of this case study:</w:t>
            </w:r>
          </w:p>
          <w:p w14:paraId="3ACE254D" w14:textId="77777777" w:rsidR="004B32C9" w:rsidRPr="004B32C9" w:rsidRDefault="004B32C9" w:rsidP="008A3ECE">
            <w:pPr>
              <w:pStyle w:val="ListParagraph"/>
              <w:numPr>
                <w:ilvl w:val="0"/>
                <w:numId w:val="20"/>
              </w:numPr>
              <w:spacing w:before="0" w:after="160" w:line="312" w:lineRule="auto"/>
              <w:contextualSpacing/>
              <w:rPr>
                <w:rFonts w:cs="Arial"/>
              </w:rPr>
            </w:pPr>
            <w:r w:rsidRPr="008A3ECE">
              <w:rPr>
                <w:rFonts w:cs="Arial"/>
              </w:rPr>
              <w:t>A clear duty to provide reasonable adjustment and to prevent direct and indirect discrimination would have assisted Kacie and their employer in understanding their rights and obligations, potentially leading to the matter being resolved quickly.</w:t>
            </w:r>
          </w:p>
        </w:tc>
      </w:tr>
    </w:tbl>
    <w:p w14:paraId="0F5D295D" w14:textId="77777777" w:rsidR="008A3ECE" w:rsidRDefault="008A3ECE" w:rsidP="008A3ECE">
      <w:pPr>
        <w:spacing w:before="0" w:after="0" w:line="312" w:lineRule="auto"/>
        <w:jc w:val="center"/>
        <w:rPr>
          <w:rFonts w:cstheme="minorHAnsi"/>
          <w:b/>
          <w:bCs/>
          <w:sz w:val="20"/>
          <w:szCs w:val="20"/>
        </w:rPr>
      </w:pPr>
    </w:p>
    <w:p w14:paraId="2AAD5C1F" w14:textId="177F72A0" w:rsidR="00350E3B" w:rsidRDefault="004B32C9" w:rsidP="008A3ECE">
      <w:pPr>
        <w:spacing w:before="0" w:after="0" w:line="312" w:lineRule="auto"/>
        <w:jc w:val="center"/>
        <w:rPr>
          <w:rFonts w:cstheme="minorHAnsi"/>
          <w:b/>
          <w:bCs/>
          <w:sz w:val="20"/>
          <w:szCs w:val="20"/>
        </w:rPr>
      </w:pPr>
      <w:r w:rsidRPr="00146C80">
        <w:rPr>
          <w:rFonts w:cstheme="minorHAnsi"/>
          <w:b/>
          <w:bCs/>
          <w:sz w:val="20"/>
          <w:szCs w:val="20"/>
        </w:rPr>
        <w:t>Case study 2</w:t>
      </w:r>
      <w:r w:rsidR="00146C80" w:rsidRPr="00146C80">
        <w:rPr>
          <w:rFonts w:cstheme="minorHAnsi"/>
          <w:b/>
          <w:bCs/>
          <w:sz w:val="20"/>
          <w:szCs w:val="20"/>
        </w:rPr>
        <w:t xml:space="preserve">: </w:t>
      </w:r>
      <w:r w:rsidRPr="00146C80">
        <w:rPr>
          <w:rFonts w:cstheme="minorHAnsi"/>
          <w:b/>
          <w:bCs/>
          <w:sz w:val="20"/>
          <w:szCs w:val="20"/>
        </w:rPr>
        <w:t>Kacie</w:t>
      </w:r>
    </w:p>
    <w:p w14:paraId="55430378" w14:textId="77777777" w:rsidR="007C71D2" w:rsidRPr="00871656" w:rsidRDefault="007C71D2" w:rsidP="008A3ECE">
      <w:pPr>
        <w:spacing w:before="0" w:after="0" w:line="312" w:lineRule="auto"/>
        <w:jc w:val="center"/>
        <w:rPr>
          <w:rFonts w:eastAsia="Times New Roman" w:cstheme="minorHAnsi"/>
          <w:lang w:eastAsia="en-AU"/>
        </w:rPr>
      </w:pPr>
    </w:p>
    <w:p w14:paraId="7480924F" w14:textId="1B57D66D" w:rsidR="00057E44" w:rsidRDefault="00403837" w:rsidP="008A3ECE">
      <w:pPr>
        <w:pStyle w:val="Heading3"/>
        <w:spacing w:line="312" w:lineRule="auto"/>
      </w:pPr>
      <w:bookmarkStart w:id="99" w:name="_Toc146291285"/>
      <w:bookmarkStart w:id="100" w:name="_Toc146877531"/>
      <w:r>
        <w:t>R</w:t>
      </w:r>
      <w:r w:rsidR="000F195D" w:rsidRPr="00403837">
        <w:t>ecommendations</w:t>
      </w:r>
      <w:bookmarkEnd w:id="99"/>
      <w:bookmarkEnd w:id="100"/>
    </w:p>
    <w:p w14:paraId="0E14DFF3" w14:textId="77777777" w:rsidR="00EF4932" w:rsidRPr="00EF4932" w:rsidRDefault="00EF4932" w:rsidP="008A3ECE">
      <w:pPr>
        <w:spacing w:before="0" w:after="5" w:line="312" w:lineRule="auto"/>
        <w:contextualSpacing/>
        <w:rPr>
          <w:rFonts w:ascii="Arial" w:eastAsia="Arial" w:hAnsi="Arial" w:cs="Arial"/>
        </w:rPr>
      </w:pPr>
      <w:r w:rsidRPr="00EF4932">
        <w:rPr>
          <w:rFonts w:ascii="Arial" w:eastAsia="Arial" w:hAnsi="Arial" w:cs="Arial"/>
          <w:b/>
          <w:bCs/>
        </w:rPr>
        <w:t xml:space="preserve">Recommendation 5 – </w:t>
      </w:r>
      <w:r w:rsidRPr="00EF4932">
        <w:rPr>
          <w:rFonts w:ascii="Arial" w:eastAsia="Arial" w:hAnsi="Arial" w:cs="Arial"/>
        </w:rPr>
        <w:t>The ADA must contain positive duties on relevant duty holders as identified in the ADA, to provide reasonable adjustments and to prevent and eliminate discrimination up to the point of ‘unjustifiable hardship’.</w:t>
      </w:r>
    </w:p>
    <w:p w14:paraId="51E02D0A" w14:textId="77777777" w:rsidR="00EF4932" w:rsidRPr="00EF4932" w:rsidRDefault="00EF4932" w:rsidP="008A3ECE">
      <w:pPr>
        <w:spacing w:before="0" w:after="5" w:line="312" w:lineRule="auto"/>
        <w:contextualSpacing/>
        <w:rPr>
          <w:rFonts w:ascii="Arial" w:eastAsia="Arial" w:hAnsi="Arial" w:cs="Arial"/>
        </w:rPr>
      </w:pPr>
    </w:p>
    <w:p w14:paraId="202CC894" w14:textId="77777777" w:rsidR="00EF4932" w:rsidRPr="00EF4932" w:rsidRDefault="00EF4932" w:rsidP="008A3ECE">
      <w:pPr>
        <w:spacing w:before="0" w:after="5" w:line="312" w:lineRule="auto"/>
        <w:contextualSpacing/>
        <w:rPr>
          <w:rFonts w:ascii="Arial" w:eastAsia="Arial" w:hAnsi="Arial" w:cs="Arial"/>
        </w:rPr>
      </w:pPr>
      <w:r w:rsidRPr="00EF4932">
        <w:rPr>
          <w:rFonts w:ascii="Arial" w:eastAsia="Arial" w:hAnsi="Arial" w:cs="Arial"/>
          <w:b/>
          <w:bCs/>
        </w:rPr>
        <w:t>Recommendation 6 –</w:t>
      </w:r>
      <w:r w:rsidRPr="00EF4932">
        <w:rPr>
          <w:rFonts w:ascii="Arial" w:eastAsia="Arial" w:hAnsi="Arial" w:cs="Arial"/>
        </w:rPr>
        <w:t xml:space="preserve"> The ADA must state that an aim or purpose of the Act is to encourage a ‘preventative culture’ towards discrimination amongst all members of the community not just those in the public sphere or who are otherwise identified as having a specific duty to prevent discrimination, in line with the Australian Human Rights Commission’s </w:t>
      </w:r>
      <w:r w:rsidRPr="00EF4932">
        <w:rPr>
          <w:rFonts w:ascii="Arial" w:eastAsia="Arial" w:hAnsi="Arial" w:cs="Arial"/>
          <w:i/>
          <w:iCs/>
        </w:rPr>
        <w:t xml:space="preserve">Free &amp; Equal </w:t>
      </w:r>
      <w:r w:rsidRPr="00EF4932">
        <w:rPr>
          <w:rFonts w:ascii="Arial" w:eastAsia="Arial" w:hAnsi="Arial" w:cs="Arial"/>
        </w:rPr>
        <w:t>model.</w:t>
      </w:r>
    </w:p>
    <w:p w14:paraId="0B42B98F" w14:textId="77777777" w:rsidR="00E26783" w:rsidRDefault="00E26783" w:rsidP="008A3ECE">
      <w:pPr>
        <w:spacing w:line="312" w:lineRule="auto"/>
      </w:pPr>
    </w:p>
    <w:p w14:paraId="073E3010" w14:textId="77777777" w:rsidR="008A3ECE" w:rsidRDefault="008A3ECE" w:rsidP="008A3ECE">
      <w:pPr>
        <w:spacing w:line="312" w:lineRule="auto"/>
      </w:pPr>
    </w:p>
    <w:p w14:paraId="30F3EAF1" w14:textId="77777777" w:rsidR="008A3ECE" w:rsidRDefault="008A3ECE" w:rsidP="008A3ECE">
      <w:pPr>
        <w:spacing w:line="312" w:lineRule="auto"/>
      </w:pPr>
    </w:p>
    <w:p w14:paraId="4262D376" w14:textId="77777777" w:rsidR="008A3ECE" w:rsidRDefault="008A3ECE" w:rsidP="008A3ECE">
      <w:pPr>
        <w:spacing w:line="312" w:lineRule="auto"/>
      </w:pPr>
    </w:p>
    <w:p w14:paraId="01E4AC60" w14:textId="77777777" w:rsidR="008A3ECE" w:rsidRDefault="008A3ECE" w:rsidP="008A3ECE">
      <w:pPr>
        <w:spacing w:line="312" w:lineRule="auto"/>
      </w:pPr>
    </w:p>
    <w:p w14:paraId="72AFBEDA" w14:textId="77777777" w:rsidR="008A3ECE" w:rsidRDefault="008A3ECE" w:rsidP="008A3ECE">
      <w:pPr>
        <w:spacing w:line="312" w:lineRule="auto"/>
      </w:pPr>
    </w:p>
    <w:p w14:paraId="464D6D89" w14:textId="77777777" w:rsidR="008A3ECE" w:rsidRPr="00E26783" w:rsidRDefault="008A3ECE" w:rsidP="008A3ECE">
      <w:pPr>
        <w:spacing w:line="312" w:lineRule="auto"/>
      </w:pPr>
    </w:p>
    <w:p w14:paraId="65859CB8" w14:textId="23C3A51C" w:rsidR="00461651" w:rsidRPr="008A3ECE" w:rsidRDefault="00461651" w:rsidP="008A3ECE">
      <w:pPr>
        <w:pStyle w:val="Heading1"/>
        <w:spacing w:line="312" w:lineRule="auto"/>
        <w:rPr>
          <w:sz w:val="52"/>
          <w:szCs w:val="52"/>
        </w:rPr>
      </w:pPr>
      <w:bookmarkStart w:id="101" w:name="_Toc146877532"/>
      <w:r w:rsidRPr="008A3ECE">
        <w:rPr>
          <w:sz w:val="52"/>
          <w:szCs w:val="52"/>
        </w:rPr>
        <w:lastRenderedPageBreak/>
        <w:t>Part 4</w:t>
      </w:r>
      <w:r w:rsidR="00403837" w:rsidRPr="008A3ECE">
        <w:rPr>
          <w:sz w:val="52"/>
          <w:szCs w:val="52"/>
        </w:rPr>
        <w:t xml:space="preserve"> -</w:t>
      </w:r>
      <w:r w:rsidRPr="008A3ECE">
        <w:rPr>
          <w:sz w:val="52"/>
          <w:szCs w:val="52"/>
        </w:rPr>
        <w:t xml:space="preserve"> </w:t>
      </w:r>
      <w:r w:rsidR="00065E83" w:rsidRPr="008A3ECE">
        <w:rPr>
          <w:sz w:val="52"/>
          <w:szCs w:val="52"/>
        </w:rPr>
        <w:t xml:space="preserve">Access to justice: </w:t>
      </w:r>
      <w:r w:rsidR="005F6847" w:rsidRPr="008A3ECE">
        <w:rPr>
          <w:sz w:val="52"/>
          <w:szCs w:val="52"/>
        </w:rPr>
        <w:t>decision support services</w:t>
      </w:r>
      <w:r w:rsidR="005D0396" w:rsidRPr="008A3ECE">
        <w:rPr>
          <w:sz w:val="52"/>
          <w:szCs w:val="52"/>
        </w:rPr>
        <w:t xml:space="preserve"> and </w:t>
      </w:r>
      <w:r w:rsidR="001F4F13" w:rsidRPr="008A3ECE">
        <w:rPr>
          <w:sz w:val="52"/>
          <w:szCs w:val="52"/>
        </w:rPr>
        <w:t xml:space="preserve">strengthening </w:t>
      </w:r>
      <w:r w:rsidR="005D0396" w:rsidRPr="008A3ECE">
        <w:rPr>
          <w:sz w:val="52"/>
          <w:szCs w:val="52"/>
        </w:rPr>
        <w:t>Anti-Discrimination NSW</w:t>
      </w:r>
      <w:bookmarkEnd w:id="101"/>
    </w:p>
    <w:p w14:paraId="5CD1E619" w14:textId="5C5BD9F6" w:rsidR="001F4F13" w:rsidRPr="00871656" w:rsidRDefault="00461651" w:rsidP="008A3ECE">
      <w:pPr>
        <w:spacing w:line="312" w:lineRule="auto"/>
        <w:rPr>
          <w:rFonts w:cstheme="minorHAnsi"/>
        </w:rPr>
      </w:pPr>
      <w:r w:rsidRPr="00871656">
        <w:rPr>
          <w:rFonts w:cstheme="minorHAnsi"/>
        </w:rPr>
        <w:t xml:space="preserve">Access to justice is a critical consideration for the ADA. If a person is unable to gain the benefit of a legal right, it has no practical value. </w:t>
      </w:r>
      <w:r w:rsidR="005D0396" w:rsidRPr="00871656">
        <w:rPr>
          <w:rFonts w:cstheme="minorHAnsi"/>
        </w:rPr>
        <w:t xml:space="preserve">Two </w:t>
      </w:r>
      <w:r w:rsidR="00D9583F" w:rsidRPr="00871656">
        <w:rPr>
          <w:rFonts w:cstheme="minorHAnsi"/>
        </w:rPr>
        <w:t xml:space="preserve">access to justice </w:t>
      </w:r>
      <w:r w:rsidR="001F4F13" w:rsidRPr="00871656">
        <w:rPr>
          <w:rFonts w:cstheme="minorHAnsi"/>
        </w:rPr>
        <w:t>considerations for this review of the ADA are to</w:t>
      </w:r>
      <w:r w:rsidR="00606251" w:rsidRPr="00871656">
        <w:rPr>
          <w:rFonts w:cstheme="minorHAnsi"/>
        </w:rPr>
        <w:t>:</w:t>
      </w:r>
    </w:p>
    <w:p w14:paraId="723AE6C9" w14:textId="0A473B86" w:rsidR="003C5899" w:rsidRPr="00871656" w:rsidRDefault="001F4F13" w:rsidP="008A3ECE">
      <w:pPr>
        <w:pStyle w:val="ListParagraph"/>
        <w:numPr>
          <w:ilvl w:val="0"/>
          <w:numId w:val="19"/>
        </w:numPr>
        <w:spacing w:line="312" w:lineRule="auto"/>
        <w:rPr>
          <w:rFonts w:asciiTheme="minorHAnsi" w:hAnsiTheme="minorHAnsi" w:cstheme="minorHAnsi"/>
        </w:rPr>
      </w:pPr>
      <w:r w:rsidRPr="00871656">
        <w:rPr>
          <w:rFonts w:asciiTheme="minorHAnsi" w:hAnsiTheme="minorHAnsi" w:cstheme="minorHAnsi"/>
        </w:rPr>
        <w:t xml:space="preserve">embed recognition of a right to </w:t>
      </w:r>
      <w:r w:rsidR="00146C80">
        <w:rPr>
          <w:rFonts w:asciiTheme="minorHAnsi" w:hAnsiTheme="minorHAnsi" w:cstheme="minorHAnsi"/>
        </w:rPr>
        <w:t xml:space="preserve">independent </w:t>
      </w:r>
      <w:r w:rsidR="00AE68B3">
        <w:rPr>
          <w:rFonts w:asciiTheme="minorHAnsi" w:hAnsiTheme="minorHAnsi" w:cstheme="minorHAnsi"/>
        </w:rPr>
        <w:t xml:space="preserve">decision support services, including </w:t>
      </w:r>
      <w:r w:rsidRPr="00871656">
        <w:rPr>
          <w:rFonts w:asciiTheme="minorHAnsi" w:hAnsiTheme="minorHAnsi" w:cstheme="minorHAnsi"/>
        </w:rPr>
        <w:t>supported decision-making</w:t>
      </w:r>
      <w:r w:rsidR="00AE68B3">
        <w:rPr>
          <w:rFonts w:asciiTheme="minorHAnsi" w:hAnsiTheme="minorHAnsi" w:cstheme="minorHAnsi"/>
        </w:rPr>
        <w:t xml:space="preserve">, </w:t>
      </w:r>
      <w:r w:rsidRPr="00871656">
        <w:rPr>
          <w:rFonts w:asciiTheme="minorHAnsi" w:hAnsiTheme="minorHAnsi" w:cstheme="minorHAnsi"/>
        </w:rPr>
        <w:t>in the ADA, including that fully funded services will be provided if required</w:t>
      </w:r>
      <w:r w:rsidR="00C30F2F">
        <w:rPr>
          <w:rFonts w:asciiTheme="minorHAnsi" w:hAnsiTheme="minorHAnsi" w:cstheme="minorHAnsi"/>
        </w:rPr>
        <w:t>; and</w:t>
      </w:r>
    </w:p>
    <w:p w14:paraId="036EA002" w14:textId="7BAF0B55" w:rsidR="001F4F13" w:rsidRPr="00871656" w:rsidRDefault="001F4F13" w:rsidP="008A3ECE">
      <w:pPr>
        <w:pStyle w:val="ListParagraph"/>
        <w:numPr>
          <w:ilvl w:val="0"/>
          <w:numId w:val="19"/>
        </w:numPr>
        <w:spacing w:line="312" w:lineRule="auto"/>
        <w:rPr>
          <w:rFonts w:asciiTheme="minorHAnsi" w:hAnsiTheme="minorHAnsi" w:cstheme="minorHAnsi"/>
        </w:rPr>
      </w:pPr>
      <w:r w:rsidRPr="00871656">
        <w:rPr>
          <w:rFonts w:asciiTheme="minorHAnsi" w:hAnsiTheme="minorHAnsi" w:cstheme="minorHAnsi"/>
        </w:rPr>
        <w:t xml:space="preserve">strengthen the ability of </w:t>
      </w:r>
      <w:r w:rsidR="00F26351" w:rsidRPr="00871656">
        <w:rPr>
          <w:rFonts w:asciiTheme="minorHAnsi" w:hAnsiTheme="minorHAnsi" w:cstheme="minorHAnsi"/>
        </w:rPr>
        <w:t>AD</w:t>
      </w:r>
      <w:r w:rsidRPr="00871656">
        <w:rPr>
          <w:rFonts w:asciiTheme="minorHAnsi" w:hAnsiTheme="minorHAnsi" w:cstheme="minorHAnsi"/>
        </w:rPr>
        <w:t xml:space="preserve">NSW to </w:t>
      </w:r>
      <w:r w:rsidR="0066244C">
        <w:rPr>
          <w:rFonts w:asciiTheme="minorHAnsi" w:hAnsiTheme="minorHAnsi" w:cstheme="minorHAnsi"/>
        </w:rPr>
        <w:t xml:space="preserve">independently </w:t>
      </w:r>
      <w:r w:rsidRPr="00871656">
        <w:rPr>
          <w:rFonts w:asciiTheme="minorHAnsi" w:hAnsiTheme="minorHAnsi" w:cstheme="minorHAnsi"/>
        </w:rPr>
        <w:t xml:space="preserve">investigate </w:t>
      </w:r>
      <w:r w:rsidR="00D9583F" w:rsidRPr="00871656">
        <w:rPr>
          <w:rFonts w:asciiTheme="minorHAnsi" w:hAnsiTheme="minorHAnsi" w:cstheme="minorHAnsi"/>
        </w:rPr>
        <w:t xml:space="preserve">suspected </w:t>
      </w:r>
      <w:r w:rsidRPr="00871656">
        <w:rPr>
          <w:rFonts w:asciiTheme="minorHAnsi" w:hAnsiTheme="minorHAnsi" w:cstheme="minorHAnsi"/>
        </w:rPr>
        <w:t xml:space="preserve">systemic discrimination </w:t>
      </w:r>
      <w:r w:rsidR="00D9583F" w:rsidRPr="00871656">
        <w:rPr>
          <w:rFonts w:asciiTheme="minorHAnsi" w:hAnsiTheme="minorHAnsi" w:cstheme="minorHAnsi"/>
        </w:rPr>
        <w:t xml:space="preserve">and breaches of duties </w:t>
      </w:r>
      <w:r w:rsidRPr="00871656">
        <w:rPr>
          <w:rFonts w:asciiTheme="minorHAnsi" w:hAnsiTheme="minorHAnsi" w:cstheme="minorHAnsi"/>
        </w:rPr>
        <w:t>by ensuring it is properly funded.</w:t>
      </w:r>
    </w:p>
    <w:p w14:paraId="4A99601E" w14:textId="09D11D65" w:rsidR="005D0396" w:rsidRPr="00C30F2F" w:rsidRDefault="00DF7B9A" w:rsidP="008A3ECE">
      <w:pPr>
        <w:pStyle w:val="Heading3"/>
        <w:spacing w:line="312" w:lineRule="auto"/>
      </w:pPr>
      <w:bookmarkStart w:id="102" w:name="_Toc146877533"/>
      <w:r>
        <w:t>Capacity and d</w:t>
      </w:r>
      <w:r w:rsidR="00AE68B3">
        <w:t>ecision support services</w:t>
      </w:r>
      <w:bookmarkEnd w:id="102"/>
    </w:p>
    <w:p w14:paraId="0DEBD89B" w14:textId="24200A03" w:rsidR="00F83E67" w:rsidRDefault="00461651" w:rsidP="008A3ECE">
      <w:pPr>
        <w:spacing w:line="312" w:lineRule="auto"/>
        <w:rPr>
          <w:rFonts w:cstheme="minorHAnsi"/>
        </w:rPr>
      </w:pPr>
      <w:r w:rsidRPr="00871656">
        <w:rPr>
          <w:rFonts w:cstheme="minorHAnsi"/>
        </w:rPr>
        <w:t>The ADA must recognise</w:t>
      </w:r>
      <w:r w:rsidR="00D00A59">
        <w:rPr>
          <w:rFonts w:cstheme="minorHAnsi"/>
        </w:rPr>
        <w:t>:</w:t>
      </w:r>
      <w:r w:rsidRPr="00871656">
        <w:rPr>
          <w:rFonts w:cstheme="minorHAnsi"/>
        </w:rPr>
        <w:t xml:space="preserve"> </w:t>
      </w:r>
    </w:p>
    <w:p w14:paraId="23DC79AF" w14:textId="5F1A7A16" w:rsidR="00597233" w:rsidRDefault="00597233" w:rsidP="008A3ECE">
      <w:pPr>
        <w:pStyle w:val="ListParagraph"/>
        <w:numPr>
          <w:ilvl w:val="0"/>
          <w:numId w:val="29"/>
        </w:numPr>
        <w:spacing w:line="312" w:lineRule="auto"/>
        <w:rPr>
          <w:rFonts w:cstheme="minorHAnsi"/>
        </w:rPr>
      </w:pPr>
      <w:r>
        <w:rPr>
          <w:rFonts w:cstheme="minorHAnsi"/>
        </w:rPr>
        <w:t>a presumption of decision-making capacity</w:t>
      </w:r>
    </w:p>
    <w:p w14:paraId="4AD96759" w14:textId="4742ECD4" w:rsidR="00F83E67" w:rsidRDefault="00461651" w:rsidP="008A3ECE">
      <w:pPr>
        <w:pStyle w:val="ListParagraph"/>
        <w:numPr>
          <w:ilvl w:val="0"/>
          <w:numId w:val="29"/>
        </w:numPr>
        <w:spacing w:line="312" w:lineRule="auto"/>
        <w:rPr>
          <w:rFonts w:cstheme="minorHAnsi"/>
        </w:rPr>
      </w:pPr>
      <w:r w:rsidRPr="00F83E67">
        <w:rPr>
          <w:rFonts w:cstheme="minorHAnsi"/>
        </w:rPr>
        <w:t>the inherent legal capacity of all people</w:t>
      </w:r>
      <w:r w:rsidR="00AF5039" w:rsidRPr="00F83E67">
        <w:rPr>
          <w:rFonts w:cstheme="minorHAnsi"/>
        </w:rPr>
        <w:t xml:space="preserve"> </w:t>
      </w:r>
      <w:r w:rsidRPr="00F83E67">
        <w:rPr>
          <w:rFonts w:cstheme="minorHAnsi"/>
        </w:rPr>
        <w:t>with disability</w:t>
      </w:r>
      <w:r w:rsidR="00BF224C" w:rsidRPr="00F83E67">
        <w:rPr>
          <w:rFonts w:cstheme="minorHAnsi"/>
        </w:rPr>
        <w:t xml:space="preserve"> </w:t>
      </w:r>
    </w:p>
    <w:p w14:paraId="5946DE58" w14:textId="6AC7EA13" w:rsidR="00F83E67" w:rsidRDefault="00AB331A" w:rsidP="008A3ECE">
      <w:pPr>
        <w:pStyle w:val="ListParagraph"/>
        <w:numPr>
          <w:ilvl w:val="0"/>
          <w:numId w:val="29"/>
        </w:numPr>
        <w:spacing w:line="312" w:lineRule="auto"/>
        <w:rPr>
          <w:rFonts w:cstheme="minorHAnsi"/>
        </w:rPr>
      </w:pPr>
      <w:r w:rsidRPr="00F83E67">
        <w:rPr>
          <w:rFonts w:cstheme="minorHAnsi"/>
        </w:rPr>
        <w:t xml:space="preserve">legal capacity is not the same as mental capacity </w:t>
      </w:r>
    </w:p>
    <w:p w14:paraId="15C0BA92" w14:textId="77777777" w:rsidR="00710A4A" w:rsidRDefault="00461651" w:rsidP="008A3ECE">
      <w:pPr>
        <w:pStyle w:val="ListParagraph"/>
        <w:numPr>
          <w:ilvl w:val="0"/>
          <w:numId w:val="29"/>
        </w:numPr>
        <w:spacing w:line="312" w:lineRule="auto"/>
        <w:rPr>
          <w:rFonts w:cstheme="minorHAnsi"/>
        </w:rPr>
      </w:pPr>
      <w:r w:rsidRPr="00F83E67">
        <w:rPr>
          <w:rFonts w:cstheme="minorHAnsi"/>
        </w:rPr>
        <w:t>that disability is diverse</w:t>
      </w:r>
    </w:p>
    <w:p w14:paraId="522C6671" w14:textId="5877A774" w:rsidR="00710A4A" w:rsidRPr="00F83E67" w:rsidRDefault="005F6847" w:rsidP="008A3ECE">
      <w:pPr>
        <w:pStyle w:val="ListParagraph"/>
        <w:numPr>
          <w:ilvl w:val="0"/>
          <w:numId w:val="29"/>
        </w:numPr>
        <w:spacing w:line="312" w:lineRule="auto"/>
        <w:rPr>
          <w:rFonts w:cstheme="minorHAnsi"/>
        </w:rPr>
      </w:pPr>
      <w:r>
        <w:rPr>
          <w:rFonts w:cstheme="minorHAnsi"/>
        </w:rPr>
        <w:t xml:space="preserve">that </w:t>
      </w:r>
      <w:r w:rsidR="00710A4A">
        <w:rPr>
          <w:rFonts w:cstheme="minorHAnsi"/>
        </w:rPr>
        <w:t>mental capacity and decision-making capacity is not fixed and can fluctuate depending on context</w:t>
      </w:r>
      <w:r w:rsidR="007C71D2">
        <w:rPr>
          <w:rFonts w:cstheme="minorHAnsi"/>
        </w:rPr>
        <w:t>;</w:t>
      </w:r>
      <w:r w:rsidR="00710A4A">
        <w:rPr>
          <w:rFonts w:cstheme="minorHAnsi"/>
        </w:rPr>
        <w:t xml:space="preserve"> and</w:t>
      </w:r>
    </w:p>
    <w:p w14:paraId="2F2C48C3" w14:textId="5A976BBA" w:rsidR="00597233" w:rsidRPr="00710A4A" w:rsidRDefault="00461651" w:rsidP="008A3ECE">
      <w:pPr>
        <w:pStyle w:val="ListParagraph"/>
        <w:numPr>
          <w:ilvl w:val="0"/>
          <w:numId w:val="29"/>
        </w:numPr>
        <w:spacing w:line="312" w:lineRule="auto"/>
        <w:rPr>
          <w:rFonts w:cstheme="minorHAnsi"/>
        </w:rPr>
      </w:pPr>
      <w:r w:rsidRPr="00710A4A">
        <w:rPr>
          <w:rFonts w:cstheme="minorHAnsi"/>
        </w:rPr>
        <w:t>that some people with disability</w:t>
      </w:r>
      <w:r w:rsidR="00AF5039" w:rsidRPr="00710A4A">
        <w:rPr>
          <w:rFonts w:cstheme="minorHAnsi"/>
        </w:rPr>
        <w:t xml:space="preserve"> or other protected characteristics</w:t>
      </w:r>
      <w:r w:rsidRPr="00710A4A">
        <w:rPr>
          <w:rFonts w:cstheme="minorHAnsi"/>
        </w:rPr>
        <w:t xml:space="preserve"> may require support </w:t>
      </w:r>
      <w:r w:rsidR="00BF224C" w:rsidRPr="00710A4A">
        <w:rPr>
          <w:rFonts w:cstheme="minorHAnsi"/>
        </w:rPr>
        <w:t>in</w:t>
      </w:r>
      <w:r w:rsidRPr="00710A4A">
        <w:rPr>
          <w:rFonts w:cstheme="minorHAnsi"/>
        </w:rPr>
        <w:t xml:space="preserve"> exercis</w:t>
      </w:r>
      <w:r w:rsidR="00BF224C" w:rsidRPr="00710A4A">
        <w:rPr>
          <w:rFonts w:cstheme="minorHAnsi"/>
        </w:rPr>
        <w:t xml:space="preserve">ing </w:t>
      </w:r>
      <w:r w:rsidRPr="00710A4A">
        <w:rPr>
          <w:rFonts w:cstheme="minorHAnsi"/>
        </w:rPr>
        <w:t>their legal capacity</w:t>
      </w:r>
      <w:r w:rsidR="001F4F13" w:rsidRPr="00710A4A">
        <w:rPr>
          <w:rFonts w:cstheme="minorHAnsi"/>
        </w:rPr>
        <w:t xml:space="preserve"> across a process.</w:t>
      </w:r>
      <w:r w:rsidR="003C5899" w:rsidRPr="00710A4A">
        <w:rPr>
          <w:rFonts w:cstheme="minorHAnsi"/>
        </w:rPr>
        <w:t xml:space="preserve"> </w:t>
      </w:r>
      <w:r w:rsidR="00A100AB" w:rsidRPr="00710A4A">
        <w:rPr>
          <w:rFonts w:cstheme="minorHAnsi"/>
        </w:rPr>
        <w:t xml:space="preserve">Decision support may be needed </w:t>
      </w:r>
      <w:r w:rsidR="008E302B" w:rsidRPr="00710A4A">
        <w:rPr>
          <w:rFonts w:cstheme="minorHAnsi"/>
        </w:rPr>
        <w:t xml:space="preserve">at various times including when </w:t>
      </w:r>
      <w:r w:rsidR="001F4F13" w:rsidRPr="00710A4A">
        <w:rPr>
          <w:rFonts w:cstheme="minorHAnsi"/>
        </w:rPr>
        <w:t xml:space="preserve">reviewing options, making an initial complaint to </w:t>
      </w:r>
      <w:r w:rsidR="00F26351" w:rsidRPr="00710A4A">
        <w:rPr>
          <w:rFonts w:cstheme="minorHAnsi"/>
        </w:rPr>
        <w:t>ADNSW</w:t>
      </w:r>
      <w:r w:rsidR="001F4F13" w:rsidRPr="00710A4A">
        <w:rPr>
          <w:rFonts w:cstheme="minorHAnsi"/>
        </w:rPr>
        <w:t>, and reviewing any response</w:t>
      </w:r>
      <w:r w:rsidR="0066244C">
        <w:rPr>
          <w:rFonts w:cstheme="minorHAnsi"/>
        </w:rPr>
        <w:t>.</w:t>
      </w:r>
    </w:p>
    <w:p w14:paraId="1B7DC8E6" w14:textId="52B6BF35" w:rsidR="003643A7" w:rsidRDefault="00461651" w:rsidP="008A3ECE">
      <w:pPr>
        <w:spacing w:line="312" w:lineRule="auto"/>
        <w:rPr>
          <w:rFonts w:cstheme="minorHAnsi"/>
        </w:rPr>
      </w:pPr>
      <w:r w:rsidRPr="00871656">
        <w:rPr>
          <w:rFonts w:cstheme="minorHAnsi"/>
        </w:rPr>
        <w:lastRenderedPageBreak/>
        <w:t>A right to fully funded decision</w:t>
      </w:r>
      <w:r w:rsidR="008E302B">
        <w:rPr>
          <w:rFonts w:cstheme="minorHAnsi"/>
        </w:rPr>
        <w:t xml:space="preserve"> support</w:t>
      </w:r>
      <w:r w:rsidRPr="00871656">
        <w:rPr>
          <w:rFonts w:cstheme="minorHAnsi"/>
        </w:rPr>
        <w:t xml:space="preserve"> services for a complainant and their supporters needs to be embedded in the ADA.</w:t>
      </w:r>
      <w:r w:rsidR="00CD59B7" w:rsidRPr="00871656">
        <w:rPr>
          <w:rStyle w:val="FootnoteReference"/>
          <w:rFonts w:cstheme="minorHAnsi"/>
        </w:rPr>
        <w:footnoteReference w:id="58"/>
      </w:r>
      <w:r w:rsidRPr="00871656">
        <w:rPr>
          <w:rFonts w:cstheme="minorHAnsi"/>
        </w:rPr>
        <w:t xml:space="preserve"> </w:t>
      </w:r>
      <w:r w:rsidR="0051585A" w:rsidRPr="00871656">
        <w:rPr>
          <w:rFonts w:cstheme="minorHAnsi"/>
        </w:rPr>
        <w:t>The</w:t>
      </w:r>
      <w:r w:rsidRPr="00871656">
        <w:rPr>
          <w:rFonts w:cstheme="minorHAnsi"/>
        </w:rPr>
        <w:t xml:space="preserve"> inherent legal capacity </w:t>
      </w:r>
      <w:r w:rsidR="0051585A" w:rsidRPr="00871656">
        <w:rPr>
          <w:rFonts w:cstheme="minorHAnsi"/>
        </w:rPr>
        <w:t xml:space="preserve">of a person with disability </w:t>
      </w:r>
      <w:r w:rsidRPr="00871656">
        <w:rPr>
          <w:rFonts w:cstheme="minorHAnsi"/>
        </w:rPr>
        <w:t xml:space="preserve">and the right to </w:t>
      </w:r>
      <w:r w:rsidR="00814B90">
        <w:rPr>
          <w:rFonts w:cstheme="minorHAnsi"/>
        </w:rPr>
        <w:t xml:space="preserve">receive supports </w:t>
      </w:r>
      <w:r w:rsidR="00634BBC" w:rsidRPr="00634BBC">
        <w:rPr>
          <w:rFonts w:cstheme="minorHAnsi"/>
        </w:rPr>
        <w:t>is affirmed in CRPD Article 12 (equal recognition before the law).</w:t>
      </w:r>
      <w:r w:rsidR="00DF7B9A" w:rsidRPr="00DF7B9A">
        <w:rPr>
          <w:rFonts w:cstheme="minorHAnsi"/>
        </w:rPr>
        <w:t xml:space="preserve"> </w:t>
      </w:r>
      <w:r w:rsidR="00DF7B9A" w:rsidRPr="00871656">
        <w:rPr>
          <w:rFonts w:cstheme="minorHAnsi"/>
        </w:rPr>
        <w:t>Article 12 is regarded as ‘critical to the exercise of all other human rights.’</w:t>
      </w:r>
      <w:r w:rsidR="00DF7B9A" w:rsidRPr="00871656">
        <w:rPr>
          <w:rStyle w:val="FootnoteReference"/>
          <w:rFonts w:cstheme="minorHAnsi"/>
        </w:rPr>
        <w:footnoteReference w:id="59"/>
      </w:r>
      <w:r w:rsidR="00DF7B9A" w:rsidRPr="00871656">
        <w:rPr>
          <w:rFonts w:cstheme="minorHAnsi"/>
        </w:rPr>
        <w:t xml:space="preserve"> It is essential to upholding the autonomy of people with disability which is a foundational principle of the CRPD.</w:t>
      </w:r>
      <w:r w:rsidR="00DF7B9A" w:rsidRPr="00871656">
        <w:rPr>
          <w:rStyle w:val="FootnoteReference"/>
          <w:rFonts w:cstheme="minorHAnsi"/>
        </w:rPr>
        <w:footnoteReference w:id="60"/>
      </w:r>
      <w:r w:rsidR="00634BBC" w:rsidRPr="00634BBC">
        <w:rPr>
          <w:rFonts w:cstheme="minorHAnsi"/>
        </w:rPr>
        <w:t xml:space="preserve"> </w:t>
      </w:r>
      <w:r w:rsidR="00634BBC">
        <w:rPr>
          <w:rFonts w:cstheme="minorHAnsi"/>
        </w:rPr>
        <w:t xml:space="preserve">Such supports </w:t>
      </w:r>
      <w:r w:rsidR="00DF7B9A">
        <w:rPr>
          <w:rFonts w:cstheme="minorHAnsi"/>
        </w:rPr>
        <w:t xml:space="preserve">that must be </w:t>
      </w:r>
      <w:r w:rsidR="00DE311E">
        <w:rPr>
          <w:rFonts w:cstheme="minorHAnsi"/>
        </w:rPr>
        <w:t>provided include</w:t>
      </w:r>
      <w:r w:rsidR="00621389">
        <w:rPr>
          <w:rFonts w:cstheme="minorHAnsi"/>
        </w:rPr>
        <w:t>,</w:t>
      </w:r>
      <w:r w:rsidR="00814B90">
        <w:rPr>
          <w:rFonts w:cstheme="minorHAnsi"/>
        </w:rPr>
        <w:t xml:space="preserve"> but </w:t>
      </w:r>
      <w:r w:rsidR="00634BBC">
        <w:rPr>
          <w:rFonts w:cstheme="minorHAnsi"/>
        </w:rPr>
        <w:t xml:space="preserve">are </w:t>
      </w:r>
      <w:r w:rsidR="00814B90">
        <w:rPr>
          <w:rFonts w:cstheme="minorHAnsi"/>
        </w:rPr>
        <w:t xml:space="preserve">not </w:t>
      </w:r>
      <w:r w:rsidR="003643A7">
        <w:rPr>
          <w:rFonts w:cstheme="minorHAnsi"/>
        </w:rPr>
        <w:t>limited</w:t>
      </w:r>
      <w:r w:rsidR="00814B90">
        <w:rPr>
          <w:rFonts w:cstheme="minorHAnsi"/>
        </w:rPr>
        <w:t xml:space="preserve"> to</w:t>
      </w:r>
      <w:r w:rsidR="00EC076F">
        <w:rPr>
          <w:rFonts w:cstheme="minorHAnsi"/>
        </w:rPr>
        <w:t>:</w:t>
      </w:r>
      <w:r w:rsidR="00814B90">
        <w:rPr>
          <w:rFonts w:cstheme="minorHAnsi"/>
        </w:rPr>
        <w:t xml:space="preserve"> </w:t>
      </w:r>
      <w:r w:rsidR="00472209">
        <w:rPr>
          <w:rFonts w:cstheme="minorHAnsi"/>
        </w:rPr>
        <w:t xml:space="preserve">     </w:t>
      </w:r>
    </w:p>
    <w:p w14:paraId="7125D68D" w14:textId="1DFDC59E" w:rsidR="003643A7" w:rsidRDefault="00814B90" w:rsidP="008A3ECE">
      <w:pPr>
        <w:pStyle w:val="ListParagraph"/>
        <w:numPr>
          <w:ilvl w:val="0"/>
          <w:numId w:val="30"/>
        </w:numPr>
        <w:spacing w:line="312" w:lineRule="auto"/>
        <w:rPr>
          <w:rFonts w:cstheme="minorHAnsi"/>
        </w:rPr>
      </w:pPr>
      <w:r w:rsidRPr="003643A7">
        <w:rPr>
          <w:rFonts w:cstheme="minorHAnsi"/>
        </w:rPr>
        <w:t>supported decision</w:t>
      </w:r>
      <w:r w:rsidR="00DE311E">
        <w:rPr>
          <w:rFonts w:cstheme="minorHAnsi"/>
        </w:rPr>
        <w:t>-</w:t>
      </w:r>
      <w:r w:rsidR="003643A7" w:rsidRPr="003643A7">
        <w:rPr>
          <w:rFonts w:cstheme="minorHAnsi"/>
        </w:rPr>
        <w:t>making</w:t>
      </w:r>
    </w:p>
    <w:p w14:paraId="4B701FD1" w14:textId="56920819" w:rsidR="008B6C15" w:rsidRDefault="008B6C15" w:rsidP="008A3ECE">
      <w:pPr>
        <w:pStyle w:val="ListParagraph"/>
        <w:numPr>
          <w:ilvl w:val="0"/>
          <w:numId w:val="30"/>
        </w:numPr>
        <w:spacing w:line="312" w:lineRule="auto"/>
        <w:rPr>
          <w:rFonts w:cstheme="minorHAnsi"/>
        </w:rPr>
      </w:pPr>
      <w:r>
        <w:rPr>
          <w:rFonts w:cstheme="minorHAnsi"/>
        </w:rPr>
        <w:t>accessible information</w:t>
      </w:r>
    </w:p>
    <w:p w14:paraId="23F422E2" w14:textId="6D3246ED" w:rsidR="00634BBC" w:rsidRDefault="00634BBC" w:rsidP="008A3ECE">
      <w:pPr>
        <w:pStyle w:val="ListParagraph"/>
        <w:numPr>
          <w:ilvl w:val="0"/>
          <w:numId w:val="30"/>
        </w:numPr>
        <w:spacing w:line="312" w:lineRule="auto"/>
        <w:rPr>
          <w:rFonts w:cstheme="minorHAnsi"/>
        </w:rPr>
      </w:pPr>
      <w:r>
        <w:rPr>
          <w:rFonts w:cstheme="minorHAnsi"/>
        </w:rPr>
        <w:t>administrative support such as completing forms</w:t>
      </w:r>
    </w:p>
    <w:p w14:paraId="71353C78" w14:textId="79A64743" w:rsidR="004976D2" w:rsidRDefault="008B6C15" w:rsidP="008A3ECE">
      <w:pPr>
        <w:pStyle w:val="ListParagraph"/>
        <w:numPr>
          <w:ilvl w:val="0"/>
          <w:numId w:val="30"/>
        </w:numPr>
        <w:spacing w:line="312" w:lineRule="auto"/>
        <w:rPr>
          <w:rFonts w:cstheme="minorHAnsi"/>
        </w:rPr>
      </w:pPr>
      <w:r>
        <w:rPr>
          <w:rFonts w:cstheme="minorHAnsi"/>
        </w:rPr>
        <w:t>representation</w:t>
      </w:r>
      <w:r w:rsidR="007C71D2">
        <w:rPr>
          <w:rFonts w:cstheme="minorHAnsi"/>
        </w:rPr>
        <w:t>;</w:t>
      </w:r>
      <w:r w:rsidR="00472209">
        <w:rPr>
          <w:rFonts w:cstheme="minorHAnsi"/>
        </w:rPr>
        <w:t xml:space="preserve"> and</w:t>
      </w:r>
    </w:p>
    <w:p w14:paraId="53C1CAF7" w14:textId="30D5D39F" w:rsidR="00D5355E" w:rsidRDefault="00D5355E" w:rsidP="008A3ECE">
      <w:pPr>
        <w:pStyle w:val="ListParagraph"/>
        <w:numPr>
          <w:ilvl w:val="0"/>
          <w:numId w:val="30"/>
        </w:numPr>
        <w:spacing w:line="312" w:lineRule="auto"/>
        <w:rPr>
          <w:rFonts w:cstheme="minorHAnsi"/>
        </w:rPr>
      </w:pPr>
      <w:r>
        <w:rPr>
          <w:rFonts w:cstheme="minorHAnsi"/>
        </w:rPr>
        <w:t>other support that may be identified by the person seeking support to enable them to exercise their legal capacity.</w:t>
      </w:r>
    </w:p>
    <w:p w14:paraId="5CFE57A5" w14:textId="2AC3D207" w:rsidR="005D0396" w:rsidRPr="00C30F2F" w:rsidRDefault="001F4F13" w:rsidP="008A3ECE">
      <w:pPr>
        <w:pStyle w:val="Heading3"/>
        <w:spacing w:line="312" w:lineRule="auto"/>
      </w:pPr>
      <w:bookmarkStart w:id="103" w:name="_Toc146877534"/>
      <w:r w:rsidRPr="00C30F2F">
        <w:t xml:space="preserve">Strengthening </w:t>
      </w:r>
      <w:r w:rsidR="005D0396" w:rsidRPr="00C30F2F">
        <w:t>Anti-Discrimination NSW</w:t>
      </w:r>
      <w:bookmarkEnd w:id="103"/>
    </w:p>
    <w:p w14:paraId="57453CE1" w14:textId="272BC842" w:rsidR="00A0187A" w:rsidRPr="00871656" w:rsidRDefault="00606251" w:rsidP="008A3ECE">
      <w:pPr>
        <w:pStyle w:val="BodyText"/>
        <w:spacing w:line="312" w:lineRule="auto"/>
        <w:rPr>
          <w:rFonts w:asciiTheme="minorHAnsi" w:hAnsiTheme="minorHAnsi" w:cstheme="minorHAnsi"/>
        </w:rPr>
      </w:pPr>
      <w:r w:rsidRPr="00871656">
        <w:rPr>
          <w:rFonts w:asciiTheme="minorHAnsi" w:hAnsiTheme="minorHAnsi" w:cstheme="minorHAnsi"/>
        </w:rPr>
        <w:t>Anti-Discrimination NSW (</w:t>
      </w:r>
      <w:r w:rsidR="00F26351" w:rsidRPr="00871656">
        <w:rPr>
          <w:rFonts w:asciiTheme="minorHAnsi" w:hAnsiTheme="minorHAnsi" w:cstheme="minorHAnsi"/>
        </w:rPr>
        <w:t>AD</w:t>
      </w:r>
      <w:r w:rsidR="0028463D" w:rsidRPr="00871656">
        <w:rPr>
          <w:rFonts w:asciiTheme="minorHAnsi" w:hAnsiTheme="minorHAnsi" w:cstheme="minorHAnsi"/>
        </w:rPr>
        <w:t>NSW</w:t>
      </w:r>
      <w:r w:rsidRPr="00871656">
        <w:rPr>
          <w:rFonts w:asciiTheme="minorHAnsi" w:hAnsiTheme="minorHAnsi" w:cstheme="minorHAnsi"/>
        </w:rPr>
        <w:t xml:space="preserve">) </w:t>
      </w:r>
      <w:r w:rsidR="00F26351" w:rsidRPr="00871656">
        <w:rPr>
          <w:rFonts w:asciiTheme="minorHAnsi" w:hAnsiTheme="minorHAnsi" w:cstheme="minorHAnsi"/>
        </w:rPr>
        <w:t>has</w:t>
      </w:r>
      <w:r w:rsidR="0028463D" w:rsidRPr="00871656">
        <w:rPr>
          <w:rFonts w:asciiTheme="minorHAnsi" w:hAnsiTheme="minorHAnsi" w:cstheme="minorHAnsi"/>
        </w:rPr>
        <w:t xml:space="preserve"> some wide-ranging functions it can exercise </w:t>
      </w:r>
      <w:r w:rsidR="0051585A" w:rsidRPr="00871656">
        <w:rPr>
          <w:rFonts w:asciiTheme="minorHAnsi" w:hAnsiTheme="minorHAnsi" w:cstheme="minorHAnsi"/>
        </w:rPr>
        <w:t>‘</w:t>
      </w:r>
      <w:r w:rsidR="0028463D" w:rsidRPr="00871656">
        <w:rPr>
          <w:rFonts w:asciiTheme="minorHAnsi" w:hAnsiTheme="minorHAnsi" w:cstheme="minorHAnsi"/>
        </w:rPr>
        <w:t xml:space="preserve">[f]or the purpose of eliminating discrimination and promoting equality and equal treatment of all human </w:t>
      </w:r>
      <w:r w:rsidR="00C30F2F" w:rsidRPr="00871656">
        <w:rPr>
          <w:rFonts w:asciiTheme="minorHAnsi" w:hAnsiTheme="minorHAnsi" w:cstheme="minorHAnsi"/>
        </w:rPr>
        <w:t>beings</w:t>
      </w:r>
      <w:r w:rsidR="0028463D" w:rsidRPr="00871656">
        <w:rPr>
          <w:rFonts w:asciiTheme="minorHAnsi" w:hAnsiTheme="minorHAnsi" w:cstheme="minorHAnsi"/>
        </w:rPr>
        <w:t>.</w:t>
      </w:r>
      <w:r w:rsidR="0028463D" w:rsidRPr="00871656">
        <w:rPr>
          <w:rStyle w:val="FootnoteReference"/>
          <w:rFonts w:asciiTheme="minorHAnsi" w:hAnsiTheme="minorHAnsi" w:cstheme="minorHAnsi"/>
        </w:rPr>
        <w:footnoteReference w:id="61"/>
      </w:r>
      <w:r w:rsidR="0028463D" w:rsidRPr="00871656">
        <w:rPr>
          <w:rFonts w:asciiTheme="minorHAnsi" w:hAnsiTheme="minorHAnsi" w:cstheme="minorHAnsi"/>
        </w:rPr>
        <w:t xml:space="preserve"> </w:t>
      </w:r>
      <w:r w:rsidR="00A0187A" w:rsidRPr="00871656">
        <w:rPr>
          <w:rFonts w:asciiTheme="minorHAnsi" w:hAnsiTheme="minorHAnsi" w:cstheme="minorHAnsi"/>
        </w:rPr>
        <w:t>For example it</w:t>
      </w:r>
      <w:r w:rsidR="0028463D" w:rsidRPr="00871656">
        <w:rPr>
          <w:rFonts w:asciiTheme="minorHAnsi" w:hAnsiTheme="minorHAnsi" w:cstheme="minorHAnsi"/>
        </w:rPr>
        <w:t xml:space="preserve"> can</w:t>
      </w:r>
      <w:r w:rsidR="00C30F2F">
        <w:rPr>
          <w:rFonts w:asciiTheme="minorHAnsi" w:hAnsiTheme="minorHAnsi" w:cstheme="minorHAnsi"/>
        </w:rPr>
        <w:t>:</w:t>
      </w:r>
    </w:p>
    <w:p w14:paraId="330A1F68" w14:textId="1A26C939" w:rsidR="00A0187A" w:rsidRPr="00871656" w:rsidRDefault="0028463D" w:rsidP="008A3ECE">
      <w:pPr>
        <w:pStyle w:val="BodyText"/>
        <w:numPr>
          <w:ilvl w:val="0"/>
          <w:numId w:val="25"/>
        </w:numPr>
        <w:spacing w:line="312" w:lineRule="auto"/>
        <w:rPr>
          <w:rFonts w:asciiTheme="minorHAnsi" w:hAnsiTheme="minorHAnsi" w:cstheme="minorHAnsi"/>
        </w:rPr>
      </w:pPr>
      <w:r w:rsidRPr="00871656">
        <w:rPr>
          <w:rFonts w:asciiTheme="minorHAnsi" w:hAnsiTheme="minorHAnsi" w:cstheme="minorHAnsi"/>
        </w:rPr>
        <w:t>carry out investigations, research and inquiries relating to discrimination</w:t>
      </w:r>
      <w:r w:rsidR="007C71D2">
        <w:rPr>
          <w:rFonts w:asciiTheme="minorHAnsi" w:hAnsiTheme="minorHAnsi" w:cstheme="minorHAnsi"/>
        </w:rPr>
        <w:t>;</w:t>
      </w:r>
      <w:r w:rsidRPr="00871656">
        <w:rPr>
          <w:rStyle w:val="FootnoteReference"/>
          <w:rFonts w:asciiTheme="minorHAnsi" w:hAnsiTheme="minorHAnsi" w:cstheme="minorHAnsi"/>
        </w:rPr>
        <w:footnoteReference w:id="62"/>
      </w:r>
      <w:r w:rsidRPr="00871656">
        <w:rPr>
          <w:rFonts w:asciiTheme="minorHAnsi" w:hAnsiTheme="minorHAnsi" w:cstheme="minorHAnsi"/>
        </w:rPr>
        <w:t xml:space="preserve"> </w:t>
      </w:r>
      <w:r w:rsidR="00487EA9" w:rsidRPr="00871656">
        <w:rPr>
          <w:rFonts w:asciiTheme="minorHAnsi" w:hAnsiTheme="minorHAnsi" w:cstheme="minorHAnsi"/>
        </w:rPr>
        <w:t xml:space="preserve">and </w:t>
      </w:r>
    </w:p>
    <w:p w14:paraId="26015691" w14:textId="5A436C04" w:rsidR="00606251" w:rsidRPr="00871656" w:rsidRDefault="0028463D" w:rsidP="008A3ECE">
      <w:pPr>
        <w:pStyle w:val="BodyText"/>
        <w:numPr>
          <w:ilvl w:val="0"/>
          <w:numId w:val="25"/>
        </w:numPr>
        <w:spacing w:line="312" w:lineRule="auto"/>
        <w:rPr>
          <w:rFonts w:asciiTheme="minorHAnsi" w:hAnsiTheme="minorHAnsi" w:cstheme="minorHAnsi"/>
        </w:rPr>
      </w:pPr>
      <w:r w:rsidRPr="00871656">
        <w:rPr>
          <w:rFonts w:asciiTheme="minorHAnsi" w:hAnsiTheme="minorHAnsi" w:cstheme="minorHAnsi"/>
        </w:rPr>
        <w:t xml:space="preserve">refer </w:t>
      </w:r>
      <w:r w:rsidR="00A0187A" w:rsidRPr="00871656">
        <w:rPr>
          <w:rFonts w:asciiTheme="minorHAnsi" w:hAnsiTheme="minorHAnsi" w:cstheme="minorHAnsi"/>
        </w:rPr>
        <w:t xml:space="preserve">complaints directly </w:t>
      </w:r>
      <w:r w:rsidRPr="00871656">
        <w:rPr>
          <w:rFonts w:asciiTheme="minorHAnsi" w:hAnsiTheme="minorHAnsi" w:cstheme="minorHAnsi"/>
        </w:rPr>
        <w:t>to the NSW Civil and Administrative Tribunal</w:t>
      </w:r>
      <w:r w:rsidR="00C30F2F">
        <w:rPr>
          <w:rFonts w:asciiTheme="minorHAnsi" w:hAnsiTheme="minorHAnsi" w:cstheme="minorHAnsi"/>
        </w:rPr>
        <w:t>.</w:t>
      </w:r>
      <w:r w:rsidR="0029355E" w:rsidRPr="00871656">
        <w:rPr>
          <w:rStyle w:val="FootnoteReference"/>
          <w:rFonts w:asciiTheme="minorHAnsi" w:hAnsiTheme="minorHAnsi" w:cstheme="minorHAnsi"/>
        </w:rPr>
        <w:footnoteReference w:id="63"/>
      </w:r>
    </w:p>
    <w:p w14:paraId="22A0E4ED" w14:textId="47D22999" w:rsidR="00E60519" w:rsidRPr="00871656" w:rsidRDefault="00C30F2F" w:rsidP="008A3ECE">
      <w:pPr>
        <w:pStyle w:val="BodyText"/>
        <w:spacing w:line="312" w:lineRule="auto"/>
        <w:rPr>
          <w:rFonts w:asciiTheme="minorHAnsi" w:hAnsiTheme="minorHAnsi" w:cstheme="minorHAnsi"/>
        </w:rPr>
      </w:pPr>
      <w:r>
        <w:rPr>
          <w:rFonts w:asciiTheme="minorHAnsi" w:hAnsiTheme="minorHAnsi" w:cstheme="minorHAnsi"/>
        </w:rPr>
        <w:t>However, i</w:t>
      </w:r>
      <w:r w:rsidR="0029355E" w:rsidRPr="00871656">
        <w:rPr>
          <w:rFonts w:asciiTheme="minorHAnsi" w:hAnsiTheme="minorHAnsi" w:cstheme="minorHAnsi"/>
        </w:rPr>
        <w:t xml:space="preserve">t would be important to review the functions and powers of </w:t>
      </w:r>
      <w:r w:rsidR="00F26351" w:rsidRPr="00871656">
        <w:rPr>
          <w:rFonts w:asciiTheme="minorHAnsi" w:hAnsiTheme="minorHAnsi" w:cstheme="minorHAnsi"/>
        </w:rPr>
        <w:t>AD</w:t>
      </w:r>
      <w:r w:rsidR="0029355E" w:rsidRPr="00871656">
        <w:rPr>
          <w:rFonts w:asciiTheme="minorHAnsi" w:hAnsiTheme="minorHAnsi" w:cstheme="minorHAnsi"/>
        </w:rPr>
        <w:t xml:space="preserve">NSW considering recommendations made in this submission </w:t>
      </w:r>
      <w:r w:rsidR="007B14D4">
        <w:rPr>
          <w:rFonts w:asciiTheme="minorHAnsi" w:hAnsiTheme="minorHAnsi" w:cstheme="minorHAnsi"/>
        </w:rPr>
        <w:t>to</w:t>
      </w:r>
      <w:r w:rsidR="0029355E" w:rsidRPr="00871656">
        <w:rPr>
          <w:rFonts w:asciiTheme="minorHAnsi" w:hAnsiTheme="minorHAnsi" w:cstheme="minorHAnsi"/>
        </w:rPr>
        <w:t xml:space="preserve"> orientate the ADA explicitly towards ending </w:t>
      </w:r>
      <w:r w:rsidR="0029355E" w:rsidRPr="00663A7B">
        <w:rPr>
          <w:rFonts w:asciiTheme="minorHAnsi" w:hAnsiTheme="minorHAnsi" w:cstheme="minorHAnsi"/>
        </w:rPr>
        <w:t>systemic discrimination</w:t>
      </w:r>
      <w:r w:rsidR="0029355E" w:rsidRPr="009A6166">
        <w:rPr>
          <w:rFonts w:asciiTheme="minorHAnsi" w:hAnsiTheme="minorHAnsi" w:cstheme="minorHAnsi"/>
        </w:rPr>
        <w:t xml:space="preserve">, </w:t>
      </w:r>
      <w:r w:rsidR="0029355E" w:rsidRPr="00663A7B">
        <w:rPr>
          <w:rFonts w:asciiTheme="minorHAnsi" w:hAnsiTheme="minorHAnsi" w:cstheme="minorHAnsi"/>
        </w:rPr>
        <w:t>preventing discrimination</w:t>
      </w:r>
      <w:r w:rsidR="0029355E" w:rsidRPr="009A6166">
        <w:rPr>
          <w:rFonts w:asciiTheme="minorHAnsi" w:hAnsiTheme="minorHAnsi" w:cstheme="minorHAnsi"/>
        </w:rPr>
        <w:t xml:space="preserve">, and </w:t>
      </w:r>
      <w:r w:rsidR="0029355E" w:rsidRPr="00663A7B">
        <w:rPr>
          <w:rFonts w:asciiTheme="minorHAnsi" w:hAnsiTheme="minorHAnsi" w:cstheme="minorHAnsi"/>
        </w:rPr>
        <w:t>changing community attitudes</w:t>
      </w:r>
      <w:r w:rsidR="0029355E" w:rsidRPr="009A6166">
        <w:rPr>
          <w:rFonts w:asciiTheme="minorHAnsi" w:hAnsiTheme="minorHAnsi" w:cstheme="minorHAnsi"/>
        </w:rPr>
        <w:t>.</w:t>
      </w:r>
      <w:r w:rsidR="0029355E" w:rsidRPr="00871656">
        <w:rPr>
          <w:rFonts w:asciiTheme="minorHAnsi" w:hAnsiTheme="minorHAnsi" w:cstheme="minorHAnsi"/>
        </w:rPr>
        <w:t xml:space="preserve"> </w:t>
      </w:r>
    </w:p>
    <w:p w14:paraId="571F8FCF" w14:textId="03B839F5" w:rsidR="00A0187A" w:rsidRPr="00871656" w:rsidRDefault="0029355E" w:rsidP="008A3ECE">
      <w:pPr>
        <w:pStyle w:val="BodyText"/>
        <w:spacing w:line="312" w:lineRule="auto"/>
        <w:rPr>
          <w:rFonts w:asciiTheme="minorHAnsi" w:hAnsiTheme="minorHAnsi" w:cstheme="minorHAnsi"/>
        </w:rPr>
      </w:pPr>
      <w:r w:rsidRPr="00871656">
        <w:rPr>
          <w:rFonts w:asciiTheme="minorHAnsi" w:hAnsiTheme="minorHAnsi" w:cstheme="minorHAnsi"/>
        </w:rPr>
        <w:lastRenderedPageBreak/>
        <w:t xml:space="preserve">Such changes </w:t>
      </w:r>
      <w:r w:rsidR="00273A1A">
        <w:rPr>
          <w:rFonts w:asciiTheme="minorHAnsi" w:hAnsiTheme="minorHAnsi" w:cstheme="minorHAnsi"/>
        </w:rPr>
        <w:t xml:space="preserve">or adjustments </w:t>
      </w:r>
      <w:r w:rsidRPr="00871656">
        <w:rPr>
          <w:rFonts w:asciiTheme="minorHAnsi" w:hAnsiTheme="minorHAnsi" w:cstheme="minorHAnsi"/>
        </w:rPr>
        <w:t>in powers</w:t>
      </w:r>
      <w:r w:rsidR="00273A1A">
        <w:rPr>
          <w:rFonts w:asciiTheme="minorHAnsi" w:hAnsiTheme="minorHAnsi" w:cstheme="minorHAnsi"/>
        </w:rPr>
        <w:t xml:space="preserve"> or functions</w:t>
      </w:r>
      <w:r w:rsidRPr="00871656">
        <w:rPr>
          <w:rFonts w:asciiTheme="minorHAnsi" w:hAnsiTheme="minorHAnsi" w:cstheme="minorHAnsi"/>
        </w:rPr>
        <w:t xml:space="preserve"> may include</w:t>
      </w:r>
      <w:r w:rsidR="00C30F2F">
        <w:rPr>
          <w:rFonts w:asciiTheme="minorHAnsi" w:hAnsiTheme="minorHAnsi" w:cstheme="minorHAnsi"/>
        </w:rPr>
        <w:t>:</w:t>
      </w:r>
      <w:r w:rsidRPr="00871656">
        <w:rPr>
          <w:rFonts w:asciiTheme="minorHAnsi" w:hAnsiTheme="minorHAnsi" w:cstheme="minorHAnsi"/>
        </w:rPr>
        <w:t xml:space="preserve"> </w:t>
      </w:r>
    </w:p>
    <w:p w14:paraId="1B9843E5" w14:textId="19F9C148" w:rsidR="00A0187A" w:rsidRPr="00871656" w:rsidRDefault="0029355E" w:rsidP="008A3ECE">
      <w:pPr>
        <w:pStyle w:val="BodyText"/>
        <w:numPr>
          <w:ilvl w:val="0"/>
          <w:numId w:val="24"/>
        </w:numPr>
        <w:spacing w:line="312" w:lineRule="auto"/>
        <w:rPr>
          <w:rFonts w:asciiTheme="minorHAnsi" w:hAnsiTheme="minorHAnsi" w:cstheme="minorHAnsi"/>
        </w:rPr>
      </w:pPr>
      <w:r w:rsidRPr="00871656">
        <w:rPr>
          <w:rFonts w:asciiTheme="minorHAnsi" w:hAnsiTheme="minorHAnsi" w:cstheme="minorHAnsi"/>
        </w:rPr>
        <w:t>an enhanced investigative ability to include</w:t>
      </w:r>
      <w:r w:rsidR="00F26351" w:rsidRPr="00871656">
        <w:rPr>
          <w:rFonts w:asciiTheme="minorHAnsi" w:hAnsiTheme="minorHAnsi" w:cstheme="minorHAnsi"/>
        </w:rPr>
        <w:t xml:space="preserve"> </w:t>
      </w:r>
      <w:r w:rsidRPr="00871656">
        <w:rPr>
          <w:rFonts w:asciiTheme="minorHAnsi" w:hAnsiTheme="minorHAnsi" w:cstheme="minorHAnsi"/>
        </w:rPr>
        <w:t xml:space="preserve">suspected breaches of duties and suspected systemic </w:t>
      </w:r>
      <w:r w:rsidR="00A0187A" w:rsidRPr="00871656">
        <w:rPr>
          <w:rFonts w:asciiTheme="minorHAnsi" w:hAnsiTheme="minorHAnsi" w:cstheme="minorHAnsi"/>
        </w:rPr>
        <w:t>discrimination</w:t>
      </w:r>
      <w:r w:rsidR="007B1626">
        <w:rPr>
          <w:rFonts w:asciiTheme="minorHAnsi" w:hAnsiTheme="minorHAnsi" w:cstheme="minorHAnsi"/>
        </w:rPr>
        <w:t xml:space="preserve"> (independent of receiving a complaint)</w:t>
      </w:r>
    </w:p>
    <w:p w14:paraId="4ECC1832" w14:textId="518003EC" w:rsidR="00A0187A" w:rsidRPr="00871656" w:rsidRDefault="00487EA9" w:rsidP="008A3ECE">
      <w:pPr>
        <w:pStyle w:val="BodyText"/>
        <w:numPr>
          <w:ilvl w:val="0"/>
          <w:numId w:val="24"/>
        </w:numPr>
        <w:spacing w:line="312" w:lineRule="auto"/>
        <w:rPr>
          <w:rFonts w:asciiTheme="minorHAnsi" w:hAnsiTheme="minorHAnsi" w:cstheme="minorHAnsi"/>
        </w:rPr>
      </w:pPr>
      <w:r w:rsidRPr="00871656">
        <w:rPr>
          <w:rFonts w:asciiTheme="minorHAnsi" w:hAnsiTheme="minorHAnsi" w:cstheme="minorHAnsi"/>
        </w:rPr>
        <w:t>a</w:t>
      </w:r>
      <w:r w:rsidR="00E60519" w:rsidRPr="00871656">
        <w:rPr>
          <w:rFonts w:asciiTheme="minorHAnsi" w:hAnsiTheme="minorHAnsi" w:cstheme="minorHAnsi"/>
        </w:rPr>
        <w:t>n</w:t>
      </w:r>
      <w:r w:rsidRPr="00871656">
        <w:rPr>
          <w:rFonts w:asciiTheme="minorHAnsi" w:hAnsiTheme="minorHAnsi" w:cstheme="minorHAnsi"/>
        </w:rPr>
        <w:t xml:space="preserve"> </w:t>
      </w:r>
      <w:r w:rsidR="0029355E" w:rsidRPr="00871656">
        <w:rPr>
          <w:rFonts w:asciiTheme="minorHAnsi" w:hAnsiTheme="minorHAnsi" w:cstheme="minorHAnsi"/>
        </w:rPr>
        <w:t xml:space="preserve">enhanced </w:t>
      </w:r>
      <w:r w:rsidR="00E60519" w:rsidRPr="00871656">
        <w:rPr>
          <w:rFonts w:asciiTheme="minorHAnsi" w:hAnsiTheme="minorHAnsi" w:cstheme="minorHAnsi"/>
        </w:rPr>
        <w:t xml:space="preserve">and simplified </w:t>
      </w:r>
      <w:r w:rsidR="00F26351" w:rsidRPr="00871656">
        <w:rPr>
          <w:rFonts w:asciiTheme="minorHAnsi" w:hAnsiTheme="minorHAnsi" w:cstheme="minorHAnsi"/>
        </w:rPr>
        <w:t>ability</w:t>
      </w:r>
      <w:r w:rsidR="0029355E" w:rsidRPr="00871656">
        <w:rPr>
          <w:rFonts w:asciiTheme="minorHAnsi" w:hAnsiTheme="minorHAnsi" w:cstheme="minorHAnsi"/>
        </w:rPr>
        <w:t xml:space="preserve"> to refer cases directly to a Tribunal where breaches of duties are considered</w:t>
      </w:r>
      <w:r w:rsidR="007C71D2">
        <w:rPr>
          <w:rFonts w:asciiTheme="minorHAnsi" w:hAnsiTheme="minorHAnsi" w:cstheme="minorHAnsi"/>
        </w:rPr>
        <w:t>;</w:t>
      </w:r>
      <w:r w:rsidR="00D9583F" w:rsidRPr="00871656">
        <w:rPr>
          <w:rFonts w:asciiTheme="minorHAnsi" w:hAnsiTheme="minorHAnsi" w:cstheme="minorHAnsi"/>
        </w:rPr>
        <w:t xml:space="preserve"> and </w:t>
      </w:r>
    </w:p>
    <w:p w14:paraId="16E1C5FE" w14:textId="097DB093" w:rsidR="00EE7185" w:rsidRDefault="00D9583F" w:rsidP="008A3ECE">
      <w:pPr>
        <w:pStyle w:val="BodyText"/>
        <w:numPr>
          <w:ilvl w:val="0"/>
          <w:numId w:val="24"/>
        </w:numPr>
        <w:spacing w:line="312" w:lineRule="auto"/>
        <w:rPr>
          <w:rFonts w:asciiTheme="minorHAnsi" w:hAnsiTheme="minorHAnsi" w:cstheme="minorHAnsi"/>
        </w:rPr>
      </w:pPr>
      <w:r w:rsidRPr="00EE7185">
        <w:rPr>
          <w:rFonts w:asciiTheme="minorHAnsi" w:hAnsiTheme="minorHAnsi" w:cstheme="minorHAnsi"/>
        </w:rPr>
        <w:t xml:space="preserve">a renewed focus </w:t>
      </w:r>
      <w:r w:rsidR="00C60478">
        <w:rPr>
          <w:rFonts w:asciiTheme="minorHAnsi" w:hAnsiTheme="minorHAnsi" w:cstheme="minorHAnsi"/>
        </w:rPr>
        <w:t>on promoting inclusive communities</w:t>
      </w:r>
      <w:r w:rsidR="009D6D18">
        <w:rPr>
          <w:rFonts w:asciiTheme="minorHAnsi" w:hAnsiTheme="minorHAnsi" w:cstheme="minorHAnsi"/>
        </w:rPr>
        <w:t xml:space="preserve"> </w:t>
      </w:r>
      <w:r w:rsidR="00C60478">
        <w:rPr>
          <w:rFonts w:asciiTheme="minorHAnsi" w:hAnsiTheme="minorHAnsi" w:cstheme="minorHAnsi"/>
        </w:rPr>
        <w:t>through expanded</w:t>
      </w:r>
      <w:r w:rsidRPr="00EE7185">
        <w:rPr>
          <w:rFonts w:asciiTheme="minorHAnsi" w:hAnsiTheme="minorHAnsi" w:cstheme="minorHAnsi"/>
        </w:rPr>
        <w:t xml:space="preserve"> education</w:t>
      </w:r>
      <w:r w:rsidR="003473D4" w:rsidRPr="00EE7185">
        <w:rPr>
          <w:rFonts w:asciiTheme="minorHAnsi" w:hAnsiTheme="minorHAnsi" w:cstheme="minorHAnsi"/>
        </w:rPr>
        <w:t xml:space="preserve"> </w:t>
      </w:r>
      <w:r w:rsidR="00C60478">
        <w:rPr>
          <w:rFonts w:asciiTheme="minorHAnsi" w:hAnsiTheme="minorHAnsi" w:cstheme="minorHAnsi"/>
        </w:rPr>
        <w:t xml:space="preserve">and awareness campaigns </w:t>
      </w:r>
      <w:r w:rsidR="002565C8" w:rsidRPr="00EE7185">
        <w:rPr>
          <w:rFonts w:asciiTheme="minorHAnsi" w:hAnsiTheme="minorHAnsi" w:cstheme="minorHAnsi"/>
        </w:rPr>
        <w:t>on human rights</w:t>
      </w:r>
      <w:r w:rsidR="003565D5" w:rsidRPr="00EE7185">
        <w:rPr>
          <w:rFonts w:asciiTheme="minorHAnsi" w:hAnsiTheme="minorHAnsi" w:cstheme="minorHAnsi"/>
        </w:rPr>
        <w:t>,</w:t>
      </w:r>
      <w:r w:rsidR="002565C8" w:rsidRPr="00EE7185">
        <w:rPr>
          <w:rFonts w:asciiTheme="minorHAnsi" w:hAnsiTheme="minorHAnsi" w:cstheme="minorHAnsi"/>
        </w:rPr>
        <w:t xml:space="preserve"> inclusion</w:t>
      </w:r>
      <w:r w:rsidR="00D92694" w:rsidRPr="00EE7185">
        <w:rPr>
          <w:rFonts w:asciiTheme="minorHAnsi" w:hAnsiTheme="minorHAnsi" w:cstheme="minorHAnsi"/>
        </w:rPr>
        <w:t>,</w:t>
      </w:r>
      <w:r w:rsidR="003565D5" w:rsidRPr="00EE7185">
        <w:rPr>
          <w:rFonts w:asciiTheme="minorHAnsi" w:hAnsiTheme="minorHAnsi" w:cstheme="minorHAnsi"/>
        </w:rPr>
        <w:t xml:space="preserve"> and what positive duties mean</w:t>
      </w:r>
      <w:r w:rsidR="00EE7185">
        <w:rPr>
          <w:rFonts w:asciiTheme="minorHAnsi" w:hAnsiTheme="minorHAnsi" w:cstheme="minorHAnsi"/>
        </w:rPr>
        <w:t>.</w:t>
      </w:r>
    </w:p>
    <w:p w14:paraId="2D8E2ED6" w14:textId="6E75696D" w:rsidR="0029355E" w:rsidRPr="00EE7185" w:rsidRDefault="00E4736C" w:rsidP="008A3ECE">
      <w:pPr>
        <w:pStyle w:val="BodyText"/>
        <w:spacing w:line="312" w:lineRule="auto"/>
        <w:rPr>
          <w:rFonts w:asciiTheme="minorHAnsi" w:hAnsiTheme="minorHAnsi" w:cstheme="minorHAnsi"/>
        </w:rPr>
      </w:pPr>
      <w:r w:rsidRPr="00EE7185">
        <w:rPr>
          <w:rFonts w:asciiTheme="minorHAnsi" w:hAnsiTheme="minorHAnsi" w:cstheme="minorHAnsi"/>
        </w:rPr>
        <w:t xml:space="preserve">PWDA </w:t>
      </w:r>
      <w:r w:rsidR="003473D4" w:rsidRPr="00EE7185">
        <w:rPr>
          <w:rFonts w:asciiTheme="minorHAnsi" w:hAnsiTheme="minorHAnsi" w:cstheme="minorHAnsi"/>
        </w:rPr>
        <w:t xml:space="preserve">believes </w:t>
      </w:r>
      <w:r w:rsidR="00C30F2F" w:rsidRPr="00EE7185">
        <w:rPr>
          <w:rFonts w:asciiTheme="minorHAnsi" w:hAnsiTheme="minorHAnsi" w:cstheme="minorHAnsi"/>
        </w:rPr>
        <w:t xml:space="preserve">the </w:t>
      </w:r>
      <w:r w:rsidR="00487EA9" w:rsidRPr="00EE7185">
        <w:rPr>
          <w:rFonts w:asciiTheme="minorHAnsi" w:hAnsiTheme="minorHAnsi" w:cstheme="minorHAnsi"/>
        </w:rPr>
        <w:t xml:space="preserve">exact form of the powers of </w:t>
      </w:r>
      <w:r w:rsidR="00F26351" w:rsidRPr="00EE7185">
        <w:rPr>
          <w:rFonts w:asciiTheme="minorHAnsi" w:hAnsiTheme="minorHAnsi" w:cstheme="minorHAnsi"/>
        </w:rPr>
        <w:t>AD</w:t>
      </w:r>
      <w:r w:rsidR="00487EA9" w:rsidRPr="00EE7185">
        <w:rPr>
          <w:rFonts w:asciiTheme="minorHAnsi" w:hAnsiTheme="minorHAnsi" w:cstheme="minorHAnsi"/>
        </w:rPr>
        <w:t xml:space="preserve">NSW </w:t>
      </w:r>
      <w:r w:rsidR="007B1626" w:rsidRPr="00EE7185">
        <w:rPr>
          <w:rFonts w:asciiTheme="minorHAnsi" w:hAnsiTheme="minorHAnsi" w:cstheme="minorHAnsi"/>
        </w:rPr>
        <w:t>must</w:t>
      </w:r>
      <w:r w:rsidR="00487EA9" w:rsidRPr="00EE7185">
        <w:rPr>
          <w:rFonts w:asciiTheme="minorHAnsi" w:hAnsiTheme="minorHAnsi" w:cstheme="minorHAnsi"/>
        </w:rPr>
        <w:t xml:space="preserve"> form the basis of a future consultative process as part of this review.</w:t>
      </w:r>
    </w:p>
    <w:p w14:paraId="43318BD9" w14:textId="6078ADF9" w:rsidR="00487EA9" w:rsidRPr="00871656" w:rsidRDefault="007B1626" w:rsidP="008A3ECE">
      <w:pPr>
        <w:pStyle w:val="BodyText"/>
        <w:spacing w:line="312" w:lineRule="auto"/>
        <w:rPr>
          <w:rFonts w:asciiTheme="minorHAnsi" w:hAnsiTheme="minorHAnsi" w:cstheme="minorHAnsi"/>
        </w:rPr>
      </w:pPr>
      <w:r>
        <w:rPr>
          <w:rFonts w:asciiTheme="minorHAnsi" w:hAnsiTheme="minorHAnsi" w:cstheme="minorHAnsi"/>
        </w:rPr>
        <w:t>One</w:t>
      </w:r>
      <w:r w:rsidR="00C30F2F">
        <w:rPr>
          <w:rFonts w:asciiTheme="minorHAnsi" w:hAnsiTheme="minorHAnsi" w:cstheme="minorHAnsi"/>
        </w:rPr>
        <w:t xml:space="preserve"> of</w:t>
      </w:r>
      <w:r w:rsidR="00487EA9" w:rsidRPr="00871656">
        <w:rPr>
          <w:rFonts w:asciiTheme="minorHAnsi" w:hAnsiTheme="minorHAnsi" w:cstheme="minorHAnsi"/>
        </w:rPr>
        <w:t xml:space="preserve"> the biggest challenge</w:t>
      </w:r>
      <w:r w:rsidR="00C30F2F">
        <w:rPr>
          <w:rFonts w:asciiTheme="minorHAnsi" w:hAnsiTheme="minorHAnsi" w:cstheme="minorHAnsi"/>
        </w:rPr>
        <w:t>s</w:t>
      </w:r>
      <w:r w:rsidR="00487EA9" w:rsidRPr="00871656">
        <w:rPr>
          <w:rFonts w:asciiTheme="minorHAnsi" w:hAnsiTheme="minorHAnsi" w:cstheme="minorHAnsi"/>
        </w:rPr>
        <w:t xml:space="preserve"> </w:t>
      </w:r>
      <w:r>
        <w:rPr>
          <w:rFonts w:asciiTheme="minorHAnsi" w:hAnsiTheme="minorHAnsi" w:cstheme="minorHAnsi"/>
        </w:rPr>
        <w:t>facing the ability of</w:t>
      </w:r>
      <w:r w:rsidR="00487EA9" w:rsidRPr="00871656">
        <w:rPr>
          <w:rFonts w:asciiTheme="minorHAnsi" w:hAnsiTheme="minorHAnsi" w:cstheme="minorHAnsi"/>
        </w:rPr>
        <w:t xml:space="preserve"> </w:t>
      </w:r>
      <w:r w:rsidR="00F26351" w:rsidRPr="00871656">
        <w:rPr>
          <w:rFonts w:asciiTheme="minorHAnsi" w:hAnsiTheme="minorHAnsi" w:cstheme="minorHAnsi"/>
        </w:rPr>
        <w:t>AD</w:t>
      </w:r>
      <w:r w:rsidR="00487EA9" w:rsidRPr="00871656">
        <w:rPr>
          <w:rFonts w:asciiTheme="minorHAnsi" w:hAnsiTheme="minorHAnsi" w:cstheme="minorHAnsi"/>
        </w:rPr>
        <w:t xml:space="preserve">NSW to </w:t>
      </w:r>
      <w:r w:rsidR="00E60519" w:rsidRPr="00871656">
        <w:rPr>
          <w:rFonts w:asciiTheme="minorHAnsi" w:hAnsiTheme="minorHAnsi" w:cstheme="minorHAnsi"/>
        </w:rPr>
        <w:t>promote equality and justice</w:t>
      </w:r>
      <w:r w:rsidR="00487EA9" w:rsidRPr="00871656">
        <w:rPr>
          <w:rFonts w:asciiTheme="minorHAnsi" w:hAnsiTheme="minorHAnsi" w:cstheme="minorHAnsi"/>
        </w:rPr>
        <w:t xml:space="preserve"> is that it does not receive adequate funding to fully undertake its </w:t>
      </w:r>
      <w:r w:rsidR="00487EA9" w:rsidRPr="00871656">
        <w:rPr>
          <w:rFonts w:asciiTheme="minorHAnsi" w:hAnsiTheme="minorHAnsi" w:cstheme="minorHAnsi"/>
          <w:i/>
          <w:iCs/>
        </w:rPr>
        <w:t>existing</w:t>
      </w:r>
      <w:r w:rsidR="00487EA9" w:rsidRPr="00871656">
        <w:rPr>
          <w:rFonts w:asciiTheme="minorHAnsi" w:hAnsiTheme="minorHAnsi" w:cstheme="minorHAnsi"/>
        </w:rPr>
        <w:t xml:space="preserve"> functions.</w:t>
      </w:r>
      <w:r w:rsidR="001F4F13" w:rsidRPr="00871656">
        <w:rPr>
          <w:rFonts w:asciiTheme="minorHAnsi" w:hAnsiTheme="minorHAnsi" w:cstheme="minorHAnsi"/>
        </w:rPr>
        <w:t xml:space="preserve"> It has been estimated that </w:t>
      </w:r>
      <w:r w:rsidR="00F26351" w:rsidRPr="00871656">
        <w:rPr>
          <w:rFonts w:asciiTheme="minorHAnsi" w:hAnsiTheme="minorHAnsi" w:cstheme="minorHAnsi"/>
        </w:rPr>
        <w:t>AD</w:t>
      </w:r>
      <w:r w:rsidR="001F4F13" w:rsidRPr="00871656">
        <w:rPr>
          <w:rFonts w:asciiTheme="minorHAnsi" w:hAnsiTheme="minorHAnsi" w:cstheme="minorHAnsi"/>
        </w:rPr>
        <w:t xml:space="preserve">NSW has experienced a 24% </w:t>
      </w:r>
      <w:r w:rsidR="00E60519" w:rsidRPr="00871656">
        <w:rPr>
          <w:rFonts w:asciiTheme="minorHAnsi" w:hAnsiTheme="minorHAnsi" w:cstheme="minorHAnsi"/>
        </w:rPr>
        <w:t xml:space="preserve">budgetary </w:t>
      </w:r>
      <w:r w:rsidR="001F4F13" w:rsidRPr="00871656">
        <w:rPr>
          <w:rFonts w:asciiTheme="minorHAnsi" w:hAnsiTheme="minorHAnsi" w:cstheme="minorHAnsi"/>
        </w:rPr>
        <w:t>cut in r</w:t>
      </w:r>
      <w:r w:rsidR="00487EA9" w:rsidRPr="00871656">
        <w:rPr>
          <w:rFonts w:asciiTheme="minorHAnsi" w:hAnsiTheme="minorHAnsi" w:cstheme="minorHAnsi"/>
        </w:rPr>
        <w:t>e</w:t>
      </w:r>
      <w:r w:rsidR="001F4F13" w:rsidRPr="00871656">
        <w:rPr>
          <w:rFonts w:asciiTheme="minorHAnsi" w:hAnsiTheme="minorHAnsi" w:cstheme="minorHAnsi"/>
        </w:rPr>
        <w:t xml:space="preserve">al terms in </w:t>
      </w:r>
      <w:r w:rsidR="00E60519" w:rsidRPr="00871656">
        <w:rPr>
          <w:rFonts w:asciiTheme="minorHAnsi" w:hAnsiTheme="minorHAnsi" w:cstheme="minorHAnsi"/>
        </w:rPr>
        <w:t>the</w:t>
      </w:r>
      <w:r w:rsidR="001F4F13" w:rsidRPr="00871656">
        <w:rPr>
          <w:rFonts w:asciiTheme="minorHAnsi" w:hAnsiTheme="minorHAnsi" w:cstheme="minorHAnsi"/>
        </w:rPr>
        <w:t xml:space="preserve"> 10 years</w:t>
      </w:r>
      <w:r w:rsidR="00487EA9" w:rsidRPr="00871656">
        <w:rPr>
          <w:rFonts w:asciiTheme="minorHAnsi" w:hAnsiTheme="minorHAnsi" w:cstheme="minorHAnsi"/>
        </w:rPr>
        <w:t xml:space="preserve"> </w:t>
      </w:r>
      <w:r w:rsidR="00E60519" w:rsidRPr="00871656">
        <w:rPr>
          <w:rFonts w:asciiTheme="minorHAnsi" w:hAnsiTheme="minorHAnsi" w:cstheme="minorHAnsi"/>
        </w:rPr>
        <w:t xml:space="preserve">to 2021 </w:t>
      </w:r>
      <w:r w:rsidR="00487EA9" w:rsidRPr="00871656">
        <w:rPr>
          <w:rFonts w:asciiTheme="minorHAnsi" w:hAnsiTheme="minorHAnsi" w:cstheme="minorHAnsi"/>
        </w:rPr>
        <w:t xml:space="preserve">and has a history of being understaffed </w:t>
      </w:r>
      <w:r w:rsidR="00E60519" w:rsidRPr="00871656">
        <w:rPr>
          <w:rFonts w:asciiTheme="minorHAnsi" w:hAnsiTheme="minorHAnsi" w:cstheme="minorHAnsi"/>
        </w:rPr>
        <w:t>to</w:t>
      </w:r>
      <w:r w:rsidR="00487EA9" w:rsidRPr="00871656">
        <w:rPr>
          <w:rFonts w:asciiTheme="minorHAnsi" w:hAnsiTheme="minorHAnsi" w:cstheme="minorHAnsi"/>
        </w:rPr>
        <w:t xml:space="preserve"> keep the budget in check.</w:t>
      </w:r>
      <w:r w:rsidR="00487EA9" w:rsidRPr="00871656">
        <w:rPr>
          <w:rStyle w:val="FootnoteReference"/>
          <w:rFonts w:asciiTheme="minorHAnsi" w:hAnsiTheme="minorHAnsi" w:cstheme="minorHAnsi"/>
        </w:rPr>
        <w:footnoteReference w:id="64"/>
      </w:r>
    </w:p>
    <w:p w14:paraId="328C5F59" w14:textId="77777777" w:rsidR="007B1626" w:rsidRDefault="00F26351" w:rsidP="008A3ECE">
      <w:pPr>
        <w:pStyle w:val="BodyText"/>
        <w:spacing w:line="312" w:lineRule="auto"/>
        <w:rPr>
          <w:rFonts w:asciiTheme="minorHAnsi" w:hAnsiTheme="minorHAnsi" w:cstheme="minorHAnsi"/>
        </w:rPr>
      </w:pPr>
      <w:r w:rsidRPr="00871656">
        <w:rPr>
          <w:rFonts w:asciiTheme="minorHAnsi" w:hAnsiTheme="minorHAnsi" w:cstheme="minorHAnsi"/>
        </w:rPr>
        <w:t>ADNSW</w:t>
      </w:r>
      <w:r w:rsidR="00487EA9" w:rsidRPr="00871656">
        <w:rPr>
          <w:rFonts w:asciiTheme="minorHAnsi" w:hAnsiTheme="minorHAnsi" w:cstheme="minorHAnsi"/>
        </w:rPr>
        <w:t xml:space="preserve"> must receive</w:t>
      </w:r>
      <w:r w:rsidR="00E60519" w:rsidRPr="00871656">
        <w:rPr>
          <w:rFonts w:asciiTheme="minorHAnsi" w:hAnsiTheme="minorHAnsi" w:cstheme="minorHAnsi"/>
        </w:rPr>
        <w:t xml:space="preserve"> an appropriate level of</w:t>
      </w:r>
      <w:r w:rsidR="00487EA9" w:rsidRPr="00871656">
        <w:rPr>
          <w:rFonts w:asciiTheme="minorHAnsi" w:hAnsiTheme="minorHAnsi" w:cstheme="minorHAnsi"/>
        </w:rPr>
        <w:t xml:space="preserve"> funding that enables it to exercise </w:t>
      </w:r>
      <w:r w:rsidR="00E60519" w:rsidRPr="00871656">
        <w:rPr>
          <w:rFonts w:asciiTheme="minorHAnsi" w:hAnsiTheme="minorHAnsi" w:cstheme="minorHAnsi"/>
        </w:rPr>
        <w:t>all</w:t>
      </w:r>
      <w:r w:rsidR="00487EA9" w:rsidRPr="00871656">
        <w:rPr>
          <w:rFonts w:asciiTheme="minorHAnsi" w:hAnsiTheme="minorHAnsi" w:cstheme="minorHAnsi"/>
        </w:rPr>
        <w:t xml:space="preserve"> its functions and </w:t>
      </w:r>
      <w:r w:rsidR="00E60519" w:rsidRPr="00871656">
        <w:rPr>
          <w:rFonts w:asciiTheme="minorHAnsi" w:hAnsiTheme="minorHAnsi" w:cstheme="minorHAnsi"/>
        </w:rPr>
        <w:t xml:space="preserve">effectively </w:t>
      </w:r>
      <w:r w:rsidR="00487EA9" w:rsidRPr="00871656">
        <w:rPr>
          <w:rFonts w:asciiTheme="minorHAnsi" w:hAnsiTheme="minorHAnsi" w:cstheme="minorHAnsi"/>
        </w:rPr>
        <w:t>promote the aims and objectives of the ADA</w:t>
      </w:r>
      <w:r w:rsidR="007B1626">
        <w:rPr>
          <w:rFonts w:asciiTheme="minorHAnsi" w:hAnsiTheme="minorHAnsi" w:cstheme="minorHAnsi"/>
        </w:rPr>
        <w:t>, including those aims identified in this submission</w:t>
      </w:r>
      <w:r w:rsidR="00E60519" w:rsidRPr="00871656">
        <w:rPr>
          <w:rFonts w:asciiTheme="minorHAnsi" w:hAnsiTheme="minorHAnsi" w:cstheme="minorHAnsi"/>
        </w:rPr>
        <w:t xml:space="preserve">. </w:t>
      </w:r>
    </w:p>
    <w:p w14:paraId="49140AC6" w14:textId="41A358A4" w:rsidR="00487EA9" w:rsidRPr="00871656" w:rsidRDefault="00E60519" w:rsidP="008A3ECE">
      <w:pPr>
        <w:pStyle w:val="BodyText"/>
        <w:spacing w:line="312" w:lineRule="auto"/>
        <w:rPr>
          <w:rFonts w:asciiTheme="minorHAnsi" w:hAnsiTheme="minorHAnsi" w:cstheme="minorHAnsi"/>
        </w:rPr>
      </w:pPr>
      <w:r w:rsidRPr="00871656">
        <w:rPr>
          <w:rFonts w:asciiTheme="minorHAnsi" w:hAnsiTheme="minorHAnsi" w:cstheme="minorHAnsi"/>
        </w:rPr>
        <w:t>The extent of the necessary funding required by the ADA to achieve recommendations made in this submission for example must be the basis for a future consultative process as part of this review.</w:t>
      </w:r>
    </w:p>
    <w:p w14:paraId="414629BC" w14:textId="2244BDFD" w:rsidR="00E26783" w:rsidRDefault="00403837" w:rsidP="008A3ECE">
      <w:pPr>
        <w:pStyle w:val="Heading3"/>
        <w:spacing w:line="312" w:lineRule="auto"/>
      </w:pPr>
      <w:bookmarkStart w:id="104" w:name="_Toc146291289"/>
      <w:bookmarkStart w:id="105" w:name="_Toc146877535"/>
      <w:r>
        <w:t>R</w:t>
      </w:r>
      <w:r w:rsidR="00065E83" w:rsidRPr="00403837">
        <w:t>ecommendations</w:t>
      </w:r>
      <w:bookmarkEnd w:id="104"/>
      <w:bookmarkEnd w:id="105"/>
    </w:p>
    <w:p w14:paraId="0A117386" w14:textId="77777777" w:rsidR="00B2769D" w:rsidRDefault="00B2769D" w:rsidP="008A3ECE">
      <w:pPr>
        <w:spacing w:line="312" w:lineRule="auto"/>
        <w:rPr>
          <w:rFonts w:ascii="Arial" w:hAnsi="Arial" w:cs="Arial"/>
        </w:rPr>
      </w:pPr>
      <w:r w:rsidRPr="0069728F">
        <w:rPr>
          <w:rFonts w:ascii="Arial" w:hAnsi="Arial" w:cs="Arial"/>
          <w:b/>
          <w:bCs/>
        </w:rPr>
        <w:t xml:space="preserve">Recommendation 7 – </w:t>
      </w:r>
      <w:r w:rsidRPr="0069728F">
        <w:rPr>
          <w:rFonts w:ascii="Arial" w:hAnsi="Arial" w:cs="Arial"/>
        </w:rPr>
        <w:t xml:space="preserve">The ADA </w:t>
      </w:r>
      <w:r>
        <w:rPr>
          <w:rFonts w:ascii="Arial" w:hAnsi="Arial" w:cs="Arial"/>
        </w:rPr>
        <w:t>must</w:t>
      </w:r>
      <w:r w:rsidRPr="0069728F">
        <w:rPr>
          <w:rFonts w:ascii="Arial" w:hAnsi="Arial" w:cs="Arial"/>
        </w:rPr>
        <w:t xml:space="preserve"> include provisions guaranteeing</w:t>
      </w:r>
      <w:r>
        <w:rPr>
          <w:rFonts w:ascii="Arial" w:hAnsi="Arial" w:cs="Arial"/>
        </w:rPr>
        <w:t>:</w:t>
      </w:r>
    </w:p>
    <w:p w14:paraId="5A89845D" w14:textId="77777777" w:rsidR="00B2769D" w:rsidRDefault="00B2769D" w:rsidP="008A3ECE">
      <w:pPr>
        <w:pStyle w:val="ListParagraph"/>
        <w:numPr>
          <w:ilvl w:val="0"/>
          <w:numId w:val="33"/>
        </w:numPr>
        <w:spacing w:line="312" w:lineRule="auto"/>
        <w:rPr>
          <w:rFonts w:cs="Arial"/>
        </w:rPr>
      </w:pPr>
      <w:r w:rsidRPr="00B2769D">
        <w:rPr>
          <w:rFonts w:cs="Arial"/>
        </w:rPr>
        <w:t>independent fully funded decision</w:t>
      </w:r>
      <w:r>
        <w:rPr>
          <w:rFonts w:cs="Arial"/>
        </w:rPr>
        <w:t>-making</w:t>
      </w:r>
      <w:r w:rsidRPr="00B2769D">
        <w:rPr>
          <w:rFonts w:cs="Arial"/>
        </w:rPr>
        <w:t xml:space="preserve"> support services including support</w:t>
      </w:r>
      <w:r>
        <w:rPr>
          <w:rFonts w:cs="Arial"/>
        </w:rPr>
        <w:t xml:space="preserve">ed </w:t>
      </w:r>
      <w:r w:rsidRPr="00B2769D">
        <w:rPr>
          <w:rFonts w:cs="Arial"/>
        </w:rPr>
        <w:t>decision-making for complainants where needed</w:t>
      </w:r>
    </w:p>
    <w:p w14:paraId="68A7D5D3" w14:textId="046DD39B" w:rsidR="00B2769D" w:rsidRDefault="00B2769D" w:rsidP="008A3ECE">
      <w:pPr>
        <w:pStyle w:val="ListParagraph"/>
        <w:numPr>
          <w:ilvl w:val="0"/>
          <w:numId w:val="33"/>
        </w:numPr>
        <w:spacing w:line="312" w:lineRule="auto"/>
        <w:rPr>
          <w:rFonts w:cs="Arial"/>
        </w:rPr>
      </w:pPr>
      <w:r w:rsidRPr="00B2769D">
        <w:rPr>
          <w:rFonts w:cs="Arial"/>
        </w:rPr>
        <w:lastRenderedPageBreak/>
        <w:t>that decisions made through supported decision-making by the person requiring support are regarded at law as being those of the person requiring support</w:t>
      </w:r>
      <w:r w:rsidR="007C71D2">
        <w:rPr>
          <w:rFonts w:cs="Arial"/>
        </w:rPr>
        <w:t>;</w:t>
      </w:r>
      <w:r w:rsidRPr="00B2769D">
        <w:rPr>
          <w:rFonts w:cs="Arial"/>
        </w:rPr>
        <w:t xml:space="preserve"> and</w:t>
      </w:r>
    </w:p>
    <w:p w14:paraId="654458D9" w14:textId="39F95F58" w:rsidR="00B2769D" w:rsidRPr="00B2769D" w:rsidRDefault="00B2769D" w:rsidP="008A3ECE">
      <w:pPr>
        <w:pStyle w:val="ListParagraph"/>
        <w:numPr>
          <w:ilvl w:val="0"/>
          <w:numId w:val="33"/>
        </w:numPr>
        <w:spacing w:line="312" w:lineRule="auto"/>
        <w:rPr>
          <w:rFonts w:cs="Arial"/>
        </w:rPr>
      </w:pPr>
      <w:r w:rsidRPr="00B2769D">
        <w:rPr>
          <w:rFonts w:cs="Arial"/>
        </w:rPr>
        <w:t>that explanatory materials on the complaint process are made available in a variety of accessible formats, modalities and languages considering the diversity of disability.</w:t>
      </w:r>
    </w:p>
    <w:p w14:paraId="00E8B896" w14:textId="11723412" w:rsidR="001D5350" w:rsidRPr="001D5350" w:rsidRDefault="001D5350" w:rsidP="008A3ECE">
      <w:pPr>
        <w:spacing w:line="312" w:lineRule="auto"/>
        <w:rPr>
          <w:rFonts w:ascii="Arial" w:eastAsia="Arial" w:hAnsi="Arial" w:cs="Arial"/>
        </w:rPr>
      </w:pPr>
      <w:r w:rsidRPr="001D5350">
        <w:rPr>
          <w:rFonts w:ascii="Arial" w:eastAsia="Arial" w:hAnsi="Arial" w:cs="Arial"/>
          <w:b/>
          <w:bCs/>
        </w:rPr>
        <w:t>Recommendation 8</w:t>
      </w:r>
      <w:r w:rsidRPr="001D5350">
        <w:rPr>
          <w:rFonts w:ascii="Arial" w:eastAsia="Arial" w:hAnsi="Arial" w:cs="Arial"/>
        </w:rPr>
        <w:t xml:space="preserve"> – Legal Aid NSW and Community Legal Centres in NSW must be funded so that all persons experiencing discrimination can access assistance with legal tasks, advice, and critical representation when seeking to make a complaint under the ADA. </w:t>
      </w:r>
    </w:p>
    <w:p w14:paraId="7AFE128D" w14:textId="77777777" w:rsidR="001D5350" w:rsidRPr="001D5350" w:rsidRDefault="001D5350" w:rsidP="008A3ECE">
      <w:pPr>
        <w:spacing w:line="312" w:lineRule="auto"/>
        <w:rPr>
          <w:rFonts w:ascii="Arial" w:eastAsia="Arial" w:hAnsi="Arial" w:cs="Arial"/>
          <w:color w:val="000000"/>
          <w:lang w:val="en-US"/>
        </w:rPr>
      </w:pPr>
      <w:r w:rsidRPr="001D5350">
        <w:rPr>
          <w:rFonts w:ascii="Arial" w:eastAsia="Arial" w:hAnsi="Arial" w:cs="Arial"/>
          <w:b/>
          <w:bCs/>
          <w:color w:val="000000"/>
          <w:lang w:val="en-US"/>
        </w:rPr>
        <w:t xml:space="preserve">Recommendation 9 – </w:t>
      </w:r>
      <w:r w:rsidRPr="001D5350">
        <w:rPr>
          <w:rFonts w:ascii="Arial" w:eastAsia="Arial" w:hAnsi="Arial" w:cs="Arial"/>
          <w:color w:val="000000"/>
          <w:lang w:val="en-US"/>
        </w:rPr>
        <w:t>The powers of Anti-Discrimination NSW (or new body to administer the ADA) must be reviewed with an emphasis on strengthening its ability to identify, investigate, and challenge systemic discrimination independently of receiving a complaint. The body that administers the ADA must be provided with adequate funding to fully undertake its functions and meet the aims and objects of the new legislation including:</w:t>
      </w:r>
    </w:p>
    <w:p w14:paraId="001AB70B" w14:textId="77777777" w:rsidR="001D5350" w:rsidRPr="001D5350" w:rsidRDefault="001D5350" w:rsidP="008A3ECE">
      <w:pPr>
        <w:numPr>
          <w:ilvl w:val="0"/>
          <w:numId w:val="32"/>
        </w:numPr>
        <w:spacing w:before="0" w:after="160" w:line="312" w:lineRule="auto"/>
        <w:rPr>
          <w:rFonts w:ascii="Arial" w:eastAsia="Arial" w:hAnsi="Arial" w:cs="Arial"/>
          <w:color w:val="000000"/>
          <w:lang w:val="en-US"/>
        </w:rPr>
      </w:pPr>
      <w:r w:rsidRPr="001D5350">
        <w:rPr>
          <w:rFonts w:ascii="Arial" w:eastAsia="Arial" w:hAnsi="Arial" w:cs="Arial"/>
          <w:color w:val="000000"/>
          <w:lang w:val="en-US"/>
        </w:rPr>
        <w:t>an expanded rights awareness campaign</w:t>
      </w:r>
    </w:p>
    <w:p w14:paraId="1BECDDC4" w14:textId="49A3E677" w:rsidR="001D5350" w:rsidRPr="001D5350" w:rsidRDefault="001D5350" w:rsidP="008A3ECE">
      <w:pPr>
        <w:numPr>
          <w:ilvl w:val="0"/>
          <w:numId w:val="32"/>
        </w:numPr>
        <w:spacing w:before="0" w:after="160" w:line="312" w:lineRule="auto"/>
        <w:rPr>
          <w:rFonts w:ascii="Arial" w:eastAsia="Arial" w:hAnsi="Arial" w:cs="Arial"/>
          <w:color w:val="000000"/>
          <w:lang w:val="en-US"/>
        </w:rPr>
      </w:pPr>
      <w:r w:rsidRPr="001D5350">
        <w:rPr>
          <w:rFonts w:ascii="Arial" w:eastAsia="Arial" w:hAnsi="Arial" w:cs="Arial"/>
          <w:color w:val="000000"/>
          <w:lang w:val="en-US"/>
        </w:rPr>
        <w:t>the provision of a range decision-making supports</w:t>
      </w:r>
      <w:r w:rsidR="007C71D2">
        <w:rPr>
          <w:rFonts w:ascii="Arial" w:eastAsia="Arial" w:hAnsi="Arial" w:cs="Arial"/>
          <w:color w:val="000000"/>
          <w:lang w:val="en-US"/>
        </w:rPr>
        <w:t>;</w:t>
      </w:r>
      <w:r w:rsidRPr="001D5350">
        <w:rPr>
          <w:rFonts w:ascii="Arial" w:eastAsia="Arial" w:hAnsi="Arial" w:cs="Arial"/>
          <w:color w:val="000000"/>
          <w:lang w:val="en-US"/>
        </w:rPr>
        <w:t xml:space="preserve"> and </w:t>
      </w:r>
    </w:p>
    <w:p w14:paraId="2C337401" w14:textId="5701A62D" w:rsidR="00B2769D" w:rsidRPr="00B2769D" w:rsidRDefault="001D5350" w:rsidP="008A3ECE">
      <w:pPr>
        <w:numPr>
          <w:ilvl w:val="0"/>
          <w:numId w:val="32"/>
        </w:numPr>
        <w:spacing w:before="0" w:after="160" w:line="312" w:lineRule="auto"/>
        <w:rPr>
          <w:rFonts w:ascii="Arial" w:eastAsia="Arial" w:hAnsi="Arial" w:cs="Arial"/>
          <w:color w:val="000000"/>
          <w:lang w:val="en-US"/>
        </w:rPr>
      </w:pPr>
      <w:r w:rsidRPr="001D5350">
        <w:rPr>
          <w:rFonts w:ascii="Arial" w:eastAsia="Arial" w:hAnsi="Arial" w:cs="Arial"/>
          <w:color w:val="000000"/>
          <w:lang w:val="en-US"/>
        </w:rPr>
        <w:t>expanding direct information and assistance services aimed at improving access to justice for people who wish to make a discrimination complaint.</w:t>
      </w:r>
    </w:p>
    <w:p w14:paraId="69070DB4" w14:textId="77777777" w:rsidR="001D5350" w:rsidRPr="001D5350" w:rsidRDefault="001D5350" w:rsidP="008A3ECE">
      <w:pPr>
        <w:spacing w:line="312" w:lineRule="auto"/>
        <w:rPr>
          <w:rFonts w:ascii="Arial" w:eastAsia="Arial" w:hAnsi="Arial" w:cs="Arial"/>
          <w:color w:val="000000"/>
          <w:lang w:val="en-US"/>
        </w:rPr>
      </w:pPr>
      <w:r w:rsidRPr="001D5350">
        <w:rPr>
          <w:rFonts w:ascii="Arial" w:eastAsia="Arial" w:hAnsi="Arial" w:cs="Arial"/>
          <w:b/>
          <w:bCs/>
          <w:color w:val="000000"/>
          <w:lang w:val="en-US"/>
        </w:rPr>
        <w:t>Recommendation 10</w:t>
      </w:r>
      <w:r w:rsidRPr="001D5350">
        <w:rPr>
          <w:rFonts w:ascii="Arial" w:eastAsia="Arial" w:hAnsi="Arial" w:cs="Arial"/>
          <w:color w:val="000000"/>
          <w:lang w:val="en-US"/>
        </w:rPr>
        <w:t xml:space="preserve"> – The nature of the powers, functions, and budgetary requirements of Anti-Discrimination NSW (or the new body to administer the ADA) must be the basis for a future consultative process.</w:t>
      </w:r>
    </w:p>
    <w:p w14:paraId="05F4BBD8" w14:textId="77777777" w:rsidR="004F0DDE" w:rsidRDefault="004F0DDE" w:rsidP="008A3ECE">
      <w:pPr>
        <w:spacing w:line="312" w:lineRule="auto"/>
        <w:rPr>
          <w:rFonts w:cstheme="minorHAnsi"/>
          <w:b/>
          <w:bCs/>
        </w:rPr>
      </w:pPr>
    </w:p>
    <w:p w14:paraId="5ACB7A19" w14:textId="77777777" w:rsidR="008A3ECE" w:rsidRDefault="008A3ECE" w:rsidP="008A3ECE">
      <w:pPr>
        <w:spacing w:line="312" w:lineRule="auto"/>
        <w:rPr>
          <w:rFonts w:cstheme="minorHAnsi"/>
          <w:b/>
          <w:bCs/>
        </w:rPr>
      </w:pPr>
    </w:p>
    <w:p w14:paraId="54EE8364" w14:textId="77777777" w:rsidR="008A3ECE" w:rsidRDefault="008A3ECE" w:rsidP="008A3ECE">
      <w:pPr>
        <w:spacing w:line="312" w:lineRule="auto"/>
        <w:rPr>
          <w:rFonts w:cstheme="minorHAnsi"/>
          <w:b/>
          <w:bCs/>
        </w:rPr>
      </w:pPr>
    </w:p>
    <w:p w14:paraId="75844F5F" w14:textId="77777777" w:rsidR="008A3ECE" w:rsidRDefault="008A3ECE" w:rsidP="008A3ECE">
      <w:pPr>
        <w:spacing w:line="312" w:lineRule="auto"/>
        <w:rPr>
          <w:rFonts w:cstheme="minorHAnsi"/>
          <w:b/>
          <w:bCs/>
        </w:rPr>
      </w:pPr>
    </w:p>
    <w:p w14:paraId="0AB0C982" w14:textId="77777777" w:rsidR="0046233C" w:rsidRPr="00403837" w:rsidRDefault="0092052C" w:rsidP="008A3ECE">
      <w:pPr>
        <w:pStyle w:val="Heading1"/>
        <w:spacing w:line="312" w:lineRule="auto"/>
      </w:pPr>
      <w:bookmarkStart w:id="106" w:name="_Toc146877536"/>
      <w:r w:rsidRPr="00403837">
        <w:lastRenderedPageBreak/>
        <w:t>Conclusion</w:t>
      </w:r>
      <w:bookmarkEnd w:id="106"/>
    </w:p>
    <w:p w14:paraId="0B18C25D" w14:textId="2F6A40C8" w:rsidR="001B3611" w:rsidRPr="00871656" w:rsidRDefault="001A6854" w:rsidP="008A3ECE">
      <w:pPr>
        <w:pStyle w:val="BodyText"/>
        <w:spacing w:line="312" w:lineRule="auto"/>
        <w:rPr>
          <w:rFonts w:asciiTheme="minorHAnsi" w:eastAsiaTheme="majorEastAsia" w:hAnsiTheme="minorHAnsi" w:cstheme="minorHAnsi"/>
        </w:rPr>
      </w:pPr>
      <w:r w:rsidRPr="00871656">
        <w:rPr>
          <w:rFonts w:asciiTheme="minorHAnsi" w:hAnsiTheme="minorHAnsi" w:cstheme="minorHAnsi"/>
        </w:rPr>
        <w:t xml:space="preserve">PWDA submits that the purpose of </w:t>
      </w:r>
      <w:r w:rsidR="001D39FA" w:rsidRPr="00871656">
        <w:rPr>
          <w:rFonts w:asciiTheme="minorHAnsi" w:hAnsiTheme="minorHAnsi" w:cstheme="minorHAnsi"/>
        </w:rPr>
        <w:t>anti-discrimination laws</w:t>
      </w:r>
      <w:r w:rsidRPr="00871656">
        <w:rPr>
          <w:rFonts w:asciiTheme="minorHAnsi" w:hAnsiTheme="minorHAnsi" w:cstheme="minorHAnsi"/>
        </w:rPr>
        <w:t xml:space="preserve"> </w:t>
      </w:r>
      <w:r w:rsidR="0046233C" w:rsidRPr="00871656">
        <w:rPr>
          <w:rFonts w:asciiTheme="minorHAnsi" w:hAnsiTheme="minorHAnsi" w:cstheme="minorHAnsi"/>
        </w:rPr>
        <w:t xml:space="preserve">(regardless of type of discrimination) </w:t>
      </w:r>
      <w:r w:rsidRPr="00871656">
        <w:rPr>
          <w:rFonts w:asciiTheme="minorHAnsi" w:hAnsiTheme="minorHAnsi" w:cstheme="minorHAnsi"/>
        </w:rPr>
        <w:t>should be</w:t>
      </w:r>
      <w:r w:rsidR="00BB71A6">
        <w:rPr>
          <w:rFonts w:asciiTheme="minorHAnsi" w:hAnsiTheme="minorHAnsi" w:cstheme="minorHAnsi"/>
        </w:rPr>
        <w:t>:</w:t>
      </w:r>
    </w:p>
    <w:p w14:paraId="200C4B16" w14:textId="074916A7" w:rsidR="001B3611" w:rsidRPr="00871656" w:rsidRDefault="001A6854" w:rsidP="008A3ECE">
      <w:pPr>
        <w:pStyle w:val="ListParagraph"/>
        <w:numPr>
          <w:ilvl w:val="0"/>
          <w:numId w:val="16"/>
        </w:numPr>
        <w:spacing w:before="0" w:after="160" w:line="312" w:lineRule="auto"/>
        <w:rPr>
          <w:rFonts w:asciiTheme="minorHAnsi" w:eastAsia="Calibri" w:hAnsiTheme="minorHAnsi" w:cstheme="minorHAnsi"/>
          <w14:ligatures w14:val="standardContextual"/>
        </w:rPr>
      </w:pPr>
      <w:r w:rsidRPr="00871656">
        <w:rPr>
          <w:rFonts w:asciiTheme="minorHAnsi" w:eastAsia="Calibri" w:hAnsiTheme="minorHAnsi" w:cstheme="minorHAnsi"/>
          <w14:ligatures w14:val="standardContextual"/>
        </w:rPr>
        <w:t xml:space="preserve">the achievement of </w:t>
      </w:r>
      <w:r w:rsidR="0090199C" w:rsidRPr="00871656">
        <w:rPr>
          <w:rFonts w:asciiTheme="minorHAnsi" w:eastAsia="Calibri" w:hAnsiTheme="minorHAnsi" w:cstheme="minorHAnsi"/>
          <w14:ligatures w14:val="standardContextual"/>
        </w:rPr>
        <w:t xml:space="preserve">substantive </w:t>
      </w:r>
      <w:r w:rsidRPr="00871656">
        <w:rPr>
          <w:rFonts w:asciiTheme="minorHAnsi" w:eastAsia="Calibri" w:hAnsiTheme="minorHAnsi" w:cstheme="minorHAnsi"/>
          <w14:ligatures w14:val="standardContextual"/>
        </w:rPr>
        <w:t xml:space="preserve">equality </w:t>
      </w:r>
    </w:p>
    <w:p w14:paraId="78C9289E" w14:textId="50E48855" w:rsidR="001B3611" w:rsidRPr="00871656" w:rsidRDefault="001A6854" w:rsidP="008A3ECE">
      <w:pPr>
        <w:pStyle w:val="ListParagraph"/>
        <w:numPr>
          <w:ilvl w:val="0"/>
          <w:numId w:val="16"/>
        </w:numPr>
        <w:spacing w:before="0" w:after="160" w:line="312" w:lineRule="auto"/>
        <w:rPr>
          <w:rFonts w:asciiTheme="minorHAnsi" w:eastAsia="Calibri" w:hAnsiTheme="minorHAnsi" w:cstheme="minorHAnsi"/>
          <w14:ligatures w14:val="standardContextual"/>
        </w:rPr>
      </w:pPr>
      <w:r w:rsidRPr="00871656">
        <w:rPr>
          <w:rFonts w:asciiTheme="minorHAnsi" w:eastAsia="Calibri" w:hAnsiTheme="minorHAnsi" w:cstheme="minorHAnsi"/>
          <w14:ligatures w14:val="standardContextual"/>
        </w:rPr>
        <w:t>the elimination of discrimination</w:t>
      </w:r>
      <w:r w:rsidR="0090199C" w:rsidRPr="00871656">
        <w:rPr>
          <w:rFonts w:asciiTheme="minorHAnsi" w:eastAsia="Calibri" w:hAnsiTheme="minorHAnsi" w:cstheme="minorHAnsi"/>
          <w14:ligatures w14:val="standardContextual"/>
        </w:rPr>
        <w:t>, including systemic discrimination</w:t>
      </w:r>
      <w:r w:rsidR="001D39FA" w:rsidRPr="00871656">
        <w:rPr>
          <w:rStyle w:val="FootnoteReference"/>
          <w:rFonts w:asciiTheme="minorHAnsi" w:eastAsia="Calibri" w:hAnsiTheme="minorHAnsi" w:cstheme="minorHAnsi"/>
          <w14:ligatures w14:val="standardContextual"/>
        </w:rPr>
        <w:footnoteReference w:id="65"/>
      </w:r>
      <w:r w:rsidR="001B3611" w:rsidRPr="00871656">
        <w:rPr>
          <w:rFonts w:asciiTheme="minorHAnsi" w:eastAsia="Calibri" w:hAnsiTheme="minorHAnsi" w:cstheme="minorHAnsi"/>
          <w14:ligatures w14:val="standardContextual"/>
        </w:rPr>
        <w:t xml:space="preserve"> </w:t>
      </w:r>
    </w:p>
    <w:p w14:paraId="52880ACC" w14:textId="129B8031" w:rsidR="0046233C" w:rsidRPr="00871656" w:rsidRDefault="004442FF" w:rsidP="008A3ECE">
      <w:pPr>
        <w:pStyle w:val="ListParagraph"/>
        <w:numPr>
          <w:ilvl w:val="0"/>
          <w:numId w:val="16"/>
        </w:numPr>
        <w:spacing w:before="0" w:after="160" w:line="312" w:lineRule="auto"/>
        <w:rPr>
          <w:rFonts w:asciiTheme="minorHAnsi" w:eastAsia="Calibri" w:hAnsiTheme="minorHAnsi" w:cstheme="minorHAnsi"/>
          <w14:ligatures w14:val="standardContextual"/>
        </w:rPr>
      </w:pPr>
      <w:r w:rsidRPr="00871656">
        <w:rPr>
          <w:rFonts w:asciiTheme="minorHAnsi" w:eastAsia="Calibri" w:hAnsiTheme="minorHAnsi" w:cstheme="minorHAnsi"/>
          <w14:ligatures w14:val="standardContextual"/>
        </w:rPr>
        <w:t>t</w:t>
      </w:r>
      <w:r w:rsidR="004D4A75">
        <w:rPr>
          <w:rFonts w:asciiTheme="minorHAnsi" w:eastAsia="Calibri" w:hAnsiTheme="minorHAnsi" w:cstheme="minorHAnsi"/>
          <w14:ligatures w14:val="standardContextual"/>
        </w:rPr>
        <w:t xml:space="preserve">he development of </w:t>
      </w:r>
      <w:r w:rsidRPr="00871656">
        <w:rPr>
          <w:rFonts w:asciiTheme="minorHAnsi" w:eastAsia="Calibri" w:hAnsiTheme="minorHAnsi" w:cstheme="minorHAnsi"/>
          <w14:ligatures w14:val="standardContextual"/>
        </w:rPr>
        <w:t xml:space="preserve">a </w:t>
      </w:r>
      <w:r w:rsidR="0051585A" w:rsidRPr="00871656">
        <w:rPr>
          <w:rFonts w:asciiTheme="minorHAnsi" w:eastAsia="Calibri" w:hAnsiTheme="minorHAnsi" w:cstheme="minorHAnsi"/>
          <w14:ligatures w14:val="standardContextual"/>
        </w:rPr>
        <w:t>‘</w:t>
      </w:r>
      <w:r w:rsidRPr="00871656">
        <w:rPr>
          <w:rFonts w:asciiTheme="minorHAnsi" w:eastAsia="Calibri" w:hAnsiTheme="minorHAnsi" w:cstheme="minorHAnsi"/>
          <w14:ligatures w14:val="standardContextual"/>
        </w:rPr>
        <w:t>culture of prevention</w:t>
      </w:r>
      <w:r w:rsidR="00E30F51">
        <w:rPr>
          <w:rFonts w:asciiTheme="minorHAnsi" w:eastAsia="Calibri" w:hAnsiTheme="minorHAnsi" w:cstheme="minorHAnsi"/>
          <w14:ligatures w14:val="standardContextual"/>
        </w:rPr>
        <w:t>’</w:t>
      </w:r>
      <w:r w:rsidR="007C71D2">
        <w:rPr>
          <w:rFonts w:asciiTheme="minorHAnsi" w:eastAsia="Calibri" w:hAnsiTheme="minorHAnsi" w:cstheme="minorHAnsi"/>
          <w14:ligatures w14:val="standardContextual"/>
        </w:rPr>
        <w:t>;</w:t>
      </w:r>
      <w:r w:rsidR="0046233C" w:rsidRPr="00871656">
        <w:rPr>
          <w:rFonts w:asciiTheme="minorHAnsi" w:eastAsia="Calibri" w:hAnsiTheme="minorHAnsi" w:cstheme="minorHAnsi"/>
          <w14:ligatures w14:val="standardContextual"/>
        </w:rPr>
        <w:t xml:space="preserve"> and</w:t>
      </w:r>
      <w:r w:rsidR="006E174E">
        <w:rPr>
          <w:rFonts w:asciiTheme="minorHAnsi" w:eastAsia="Calibri" w:hAnsiTheme="minorHAnsi" w:cstheme="minorHAnsi"/>
          <w14:ligatures w14:val="standardContextual"/>
        </w:rPr>
        <w:t xml:space="preserve">        </w:t>
      </w:r>
    </w:p>
    <w:p w14:paraId="3FE31374" w14:textId="391114DB" w:rsidR="0046233C" w:rsidRPr="00871656" w:rsidRDefault="0046233C" w:rsidP="008A3ECE">
      <w:pPr>
        <w:pStyle w:val="ListParagraph"/>
        <w:numPr>
          <w:ilvl w:val="0"/>
          <w:numId w:val="16"/>
        </w:numPr>
        <w:spacing w:before="0" w:after="160" w:line="312" w:lineRule="auto"/>
        <w:rPr>
          <w:rFonts w:asciiTheme="minorHAnsi" w:eastAsia="Calibri" w:hAnsiTheme="minorHAnsi" w:cstheme="minorHAnsi"/>
          <w14:ligatures w14:val="standardContextual"/>
        </w:rPr>
      </w:pPr>
      <w:r w:rsidRPr="00871656">
        <w:rPr>
          <w:rFonts w:asciiTheme="minorHAnsi" w:eastAsia="Calibri" w:hAnsiTheme="minorHAnsi" w:cstheme="minorHAnsi"/>
          <w14:ligatures w14:val="standardContextual"/>
        </w:rPr>
        <w:t>to empower a person experiencing discrimination to take action</w:t>
      </w:r>
      <w:r w:rsidR="004B2179" w:rsidRPr="00871656">
        <w:rPr>
          <w:rFonts w:asciiTheme="minorHAnsi" w:eastAsia="Calibri" w:hAnsiTheme="minorHAnsi" w:cstheme="minorHAnsi"/>
          <w14:ligatures w14:val="standardContextual"/>
        </w:rPr>
        <w:t xml:space="preserve"> and advocate for themselves wherever possible.</w:t>
      </w:r>
    </w:p>
    <w:p w14:paraId="31622D73" w14:textId="22F28D9B" w:rsidR="004442FF" w:rsidRPr="00871656" w:rsidRDefault="00B306AC" w:rsidP="008A3ECE">
      <w:pPr>
        <w:spacing w:before="0" w:after="160" w:line="312" w:lineRule="auto"/>
        <w:rPr>
          <w:rFonts w:eastAsia="Calibri" w:cstheme="minorHAnsi"/>
          <w14:ligatures w14:val="standardContextual"/>
        </w:rPr>
      </w:pPr>
      <w:r w:rsidRPr="00871656">
        <w:rPr>
          <w:rFonts w:eastAsia="Calibri" w:cstheme="minorHAnsi"/>
          <w14:ligatures w14:val="standardContextual"/>
        </w:rPr>
        <w:t xml:space="preserve">Adopting a </w:t>
      </w:r>
      <w:r w:rsidR="004442FF" w:rsidRPr="00871656">
        <w:rPr>
          <w:rFonts w:eastAsia="Calibri" w:cstheme="minorHAnsi"/>
          <w14:ligatures w14:val="standardContextual"/>
        </w:rPr>
        <w:t>h</w:t>
      </w:r>
      <w:r w:rsidRPr="00871656">
        <w:rPr>
          <w:rFonts w:eastAsia="Calibri" w:cstheme="minorHAnsi"/>
          <w14:ligatures w14:val="standardContextual"/>
        </w:rPr>
        <w:t xml:space="preserve">uman </w:t>
      </w:r>
      <w:r w:rsidR="004442FF" w:rsidRPr="00871656">
        <w:rPr>
          <w:rFonts w:eastAsia="Calibri" w:cstheme="minorHAnsi"/>
          <w14:ligatures w14:val="standardContextual"/>
        </w:rPr>
        <w:t>r</w:t>
      </w:r>
      <w:r w:rsidRPr="00871656">
        <w:rPr>
          <w:rFonts w:eastAsia="Calibri" w:cstheme="minorHAnsi"/>
          <w14:ligatures w14:val="standardContextual"/>
        </w:rPr>
        <w:t xml:space="preserve">ights </w:t>
      </w:r>
      <w:r w:rsidR="00925221">
        <w:rPr>
          <w:rFonts w:eastAsia="Calibri" w:cstheme="minorHAnsi"/>
          <w14:ligatures w14:val="standardContextual"/>
        </w:rPr>
        <w:t>lens</w:t>
      </w:r>
      <w:r w:rsidRPr="00871656">
        <w:rPr>
          <w:rFonts w:eastAsia="Calibri" w:cstheme="minorHAnsi"/>
          <w14:ligatures w14:val="standardContextual"/>
        </w:rPr>
        <w:t xml:space="preserve"> to a review of the ADA </w:t>
      </w:r>
      <w:r w:rsidR="00DF179F" w:rsidRPr="00871656">
        <w:rPr>
          <w:rFonts w:eastAsia="Calibri" w:cstheme="minorHAnsi"/>
          <w14:ligatures w14:val="standardContextual"/>
        </w:rPr>
        <w:t>provide</w:t>
      </w:r>
      <w:r w:rsidR="006D0425" w:rsidRPr="00871656">
        <w:rPr>
          <w:rFonts w:eastAsia="Calibri" w:cstheme="minorHAnsi"/>
          <w14:ligatures w14:val="standardContextual"/>
        </w:rPr>
        <w:t>s</w:t>
      </w:r>
      <w:r w:rsidR="00DF179F" w:rsidRPr="00871656">
        <w:rPr>
          <w:rFonts w:eastAsia="Calibri" w:cstheme="minorHAnsi"/>
          <w14:ligatures w14:val="standardContextual"/>
        </w:rPr>
        <w:t xml:space="preserve"> </w:t>
      </w:r>
      <w:r w:rsidR="006D0425" w:rsidRPr="00871656">
        <w:rPr>
          <w:rFonts w:eastAsia="Calibri" w:cstheme="minorHAnsi"/>
          <w14:ligatures w14:val="standardContextual"/>
        </w:rPr>
        <w:t>an appropriate</w:t>
      </w:r>
      <w:r w:rsidR="00DF179F" w:rsidRPr="00871656">
        <w:rPr>
          <w:rFonts w:eastAsia="Calibri" w:cstheme="minorHAnsi"/>
          <w14:ligatures w14:val="standardContextual"/>
        </w:rPr>
        <w:t xml:space="preserve"> conceptual basis for ensuring</w:t>
      </w:r>
      <w:r w:rsidR="004442FF" w:rsidRPr="00871656">
        <w:rPr>
          <w:rFonts w:eastAsia="Calibri" w:cstheme="minorHAnsi"/>
          <w14:ligatures w14:val="standardContextual"/>
        </w:rPr>
        <w:t xml:space="preserve"> </w:t>
      </w:r>
      <w:r w:rsidR="00DF179F" w:rsidRPr="00871656">
        <w:rPr>
          <w:rFonts w:eastAsia="Calibri" w:cstheme="minorHAnsi"/>
          <w14:ligatures w14:val="standardContextual"/>
        </w:rPr>
        <w:t xml:space="preserve">the </w:t>
      </w:r>
      <w:r w:rsidR="004B2179" w:rsidRPr="00871656">
        <w:rPr>
          <w:rFonts w:eastAsia="Calibri" w:cstheme="minorHAnsi"/>
          <w14:ligatures w14:val="standardContextual"/>
        </w:rPr>
        <w:t>new Act can</w:t>
      </w:r>
      <w:r w:rsidR="0099251A" w:rsidRPr="00871656">
        <w:rPr>
          <w:rFonts w:eastAsia="Calibri" w:cstheme="minorHAnsi"/>
          <w14:ligatures w14:val="standardContextual"/>
        </w:rPr>
        <w:t xml:space="preserve"> achiev</w:t>
      </w:r>
      <w:r w:rsidR="004B2179" w:rsidRPr="00871656">
        <w:rPr>
          <w:rFonts w:eastAsia="Calibri" w:cstheme="minorHAnsi"/>
          <w14:ligatures w14:val="standardContextual"/>
        </w:rPr>
        <w:t>e</w:t>
      </w:r>
      <w:r w:rsidR="0099251A" w:rsidRPr="00871656">
        <w:rPr>
          <w:rFonts w:eastAsia="Calibri" w:cstheme="minorHAnsi"/>
          <w14:ligatures w14:val="standardContextual"/>
        </w:rPr>
        <w:t xml:space="preserve"> </w:t>
      </w:r>
      <w:r w:rsidR="003C7CBD">
        <w:rPr>
          <w:rFonts w:eastAsia="Calibri" w:cstheme="minorHAnsi"/>
          <w14:ligatures w14:val="standardContextual"/>
        </w:rPr>
        <w:t>these purposes</w:t>
      </w:r>
      <w:r w:rsidR="0099251A" w:rsidRPr="00871656">
        <w:rPr>
          <w:rFonts w:eastAsia="Calibri" w:cstheme="minorHAnsi"/>
          <w14:ligatures w14:val="standardContextual"/>
        </w:rPr>
        <w:t xml:space="preserve">. </w:t>
      </w:r>
      <w:r w:rsidR="004442FF" w:rsidRPr="00871656">
        <w:rPr>
          <w:rFonts w:eastAsia="Calibri" w:cstheme="minorHAnsi"/>
          <w14:ligatures w14:val="standardContextual"/>
        </w:rPr>
        <w:t>Introducing positive duties into the ADA to provide reasonable adjustment</w:t>
      </w:r>
      <w:r w:rsidR="006E567A">
        <w:rPr>
          <w:rFonts w:eastAsia="Calibri" w:cstheme="minorHAnsi"/>
          <w14:ligatures w14:val="standardContextual"/>
        </w:rPr>
        <w:t>s</w:t>
      </w:r>
      <w:r w:rsidR="004442FF" w:rsidRPr="00871656">
        <w:rPr>
          <w:rFonts w:eastAsia="Calibri" w:cstheme="minorHAnsi"/>
          <w14:ligatures w14:val="standardContextual"/>
        </w:rPr>
        <w:t xml:space="preserve"> and to prevent discrimination </w:t>
      </w:r>
      <w:r w:rsidR="0046233C" w:rsidRPr="00871656">
        <w:rPr>
          <w:rFonts w:eastAsia="Calibri" w:cstheme="minorHAnsi"/>
          <w14:ligatures w14:val="standardContextual"/>
        </w:rPr>
        <w:t xml:space="preserve">for example </w:t>
      </w:r>
      <w:r w:rsidR="004442FF" w:rsidRPr="00871656">
        <w:rPr>
          <w:rFonts w:eastAsia="Calibri" w:cstheme="minorHAnsi"/>
          <w14:ligatures w14:val="standardContextual"/>
        </w:rPr>
        <w:t>are two key strategies for achieving the purpose of anti</w:t>
      </w:r>
      <w:r w:rsidR="0046233C" w:rsidRPr="00871656">
        <w:rPr>
          <w:rFonts w:eastAsia="Calibri" w:cstheme="minorHAnsi"/>
          <w14:ligatures w14:val="standardContextual"/>
        </w:rPr>
        <w:t>-</w:t>
      </w:r>
      <w:r w:rsidR="004442FF" w:rsidRPr="00871656">
        <w:rPr>
          <w:rFonts w:eastAsia="Calibri" w:cstheme="minorHAnsi"/>
          <w14:ligatures w14:val="standardContextual"/>
        </w:rPr>
        <w:t>discrimination laws identified above</w:t>
      </w:r>
      <w:r w:rsidR="0046233C" w:rsidRPr="00871656">
        <w:rPr>
          <w:rFonts w:eastAsia="Calibri" w:cstheme="minorHAnsi"/>
          <w14:ligatures w14:val="standardContextual"/>
        </w:rPr>
        <w:t xml:space="preserve"> for people with disability</w:t>
      </w:r>
      <w:r w:rsidR="006E567A">
        <w:rPr>
          <w:rFonts w:eastAsia="Calibri" w:cstheme="minorHAnsi"/>
          <w14:ligatures w14:val="standardContextual"/>
        </w:rPr>
        <w:t>.</w:t>
      </w:r>
    </w:p>
    <w:p w14:paraId="209AEF2A" w14:textId="5A90CDD7" w:rsidR="0046233C" w:rsidRPr="00871656" w:rsidRDefault="004442FF" w:rsidP="008A3ECE">
      <w:pPr>
        <w:spacing w:before="0" w:after="160" w:line="312" w:lineRule="auto"/>
        <w:rPr>
          <w:rFonts w:eastAsia="Calibri" w:cstheme="minorHAnsi"/>
          <w14:ligatures w14:val="standardContextual"/>
        </w:rPr>
      </w:pPr>
      <w:r w:rsidRPr="00871656">
        <w:rPr>
          <w:rFonts w:eastAsia="Calibri" w:cstheme="minorHAnsi"/>
          <w14:ligatures w14:val="standardContextual"/>
        </w:rPr>
        <w:t xml:space="preserve">In conjunction with positive duties, the ADA </w:t>
      </w:r>
      <w:r w:rsidR="007B7BF4">
        <w:rPr>
          <w:rFonts w:eastAsia="Calibri" w:cstheme="minorHAnsi"/>
          <w14:ligatures w14:val="standardContextual"/>
        </w:rPr>
        <w:t>must</w:t>
      </w:r>
      <w:r w:rsidRPr="00871656">
        <w:rPr>
          <w:rFonts w:eastAsia="Calibri" w:cstheme="minorHAnsi"/>
          <w14:ligatures w14:val="standardContextual"/>
        </w:rPr>
        <w:t xml:space="preserve"> contain a clear reference to rights as identified in international </w:t>
      </w:r>
      <w:r w:rsidR="0046233C" w:rsidRPr="00871656">
        <w:rPr>
          <w:rFonts w:eastAsia="Calibri" w:cstheme="minorHAnsi"/>
          <w14:ligatures w14:val="standardContextual"/>
        </w:rPr>
        <w:t>instruments</w:t>
      </w:r>
      <w:r w:rsidRPr="00871656">
        <w:rPr>
          <w:rFonts w:eastAsia="Calibri" w:cstheme="minorHAnsi"/>
          <w14:ligatures w14:val="standardContextual"/>
        </w:rPr>
        <w:t xml:space="preserve"> such as the CRPD</w:t>
      </w:r>
      <w:r w:rsidR="0046233C" w:rsidRPr="00871656">
        <w:rPr>
          <w:rFonts w:eastAsia="Calibri" w:cstheme="minorHAnsi"/>
          <w14:ligatures w14:val="standardContextual"/>
        </w:rPr>
        <w:t xml:space="preserve">. It </w:t>
      </w:r>
      <w:r w:rsidR="007B7BF4">
        <w:rPr>
          <w:rFonts w:eastAsia="Calibri" w:cstheme="minorHAnsi"/>
          <w14:ligatures w14:val="standardContextual"/>
        </w:rPr>
        <w:t>must</w:t>
      </w:r>
      <w:r w:rsidR="0046233C" w:rsidRPr="00871656">
        <w:rPr>
          <w:rFonts w:eastAsia="Calibri" w:cstheme="minorHAnsi"/>
          <w14:ligatures w14:val="standardContextual"/>
        </w:rPr>
        <w:t xml:space="preserve"> provide clear pathways for action by a complainant, with easily accessible tools and resources to assist them in making a complaint.</w:t>
      </w:r>
      <w:r w:rsidR="00A5331D" w:rsidRPr="00871656">
        <w:rPr>
          <w:rFonts w:eastAsia="Calibri" w:cstheme="minorHAnsi"/>
          <w14:ligatures w14:val="standardContextual"/>
        </w:rPr>
        <w:t xml:space="preserve"> </w:t>
      </w:r>
      <w:r w:rsidR="0046233C" w:rsidRPr="00871656">
        <w:rPr>
          <w:rFonts w:eastAsia="Calibri" w:cstheme="minorHAnsi"/>
          <w14:ligatures w14:val="standardContextual"/>
        </w:rPr>
        <w:t xml:space="preserve">Anti-Discrimination </w:t>
      </w:r>
      <w:r w:rsidR="004B2179" w:rsidRPr="00871656">
        <w:rPr>
          <w:rFonts w:eastAsia="Calibri" w:cstheme="minorHAnsi"/>
          <w14:ligatures w14:val="standardContextual"/>
        </w:rPr>
        <w:t xml:space="preserve">NSW </w:t>
      </w:r>
      <w:r w:rsidR="0046233C" w:rsidRPr="00871656">
        <w:rPr>
          <w:rFonts w:eastAsia="Calibri" w:cstheme="minorHAnsi"/>
          <w14:ligatures w14:val="standardContextual"/>
        </w:rPr>
        <w:t>needs</w:t>
      </w:r>
      <w:r w:rsidR="006E567A">
        <w:rPr>
          <w:rFonts w:eastAsia="Calibri" w:cstheme="minorHAnsi"/>
          <w14:ligatures w14:val="standardContextual"/>
        </w:rPr>
        <w:t xml:space="preserve"> to </w:t>
      </w:r>
      <w:r w:rsidR="0046233C" w:rsidRPr="00871656">
        <w:rPr>
          <w:rFonts w:eastAsia="Calibri" w:cstheme="minorHAnsi"/>
          <w14:ligatures w14:val="standardContextual"/>
        </w:rPr>
        <w:t xml:space="preserve">be funded so that it can properly exercise its functions </w:t>
      </w:r>
      <w:r w:rsidR="004B2179" w:rsidRPr="00871656">
        <w:rPr>
          <w:rFonts w:eastAsia="Calibri" w:cstheme="minorHAnsi"/>
          <w14:ligatures w14:val="standardContextual"/>
        </w:rPr>
        <w:t>(particularly independent investigative functions)</w:t>
      </w:r>
      <w:r w:rsidR="006D0425" w:rsidRPr="00871656">
        <w:rPr>
          <w:rFonts w:eastAsia="Calibri" w:cstheme="minorHAnsi"/>
          <w14:ligatures w14:val="standardContextual"/>
        </w:rPr>
        <w:t xml:space="preserve"> </w:t>
      </w:r>
      <w:r w:rsidR="0046233C" w:rsidRPr="00871656">
        <w:rPr>
          <w:rFonts w:eastAsia="Calibri" w:cstheme="minorHAnsi"/>
          <w14:ligatures w14:val="standardContextual"/>
        </w:rPr>
        <w:t>and promote the objectives</w:t>
      </w:r>
      <w:r w:rsidR="006D0425" w:rsidRPr="00871656">
        <w:rPr>
          <w:rFonts w:eastAsia="Calibri" w:cstheme="minorHAnsi"/>
          <w14:ligatures w14:val="standardContextual"/>
        </w:rPr>
        <w:t xml:space="preserve"> of the Act.</w:t>
      </w:r>
      <w:r w:rsidR="0046233C" w:rsidRPr="00871656">
        <w:rPr>
          <w:rFonts w:eastAsia="Calibri" w:cstheme="minorHAnsi"/>
          <w14:ligatures w14:val="standardContextual"/>
        </w:rPr>
        <w:t xml:space="preserve"> </w:t>
      </w:r>
    </w:p>
    <w:p w14:paraId="0F9C8B02" w14:textId="59B9ECDC" w:rsidR="005623D4" w:rsidRPr="00871656" w:rsidRDefault="0046233C" w:rsidP="008A3ECE">
      <w:pPr>
        <w:spacing w:before="0" w:after="160" w:line="312" w:lineRule="auto"/>
        <w:rPr>
          <w:rFonts w:eastAsia="Calibri" w:cstheme="minorHAnsi"/>
          <w14:ligatures w14:val="standardContextual"/>
        </w:rPr>
        <w:sectPr w:rsidR="005623D4" w:rsidRPr="00871656" w:rsidSect="00CD4D83">
          <w:footerReference w:type="default" r:id="rId16"/>
          <w:pgSz w:w="11906" w:h="16838" w:code="9"/>
          <w:pgMar w:top="1701" w:right="1134" w:bottom="1928" w:left="1134" w:header="284" w:footer="510" w:gutter="0"/>
          <w:cols w:space="708"/>
          <w:docGrid w:linePitch="360"/>
        </w:sectPr>
      </w:pPr>
      <w:r w:rsidRPr="00871656">
        <w:rPr>
          <w:rFonts w:eastAsia="Calibri" w:cstheme="minorHAnsi"/>
          <w14:ligatures w14:val="standardContextual"/>
        </w:rPr>
        <w:t xml:space="preserve">A new ADA </w:t>
      </w:r>
      <w:r w:rsidR="001D363A">
        <w:rPr>
          <w:rFonts w:eastAsia="Calibri" w:cstheme="minorHAnsi"/>
          <w14:ligatures w14:val="standardContextual"/>
        </w:rPr>
        <w:t>informed by</w:t>
      </w:r>
      <w:r w:rsidR="00C9651B">
        <w:rPr>
          <w:rFonts w:eastAsia="Calibri" w:cstheme="minorHAnsi"/>
          <w14:ligatures w14:val="standardContextual"/>
        </w:rPr>
        <w:t xml:space="preserve"> a recognition of </w:t>
      </w:r>
      <w:r w:rsidR="001D363A">
        <w:rPr>
          <w:rFonts w:eastAsia="Calibri" w:cstheme="minorHAnsi"/>
          <w14:ligatures w14:val="standardContextual"/>
        </w:rPr>
        <w:t>human diversity and dignity</w:t>
      </w:r>
      <w:r w:rsidRPr="00871656">
        <w:rPr>
          <w:rFonts w:eastAsia="Calibri" w:cstheme="minorHAnsi"/>
          <w14:ligatures w14:val="standardContextual"/>
        </w:rPr>
        <w:t xml:space="preserve"> </w:t>
      </w:r>
      <w:r w:rsidR="001D363A">
        <w:rPr>
          <w:rFonts w:eastAsia="Calibri" w:cstheme="minorHAnsi"/>
          <w14:ligatures w14:val="standardContextual"/>
        </w:rPr>
        <w:t xml:space="preserve">will </w:t>
      </w:r>
      <w:r w:rsidRPr="00871656">
        <w:rPr>
          <w:rFonts w:eastAsia="Calibri" w:cstheme="minorHAnsi"/>
          <w14:ligatures w14:val="standardContextual"/>
        </w:rPr>
        <w:t xml:space="preserve">send a powerful signal to the community as </w:t>
      </w:r>
      <w:r w:rsidR="00CD1327">
        <w:rPr>
          <w:rFonts w:eastAsia="Calibri" w:cstheme="minorHAnsi"/>
          <w14:ligatures w14:val="standardContextual"/>
        </w:rPr>
        <w:t>to expected</w:t>
      </w:r>
      <w:r w:rsidRPr="00871656">
        <w:rPr>
          <w:rFonts w:eastAsia="Calibri" w:cstheme="minorHAnsi"/>
          <w14:ligatures w14:val="standardContextual"/>
        </w:rPr>
        <w:t xml:space="preserve"> </w:t>
      </w:r>
      <w:r w:rsidR="00941084" w:rsidRPr="00871656">
        <w:rPr>
          <w:rFonts w:eastAsia="Calibri" w:cstheme="minorHAnsi"/>
          <w14:ligatures w14:val="standardContextual"/>
        </w:rPr>
        <w:t>behaviour</w:t>
      </w:r>
      <w:r w:rsidR="00941084">
        <w:rPr>
          <w:rFonts w:eastAsia="Calibri" w:cstheme="minorHAnsi"/>
          <w14:ligatures w14:val="standardContextual"/>
        </w:rPr>
        <w:t xml:space="preserve"> and</w:t>
      </w:r>
      <w:r w:rsidRPr="00871656">
        <w:rPr>
          <w:rFonts w:eastAsia="Calibri" w:cstheme="minorHAnsi"/>
          <w14:ligatures w14:val="standardContextual"/>
        </w:rPr>
        <w:t xml:space="preserve"> </w:t>
      </w:r>
      <w:r w:rsidR="004B2179" w:rsidRPr="00871656">
        <w:rPr>
          <w:rFonts w:eastAsia="Calibri" w:cstheme="minorHAnsi"/>
          <w14:ligatures w14:val="standardContextual"/>
        </w:rPr>
        <w:t>influence</w:t>
      </w:r>
      <w:r w:rsidRPr="00871656">
        <w:rPr>
          <w:rFonts w:eastAsia="Calibri" w:cstheme="minorHAnsi"/>
          <w14:ligatures w14:val="standardContextual"/>
        </w:rPr>
        <w:t xml:space="preserve"> </w:t>
      </w:r>
      <w:r w:rsidR="006D0425" w:rsidRPr="00871656">
        <w:rPr>
          <w:rFonts w:eastAsia="Calibri" w:cstheme="minorHAnsi"/>
          <w14:ligatures w14:val="standardContextual"/>
        </w:rPr>
        <w:t>a</w:t>
      </w:r>
      <w:r w:rsidR="00D9583F" w:rsidRPr="00871656">
        <w:rPr>
          <w:rFonts w:eastAsia="Calibri" w:cstheme="minorHAnsi"/>
          <w14:ligatures w14:val="standardContextual"/>
        </w:rPr>
        <w:t xml:space="preserve"> </w:t>
      </w:r>
      <w:r w:rsidR="006D0425" w:rsidRPr="00871656">
        <w:rPr>
          <w:rFonts w:eastAsia="Calibri" w:cstheme="minorHAnsi"/>
          <w14:ligatures w14:val="standardContextual"/>
        </w:rPr>
        <w:t xml:space="preserve">cultural shift </w:t>
      </w:r>
      <w:r w:rsidR="00EC2CDC">
        <w:rPr>
          <w:rFonts w:eastAsia="Calibri" w:cstheme="minorHAnsi"/>
          <w14:ligatures w14:val="standardContextual"/>
        </w:rPr>
        <w:t xml:space="preserve">towards a </w:t>
      </w:r>
      <w:r w:rsidR="006D0425" w:rsidRPr="00871656">
        <w:rPr>
          <w:rFonts w:eastAsia="Calibri" w:cstheme="minorHAnsi"/>
          <w14:ligatures w14:val="standardContextual"/>
        </w:rPr>
        <w:t>society wher</w:t>
      </w:r>
      <w:r w:rsidR="006E567A">
        <w:rPr>
          <w:rFonts w:eastAsia="Calibri" w:cstheme="minorHAnsi"/>
          <w14:ligatures w14:val="standardContextual"/>
        </w:rPr>
        <w:t>e everyone</w:t>
      </w:r>
      <w:r w:rsidR="001D363A">
        <w:rPr>
          <w:rFonts w:eastAsia="Calibri" w:cstheme="minorHAnsi"/>
          <w14:ligatures w14:val="standardContextual"/>
        </w:rPr>
        <w:t xml:space="preserve">, in public </w:t>
      </w:r>
      <w:r w:rsidR="001D363A" w:rsidRPr="00CD1327">
        <w:rPr>
          <w:rFonts w:eastAsia="Calibri" w:cstheme="minorHAnsi"/>
          <w:i/>
          <w:iCs/>
          <w14:ligatures w14:val="standardContextual"/>
        </w:rPr>
        <w:t>and</w:t>
      </w:r>
      <w:r w:rsidR="001D363A">
        <w:rPr>
          <w:rFonts w:eastAsia="Calibri" w:cstheme="minorHAnsi"/>
          <w14:ligatures w14:val="standardContextual"/>
        </w:rPr>
        <w:t xml:space="preserve"> private life,</w:t>
      </w:r>
      <w:r w:rsidR="006E567A">
        <w:rPr>
          <w:rFonts w:eastAsia="Calibri" w:cstheme="minorHAnsi"/>
          <w14:ligatures w14:val="standardContextual"/>
        </w:rPr>
        <w:t xml:space="preserve"> </w:t>
      </w:r>
      <w:r w:rsidR="006D0425" w:rsidRPr="00871656">
        <w:rPr>
          <w:rFonts w:eastAsia="Calibri" w:cstheme="minorHAnsi"/>
          <w14:ligatures w14:val="standardContextual"/>
        </w:rPr>
        <w:t>contribute</w:t>
      </w:r>
      <w:r w:rsidR="006E567A">
        <w:rPr>
          <w:rFonts w:eastAsia="Calibri" w:cstheme="minorHAnsi"/>
          <w14:ligatures w14:val="standardContextual"/>
        </w:rPr>
        <w:t>s</w:t>
      </w:r>
      <w:r w:rsidR="006D0425" w:rsidRPr="00871656">
        <w:rPr>
          <w:rFonts w:eastAsia="Calibri" w:cstheme="minorHAnsi"/>
          <w14:ligatures w14:val="standardContextual"/>
        </w:rPr>
        <w:t xml:space="preserve"> to </w:t>
      </w:r>
      <w:r w:rsidR="00956ECB">
        <w:rPr>
          <w:rFonts w:eastAsia="Calibri" w:cstheme="minorHAnsi"/>
          <w14:ligatures w14:val="standardContextual"/>
        </w:rPr>
        <w:t xml:space="preserve">challenging and </w:t>
      </w:r>
      <w:r w:rsidR="006D0425" w:rsidRPr="00871656">
        <w:rPr>
          <w:rFonts w:eastAsia="Calibri" w:cstheme="minorHAnsi"/>
          <w14:ligatures w14:val="standardContextual"/>
        </w:rPr>
        <w:t>prevent</w:t>
      </w:r>
      <w:r w:rsidR="006E567A">
        <w:rPr>
          <w:rFonts w:eastAsia="Calibri" w:cstheme="minorHAnsi"/>
          <w14:ligatures w14:val="standardContextual"/>
        </w:rPr>
        <w:t>ing</w:t>
      </w:r>
      <w:r w:rsidR="006D0425" w:rsidRPr="00871656">
        <w:rPr>
          <w:rFonts w:eastAsia="Calibri" w:cstheme="minorHAnsi"/>
          <w14:ligatures w14:val="standardContextual"/>
        </w:rPr>
        <w:t xml:space="preserve"> discrimina</w:t>
      </w:r>
      <w:r w:rsidR="006E567A">
        <w:rPr>
          <w:rFonts w:eastAsia="Calibri" w:cstheme="minorHAnsi"/>
          <w14:ligatures w14:val="standardContextual"/>
        </w:rPr>
        <w:t>tion</w:t>
      </w:r>
      <w:r w:rsidR="00F63F3E">
        <w:rPr>
          <w:rFonts w:eastAsia="Calibri" w:cstheme="minorHAnsi"/>
          <w14:ligatures w14:val="standardContextual"/>
        </w:rPr>
        <w:t xml:space="preserve"> against people with disability</w:t>
      </w:r>
      <w:r w:rsidR="001D363A">
        <w:rPr>
          <w:rFonts w:eastAsia="Calibri" w:cstheme="minorHAnsi"/>
          <w14:ligatures w14:val="standardContextual"/>
        </w:rPr>
        <w:t>.</w:t>
      </w:r>
    </w:p>
    <w:p w14:paraId="5960C641" w14:textId="2F76044D" w:rsidR="000E2282" w:rsidRPr="00871656" w:rsidRDefault="006741BD" w:rsidP="00BA1B07">
      <w:pPr>
        <w:tabs>
          <w:tab w:val="left" w:pos="2327"/>
        </w:tabs>
        <w:spacing w:line="336" w:lineRule="auto"/>
        <w:rPr>
          <w:rFonts w:cstheme="minorHAnsi"/>
          <w:color w:val="000000"/>
          <w:sz w:val="20"/>
          <w:szCs w:val="20"/>
        </w:rPr>
      </w:pPr>
      <w:r w:rsidRPr="00871656">
        <w:rPr>
          <w:rFonts w:cstheme="minorHAnsi"/>
          <w:noProof/>
          <w:lang w:eastAsia="en-AU"/>
        </w:rPr>
        <w:lastRenderedPageBreak/>
        <w:drawing>
          <wp:anchor distT="0" distB="0" distL="114300" distR="114300" simplePos="0" relativeHeight="251664384" behindDoc="1" locked="1" layoutInCell="1" allowOverlap="1" wp14:anchorId="0A0E0F67" wp14:editId="3649D8CB">
            <wp:simplePos x="0" y="0"/>
            <wp:positionH relativeFrom="page">
              <wp:align>left</wp:align>
            </wp:positionH>
            <wp:positionV relativeFrom="page">
              <wp:align>bottom</wp:align>
            </wp:positionV>
            <wp:extent cx="7559675" cy="10690860"/>
            <wp:effectExtent l="0" t="0" r="317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r w:rsidR="000E2282" w:rsidRPr="00871656">
        <w:rPr>
          <w:rFonts w:cstheme="minorHAnsi"/>
          <w:color w:val="000000"/>
          <w:sz w:val="20"/>
          <w:szCs w:val="20"/>
        </w:rPr>
        <w:t>People with Disability Australia (PWDA) is a national disability rights and advocacy organisation made up of, and led by, people with disability.</w:t>
      </w:r>
    </w:p>
    <w:p w14:paraId="3B130FF8" w14:textId="18A9B1CE" w:rsidR="000E2282" w:rsidRPr="00871656" w:rsidRDefault="000E2282" w:rsidP="00BA1B07">
      <w:pPr>
        <w:tabs>
          <w:tab w:val="left" w:pos="2327"/>
        </w:tabs>
        <w:spacing w:line="336" w:lineRule="auto"/>
        <w:rPr>
          <w:rFonts w:cstheme="minorHAnsi"/>
        </w:rPr>
      </w:pPr>
      <w:r w:rsidRPr="00871656">
        <w:rPr>
          <w:rFonts w:cstheme="minorHAnsi"/>
          <w:color w:val="000000"/>
          <w:sz w:val="20"/>
          <w:szCs w:val="20"/>
        </w:rPr>
        <w:t>For individual advocacy support contact PWDA</w:t>
      </w:r>
      <w:r w:rsidRPr="00871656">
        <w:rPr>
          <w:rFonts w:cstheme="minorHAnsi"/>
          <w:b/>
          <w:bCs/>
          <w:color w:val="000000"/>
          <w:sz w:val="20"/>
          <w:szCs w:val="20"/>
        </w:rPr>
        <w:t xml:space="preserve"> </w:t>
      </w:r>
      <w:r w:rsidRPr="00871656">
        <w:rPr>
          <w:rFonts w:cstheme="minorHAnsi"/>
          <w:color w:val="000000"/>
          <w:sz w:val="20"/>
          <w:szCs w:val="20"/>
        </w:rPr>
        <w:t xml:space="preserve">between 9 am and 5 pm (AEST/AEDT) Monday to Friday via phone (toll free) on </w:t>
      </w:r>
      <w:r w:rsidRPr="00871656">
        <w:rPr>
          <w:rFonts w:cstheme="minorHAnsi"/>
          <w:b/>
          <w:bCs/>
          <w:color w:val="000000"/>
          <w:sz w:val="20"/>
          <w:szCs w:val="20"/>
        </w:rPr>
        <w:t xml:space="preserve">1800 843 929 </w:t>
      </w:r>
      <w:r w:rsidRPr="00871656">
        <w:rPr>
          <w:rFonts w:cstheme="minorHAnsi"/>
          <w:color w:val="000000"/>
          <w:sz w:val="20"/>
          <w:szCs w:val="20"/>
        </w:rPr>
        <w:t xml:space="preserve">or via email at </w:t>
      </w:r>
      <w:hyperlink r:id="rId18" w:history="1">
        <w:r w:rsidRPr="00871656">
          <w:rPr>
            <w:rStyle w:val="Hyperlink"/>
            <w:rFonts w:cstheme="minorHAnsi"/>
            <w:sz w:val="20"/>
            <w:szCs w:val="20"/>
          </w:rPr>
          <w:t>pwd@pwd.org.au</w:t>
        </w:r>
      </w:hyperlink>
      <w:r w:rsidRPr="00871656">
        <w:rPr>
          <w:rFonts w:cstheme="minorHAnsi"/>
          <w:color w:val="000000"/>
          <w:sz w:val="20"/>
          <w:szCs w:val="20"/>
        </w:rPr>
        <w:t xml:space="preserve"> </w:t>
      </w:r>
    </w:p>
    <w:p w14:paraId="7ADC4094" w14:textId="77777777" w:rsidR="000E2282" w:rsidRPr="00871656" w:rsidRDefault="000E2282" w:rsidP="00BA1B07">
      <w:pPr>
        <w:pStyle w:val="PWDAContacts"/>
        <w:spacing w:line="336" w:lineRule="auto"/>
        <w:rPr>
          <w:rFonts w:cstheme="minorHAnsi"/>
          <w:b/>
          <w:bCs/>
          <w:color w:val="000000"/>
          <w:szCs w:val="20"/>
        </w:rPr>
      </w:pPr>
      <w:r w:rsidRPr="00871656">
        <w:rPr>
          <w:rFonts w:cstheme="minorHAnsi"/>
          <w:b/>
          <w:bCs/>
          <w:color w:val="000000"/>
          <w:szCs w:val="20"/>
        </w:rPr>
        <w:t>Submission contact</w:t>
      </w:r>
    </w:p>
    <w:p w14:paraId="5247A7FD" w14:textId="77777777" w:rsidR="000E2282" w:rsidRPr="00871656" w:rsidRDefault="000E2282" w:rsidP="00BA1B07">
      <w:pPr>
        <w:pStyle w:val="PWDAContacts"/>
        <w:spacing w:line="336" w:lineRule="auto"/>
        <w:rPr>
          <w:rFonts w:cstheme="minorHAnsi"/>
          <w:color w:val="000000"/>
          <w:szCs w:val="20"/>
        </w:rPr>
      </w:pPr>
      <w:r w:rsidRPr="00871656">
        <w:rPr>
          <w:rFonts w:cstheme="minorHAnsi"/>
          <w:color w:val="000000"/>
          <w:szCs w:val="20"/>
        </w:rPr>
        <w:t>Giancarlo de Vera</w:t>
      </w:r>
    </w:p>
    <w:p w14:paraId="44AED580" w14:textId="77777777" w:rsidR="000E2282" w:rsidRPr="00871656" w:rsidRDefault="000E2282" w:rsidP="00BA1B07">
      <w:pPr>
        <w:pStyle w:val="PWDAContacts"/>
        <w:spacing w:line="336" w:lineRule="auto"/>
        <w:rPr>
          <w:rFonts w:cstheme="minorHAnsi"/>
          <w:color w:val="000000"/>
          <w:szCs w:val="20"/>
        </w:rPr>
      </w:pPr>
      <w:r w:rsidRPr="00871656">
        <w:rPr>
          <w:rFonts w:cstheme="minorHAnsi"/>
          <w:color w:val="000000"/>
          <w:szCs w:val="20"/>
        </w:rPr>
        <w:t>Senior Manager of Policy</w:t>
      </w:r>
    </w:p>
    <w:p w14:paraId="203382D2" w14:textId="7F9CF65A" w:rsidR="000E2282" w:rsidRPr="00871656" w:rsidRDefault="000E2282" w:rsidP="00BA1B07">
      <w:pPr>
        <w:pStyle w:val="PWDAContacts"/>
        <w:spacing w:line="336" w:lineRule="auto"/>
        <w:rPr>
          <w:rFonts w:cstheme="minorHAnsi"/>
          <w:b/>
          <w:bCs/>
          <w:color w:val="000000"/>
          <w:szCs w:val="20"/>
        </w:rPr>
      </w:pPr>
      <w:r w:rsidRPr="00871656">
        <w:rPr>
          <w:rFonts w:cstheme="minorHAnsi"/>
          <w:color w:val="000000"/>
          <w:szCs w:val="20"/>
        </w:rPr>
        <w:t xml:space="preserve">E: </w:t>
      </w:r>
      <w:hyperlink r:id="rId19" w:history="1">
        <w:r w:rsidRPr="00871656">
          <w:rPr>
            <w:rStyle w:val="Hyperlink"/>
            <w:rFonts w:cstheme="minorHAnsi"/>
            <w:bCs/>
            <w:szCs w:val="20"/>
          </w:rPr>
          <w:t>giancarlod@pwd.org.au</w:t>
        </w:r>
      </w:hyperlink>
      <w:r w:rsidRPr="00871656">
        <w:rPr>
          <w:rFonts w:cstheme="minorHAnsi"/>
          <w:b/>
          <w:bCs/>
          <w:color w:val="000000"/>
          <w:szCs w:val="20"/>
        </w:rPr>
        <w:t xml:space="preserve"> </w:t>
      </w:r>
    </w:p>
    <w:p w14:paraId="732E6A68" w14:textId="7ACD04FB" w:rsidR="00CB2E90" w:rsidRPr="00871656" w:rsidRDefault="00C8024E" w:rsidP="00BA1B07">
      <w:pPr>
        <w:pStyle w:val="Finalpagecontactinformation"/>
        <w:spacing w:line="336" w:lineRule="auto"/>
        <w:rPr>
          <w:rFonts w:asciiTheme="minorHAnsi" w:hAnsiTheme="minorHAnsi" w:cstheme="minorHAnsi"/>
        </w:rPr>
      </w:pPr>
      <w:r w:rsidRPr="00871656">
        <w:rPr>
          <w:rFonts w:asciiTheme="minorHAnsi" w:hAnsiTheme="minorHAnsi" w:cstheme="minorHAnsi"/>
        </w:rPr>
        <w:br/>
      </w:r>
    </w:p>
    <w:sectPr w:rsidR="00CB2E90" w:rsidRPr="00871656" w:rsidSect="00C02BFC">
      <w:headerReference w:type="default" r:id="rId20"/>
      <w:pgSz w:w="11906" w:h="16838" w:code="9"/>
      <w:pgMar w:top="2835" w:right="1134" w:bottom="1928" w:left="1134"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711E" w14:textId="77777777" w:rsidR="004836AF" w:rsidRDefault="004836AF" w:rsidP="00F1283C">
      <w:pPr>
        <w:spacing w:after="0" w:line="240" w:lineRule="auto"/>
      </w:pPr>
      <w:r>
        <w:separator/>
      </w:r>
    </w:p>
  </w:endnote>
  <w:endnote w:type="continuationSeparator" w:id="0">
    <w:p w14:paraId="7BDAA39C" w14:textId="77777777" w:rsidR="004836AF" w:rsidRDefault="004836AF" w:rsidP="00F1283C">
      <w:pPr>
        <w:spacing w:after="0" w:line="240" w:lineRule="auto"/>
      </w:pPr>
      <w:r>
        <w:continuationSeparator/>
      </w:r>
    </w:p>
  </w:endnote>
  <w:endnote w:type="continuationNotice" w:id="1">
    <w:p w14:paraId="2535CC39" w14:textId="77777777" w:rsidR="004836AF" w:rsidRDefault="004836A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panose1 w:val="02000403040000020004"/>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A448" w14:textId="5E78F198" w:rsidR="00AF4139" w:rsidRDefault="00AF4139" w:rsidP="009F10D8">
    <w:pPr>
      <w:pStyle w:val="Footer"/>
      <w:tabs>
        <w:tab w:val="clear" w:pos="4680"/>
        <w:tab w:val="clear" w:pos="9360"/>
        <w:tab w:val="right" w:pos="2835"/>
        <w:tab w:val="right" w:pos="8505"/>
        <w:tab w:val="right" w:pos="9639"/>
      </w:tabs>
      <w:jc w:val="right"/>
    </w:pPr>
    <w:r>
      <w:rPr>
        <w:noProof/>
        <w:lang w:eastAsia="en-AU"/>
      </w:rPr>
      <w:drawing>
        <wp:anchor distT="0" distB="0" distL="114300" distR="114300" simplePos="0" relativeHeight="251657728" behindDoc="0" locked="0" layoutInCell="1" allowOverlap="1" wp14:anchorId="595F086A" wp14:editId="2DD2C29F">
          <wp:simplePos x="0" y="0"/>
          <wp:positionH relativeFrom="column">
            <wp:posOffset>253249</wp:posOffset>
          </wp:positionH>
          <wp:positionV relativeFrom="paragraph">
            <wp:posOffset>-196907</wp:posOffset>
          </wp:positionV>
          <wp:extent cx="540328" cy="572697"/>
          <wp:effectExtent l="0" t="0" r="0" b="0"/>
          <wp:wrapNone/>
          <wp:docPr id="476021118" name="Picture 476021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40328" cy="572697"/>
                  </a:xfrm>
                  <a:prstGeom prst="rect">
                    <a:avLst/>
                  </a:prstGeom>
                </pic:spPr>
              </pic:pic>
            </a:graphicData>
          </a:graphic>
        </wp:anchor>
      </w:drawing>
    </w:r>
    <w:r w:rsidR="009F10D8">
      <w:rPr>
        <w:noProof/>
      </w:rPr>
      <w:fldChar w:fldCharType="begin"/>
    </w:r>
    <w:r w:rsidR="009F10D8">
      <w:rPr>
        <w:noProof/>
      </w:rPr>
      <w:instrText xml:space="preserve"> STYLEREF  "Heading 1"  \* MERGEFORMAT </w:instrText>
    </w:r>
    <w:r w:rsidR="009F10D8">
      <w:rPr>
        <w:noProof/>
      </w:rPr>
      <w:fldChar w:fldCharType="end"/>
    </w:r>
    <w:r w:rsidR="009F10D8">
      <w:rPr>
        <w:noProof/>
      </w:rPr>
      <w:tab/>
    </w:r>
    <w:r w:rsidR="00CD4D83">
      <w:fldChar w:fldCharType="begin"/>
    </w:r>
    <w:r w:rsidR="00CD4D83">
      <w:instrText xml:space="preserve"> PAGE  \* Arabic  \* MERGEFORMAT </w:instrText>
    </w:r>
    <w:r w:rsidR="00CD4D83">
      <w:fldChar w:fldCharType="separate"/>
    </w:r>
    <w:r w:rsidR="00CD4D83">
      <w:rPr>
        <w:noProof/>
      </w:rPr>
      <w:t>2</w:t>
    </w:r>
    <w:r w:rsidR="00CD4D8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52EB" w14:textId="4142FA32" w:rsidR="00AF4139" w:rsidRDefault="00492CA3" w:rsidP="004B0CC2">
    <w:pPr>
      <w:pStyle w:val="Footer"/>
      <w:tabs>
        <w:tab w:val="clear" w:pos="4680"/>
        <w:tab w:val="clear" w:pos="9360"/>
        <w:tab w:val="right" w:pos="8505"/>
        <w:tab w:val="right" w:pos="9639"/>
      </w:tabs>
      <w:jc w:val="right"/>
    </w:pPr>
    <w:r>
      <w:rPr>
        <w:rFonts w:asciiTheme="minorHAnsi" w:hAnsiTheme="minorHAnsi" w:cstheme="minorHAnsi"/>
      </w:rPr>
      <w:t xml:space="preserve">       </w:t>
    </w:r>
    <w:r w:rsidRPr="00492CA3">
      <w:rPr>
        <w:rFonts w:asciiTheme="minorHAnsi" w:hAnsiTheme="minorHAnsi" w:cstheme="minorHAnsi"/>
      </w:rPr>
      <w:t xml:space="preserve">Making </w:t>
    </w:r>
    <w:r w:rsidR="00473CFE">
      <w:rPr>
        <w:rFonts w:asciiTheme="minorHAnsi" w:hAnsiTheme="minorHAnsi" w:cstheme="minorHAnsi"/>
      </w:rPr>
      <w:t xml:space="preserve">NSW </w:t>
    </w:r>
    <w:r w:rsidRPr="00492CA3">
      <w:rPr>
        <w:rFonts w:asciiTheme="minorHAnsi" w:hAnsiTheme="minorHAnsi" w:cstheme="minorHAnsi"/>
      </w:rPr>
      <w:t>discrimination laws work for people with disability</w:t>
    </w:r>
    <w:r w:rsidRPr="00871656">
      <w:rPr>
        <w:rFonts w:asciiTheme="minorHAnsi" w:hAnsiTheme="minorHAnsi" w:cstheme="minorHAnsi"/>
        <w:i/>
        <w:iCs/>
      </w:rPr>
      <w:t xml:space="preserve"> </w:t>
    </w:r>
    <w:r w:rsidR="00AF4139">
      <w:rPr>
        <w:noProof/>
        <w:lang w:eastAsia="en-AU"/>
      </w:rPr>
      <w:drawing>
        <wp:anchor distT="0" distB="0" distL="114300" distR="114300" simplePos="0" relativeHeight="251656704" behindDoc="1" locked="0" layoutInCell="1" allowOverlap="1" wp14:anchorId="098107C3" wp14:editId="43BCF56C">
          <wp:simplePos x="0" y="0"/>
          <wp:positionH relativeFrom="column">
            <wp:posOffset>-215265</wp:posOffset>
          </wp:positionH>
          <wp:positionV relativeFrom="paragraph">
            <wp:posOffset>-163195</wp:posOffset>
          </wp:positionV>
          <wp:extent cx="468000" cy="496036"/>
          <wp:effectExtent l="0" t="0" r="8255" b="0"/>
          <wp:wrapTight wrapText="bothSides">
            <wp:wrapPolygon edited="0">
              <wp:start x="4396" y="0"/>
              <wp:lineTo x="0" y="5808"/>
              <wp:lineTo x="0" y="9127"/>
              <wp:lineTo x="879" y="13275"/>
              <wp:lineTo x="4396" y="20743"/>
              <wp:lineTo x="21102" y="20743"/>
              <wp:lineTo x="21102" y="5808"/>
              <wp:lineTo x="9672" y="0"/>
              <wp:lineTo x="4396" y="0"/>
            </wp:wrapPolygon>
          </wp:wrapTight>
          <wp:docPr id="669156907" name="Picture 6691569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anchor>
      </w:drawing>
    </w:r>
    <w:r w:rsidR="00AF4139">
      <w:tab/>
    </w:r>
    <w:r w:rsidR="00AF4139" w:rsidRPr="0016209B">
      <w:rPr>
        <w:rFonts w:asciiTheme="minorHAnsi" w:hAnsiTheme="minorHAnsi" w:cstheme="minorHAnsi"/>
      </w:rPr>
      <w:fldChar w:fldCharType="begin"/>
    </w:r>
    <w:r w:rsidR="00AF4139" w:rsidRPr="0016209B">
      <w:rPr>
        <w:rFonts w:asciiTheme="minorHAnsi" w:hAnsiTheme="minorHAnsi" w:cstheme="minorHAnsi"/>
      </w:rPr>
      <w:instrText xml:space="preserve"> PAGE   \* MERGEFORMAT </w:instrText>
    </w:r>
    <w:r w:rsidR="00AF4139" w:rsidRPr="0016209B">
      <w:rPr>
        <w:rFonts w:asciiTheme="minorHAnsi" w:hAnsiTheme="minorHAnsi" w:cstheme="minorHAnsi"/>
      </w:rPr>
      <w:fldChar w:fldCharType="separate"/>
    </w:r>
    <w:r w:rsidR="00AF4139" w:rsidRPr="0016209B">
      <w:rPr>
        <w:rFonts w:asciiTheme="minorHAnsi" w:hAnsiTheme="minorHAnsi" w:cstheme="minorHAnsi"/>
        <w:noProof/>
      </w:rPr>
      <w:t>19</w:t>
    </w:r>
    <w:r w:rsidR="00AF4139" w:rsidRPr="0016209B">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198A8" w14:textId="77777777" w:rsidR="004836AF" w:rsidRDefault="004836AF" w:rsidP="00F1283C">
      <w:pPr>
        <w:spacing w:after="0" w:line="240" w:lineRule="auto"/>
      </w:pPr>
      <w:r>
        <w:separator/>
      </w:r>
    </w:p>
  </w:footnote>
  <w:footnote w:type="continuationSeparator" w:id="0">
    <w:p w14:paraId="4387878B" w14:textId="77777777" w:rsidR="004836AF" w:rsidRDefault="004836AF" w:rsidP="00F1283C">
      <w:pPr>
        <w:spacing w:after="0" w:line="240" w:lineRule="auto"/>
      </w:pPr>
      <w:r>
        <w:continuationSeparator/>
      </w:r>
    </w:p>
  </w:footnote>
  <w:footnote w:type="continuationNotice" w:id="1">
    <w:p w14:paraId="40F6642B" w14:textId="77777777" w:rsidR="004836AF" w:rsidRDefault="004836AF">
      <w:pPr>
        <w:spacing w:before="0" w:after="0" w:line="240" w:lineRule="auto"/>
      </w:pPr>
    </w:p>
  </w:footnote>
  <w:footnote w:id="2">
    <w:p w14:paraId="3202F6C9" w14:textId="4EA59409" w:rsidR="00931AC9" w:rsidRPr="006E567A" w:rsidRDefault="00931AC9" w:rsidP="00B771B3">
      <w:pPr>
        <w:pStyle w:val="FootnoteText"/>
        <w:spacing w:before="0"/>
        <w:rPr>
          <w:rFonts w:cstheme="minorHAnsi"/>
          <w:b/>
          <w:bCs/>
          <w:sz w:val="16"/>
          <w:szCs w:val="16"/>
        </w:rPr>
      </w:pPr>
      <w:r w:rsidRPr="006E567A">
        <w:rPr>
          <w:rStyle w:val="FootnoteReference"/>
          <w:rFonts w:cstheme="minorHAnsi"/>
          <w:sz w:val="16"/>
          <w:szCs w:val="16"/>
        </w:rPr>
        <w:footnoteRef/>
      </w:r>
      <w:r w:rsidRPr="006E567A">
        <w:rPr>
          <w:rFonts w:cstheme="minorHAnsi"/>
          <w:sz w:val="16"/>
          <w:szCs w:val="16"/>
        </w:rPr>
        <w:t xml:space="preserve"> Australian Institute of Health and Welfare</w:t>
      </w:r>
      <w:r w:rsidR="00D546D7" w:rsidRPr="006E567A">
        <w:rPr>
          <w:rFonts w:cstheme="minorHAnsi"/>
          <w:sz w:val="16"/>
          <w:szCs w:val="16"/>
        </w:rPr>
        <w:t xml:space="preserve">, </w:t>
      </w:r>
      <w:r w:rsidRPr="006E567A">
        <w:rPr>
          <w:rFonts w:cstheme="minorHAnsi"/>
          <w:i/>
          <w:iCs/>
          <w:sz w:val="16"/>
          <w:szCs w:val="16"/>
        </w:rPr>
        <w:t>People with Disability in Australia 2022</w:t>
      </w:r>
      <w:r w:rsidR="00D546D7" w:rsidRPr="006E567A">
        <w:rPr>
          <w:rFonts w:cstheme="minorHAnsi"/>
          <w:sz w:val="16"/>
          <w:szCs w:val="16"/>
        </w:rPr>
        <w:t xml:space="preserve"> (2022) </w:t>
      </w:r>
      <w:hyperlink r:id="rId1" w:history="1">
        <w:r w:rsidR="00D546D7" w:rsidRPr="006E567A">
          <w:rPr>
            <w:rStyle w:val="Hyperlink"/>
            <w:rFonts w:cstheme="minorHAnsi"/>
            <w:bCs/>
            <w:sz w:val="16"/>
            <w:szCs w:val="16"/>
          </w:rPr>
          <w:t>https://www.aihw.gov.au/reports/disability/people-with-disability-in-australia/contents/about</w:t>
        </w:r>
      </w:hyperlink>
      <w:r w:rsidRPr="006E567A">
        <w:rPr>
          <w:rFonts w:cstheme="minorHAnsi"/>
          <w:sz w:val="16"/>
          <w:szCs w:val="16"/>
        </w:rPr>
        <w:t>; Australian Bureau of Statistics</w:t>
      </w:r>
      <w:r w:rsidR="00D546D7" w:rsidRPr="006E567A">
        <w:rPr>
          <w:rFonts w:cstheme="minorHAnsi"/>
          <w:sz w:val="16"/>
          <w:szCs w:val="16"/>
        </w:rPr>
        <w:t xml:space="preserve">, </w:t>
      </w:r>
      <w:r w:rsidRPr="006E567A">
        <w:rPr>
          <w:rFonts w:cstheme="minorHAnsi"/>
          <w:i/>
          <w:iCs/>
          <w:sz w:val="16"/>
          <w:szCs w:val="16"/>
        </w:rPr>
        <w:t>Disability, Ageing and Carers, Australia: Summary of Findings</w:t>
      </w:r>
      <w:r w:rsidR="00D546D7" w:rsidRPr="006E567A">
        <w:rPr>
          <w:rFonts w:cstheme="minorHAnsi"/>
          <w:sz w:val="16"/>
          <w:szCs w:val="16"/>
        </w:rPr>
        <w:t xml:space="preserve"> (2019) </w:t>
      </w:r>
      <w:r w:rsidRPr="006E567A">
        <w:rPr>
          <w:rFonts w:cstheme="minorHAnsi"/>
          <w:sz w:val="16"/>
          <w:szCs w:val="16"/>
        </w:rPr>
        <w:t xml:space="preserve"> </w:t>
      </w:r>
      <w:hyperlink r:id="rId2" w:anchor="disability" w:history="1">
        <w:r w:rsidRPr="006E567A">
          <w:rPr>
            <w:rStyle w:val="Hyperlink"/>
            <w:rFonts w:cstheme="minorHAnsi"/>
            <w:bCs/>
            <w:sz w:val="16"/>
            <w:szCs w:val="16"/>
          </w:rPr>
          <w:t>https://www.abs.gov.au/statistics/health/disability/disability-ageing-and-carers-australia-summary-findings/latest-release#disability</w:t>
        </w:r>
      </w:hyperlink>
      <w:r w:rsidRPr="006E567A">
        <w:rPr>
          <w:rFonts w:cstheme="minorHAnsi"/>
          <w:b/>
          <w:bCs/>
          <w:sz w:val="16"/>
          <w:szCs w:val="16"/>
        </w:rPr>
        <w:t xml:space="preserve">. </w:t>
      </w:r>
    </w:p>
  </w:footnote>
  <w:footnote w:id="3">
    <w:p w14:paraId="36C2416E" w14:textId="77777777" w:rsidR="00931AC9" w:rsidRPr="006E567A" w:rsidRDefault="00931AC9" w:rsidP="00B771B3">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w:t>
      </w:r>
      <w:bookmarkStart w:id="71" w:name="_Hlk141877831"/>
      <w:r w:rsidRPr="006E567A">
        <w:rPr>
          <w:rFonts w:cstheme="minorHAnsi"/>
          <w:sz w:val="16"/>
          <w:szCs w:val="16"/>
        </w:rPr>
        <w:t>Australian Bureau of Statistics (n 1)</w:t>
      </w:r>
      <w:r w:rsidRPr="006E567A">
        <w:rPr>
          <w:rFonts w:cstheme="minorHAnsi"/>
          <w:b/>
          <w:bCs/>
          <w:sz w:val="16"/>
          <w:szCs w:val="16"/>
        </w:rPr>
        <w:t>.</w:t>
      </w:r>
      <w:bookmarkEnd w:id="71"/>
    </w:p>
  </w:footnote>
  <w:footnote w:id="4">
    <w:p w14:paraId="5554EC94" w14:textId="44FECAA1" w:rsidR="00931AC9" w:rsidRPr="006E567A" w:rsidRDefault="00931AC9" w:rsidP="00B771B3">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w:t>
      </w:r>
      <w:r w:rsidR="00D546D7" w:rsidRPr="006E567A">
        <w:rPr>
          <w:rFonts w:cstheme="minorHAnsi"/>
          <w:sz w:val="16"/>
          <w:szCs w:val="16"/>
        </w:rPr>
        <w:t>R</w:t>
      </w:r>
      <w:r w:rsidR="001E24DE" w:rsidRPr="006E567A">
        <w:rPr>
          <w:rFonts w:cstheme="minorHAnsi"/>
          <w:sz w:val="16"/>
          <w:szCs w:val="16"/>
        </w:rPr>
        <w:t xml:space="preserve">osemary </w:t>
      </w:r>
      <w:r w:rsidRPr="006E567A">
        <w:rPr>
          <w:rFonts w:cstheme="minorHAnsi"/>
          <w:sz w:val="16"/>
          <w:szCs w:val="16"/>
        </w:rPr>
        <w:t>Kayess</w:t>
      </w:r>
      <w:r w:rsidR="00D546D7" w:rsidRPr="006E567A">
        <w:rPr>
          <w:rFonts w:cstheme="minorHAnsi"/>
          <w:sz w:val="16"/>
          <w:szCs w:val="16"/>
        </w:rPr>
        <w:t xml:space="preserve"> and T</w:t>
      </w:r>
      <w:r w:rsidR="001E24DE" w:rsidRPr="006E567A">
        <w:rPr>
          <w:rFonts w:cstheme="minorHAnsi"/>
          <w:sz w:val="16"/>
          <w:szCs w:val="16"/>
        </w:rPr>
        <w:t>herese</w:t>
      </w:r>
      <w:r w:rsidR="00D546D7" w:rsidRPr="006E567A">
        <w:rPr>
          <w:rFonts w:cstheme="minorHAnsi"/>
          <w:sz w:val="16"/>
          <w:szCs w:val="16"/>
        </w:rPr>
        <w:t xml:space="preserve"> </w:t>
      </w:r>
      <w:r w:rsidRPr="006E567A">
        <w:rPr>
          <w:rFonts w:cstheme="minorHAnsi"/>
          <w:sz w:val="16"/>
          <w:szCs w:val="16"/>
        </w:rPr>
        <w:t>Sands</w:t>
      </w:r>
      <w:r w:rsidR="001E24DE" w:rsidRPr="006E567A">
        <w:rPr>
          <w:rFonts w:cstheme="minorHAnsi"/>
          <w:sz w:val="16"/>
          <w:szCs w:val="16"/>
        </w:rPr>
        <w:t xml:space="preserve">, </w:t>
      </w:r>
      <w:r w:rsidR="003926AF" w:rsidRPr="006E567A">
        <w:rPr>
          <w:rFonts w:cstheme="minorHAnsi"/>
          <w:i/>
          <w:iCs/>
          <w:sz w:val="16"/>
          <w:szCs w:val="16"/>
        </w:rPr>
        <w:t>Convention</w:t>
      </w:r>
      <w:r w:rsidRPr="006E567A">
        <w:rPr>
          <w:rFonts w:cstheme="minorHAnsi"/>
          <w:i/>
          <w:iCs/>
          <w:sz w:val="16"/>
          <w:szCs w:val="16"/>
        </w:rPr>
        <w:t xml:space="preserve"> on the Rights of Persons with Disabilities: Shining a light on Social Transformation</w:t>
      </w:r>
      <w:r w:rsidR="00303604" w:rsidRPr="006E567A">
        <w:rPr>
          <w:rFonts w:cstheme="minorHAnsi"/>
          <w:sz w:val="16"/>
          <w:szCs w:val="16"/>
        </w:rPr>
        <w:t xml:space="preserve"> </w:t>
      </w:r>
      <w:r w:rsidR="001E24DE" w:rsidRPr="006E567A">
        <w:rPr>
          <w:rFonts w:cstheme="minorHAnsi"/>
          <w:sz w:val="16"/>
          <w:szCs w:val="16"/>
        </w:rPr>
        <w:t>(</w:t>
      </w:r>
      <w:r w:rsidRPr="006E567A">
        <w:rPr>
          <w:rFonts w:cstheme="minorHAnsi"/>
          <w:sz w:val="16"/>
          <w:szCs w:val="16"/>
        </w:rPr>
        <w:t>UNSW Social Policy Research Centre</w:t>
      </w:r>
      <w:r w:rsidR="001E24DE" w:rsidRPr="006E567A">
        <w:rPr>
          <w:rFonts w:cstheme="minorHAnsi"/>
          <w:sz w:val="16"/>
          <w:szCs w:val="16"/>
        </w:rPr>
        <w:t>, 2020)</w:t>
      </w:r>
      <w:r w:rsidRPr="006E567A">
        <w:rPr>
          <w:rFonts w:cstheme="minorHAnsi"/>
          <w:sz w:val="16"/>
          <w:szCs w:val="16"/>
        </w:rPr>
        <w:t>; Australian Bureau of Statistics</w:t>
      </w:r>
      <w:r w:rsidR="003926AF" w:rsidRPr="006E567A">
        <w:rPr>
          <w:rFonts w:cstheme="minorHAnsi"/>
          <w:sz w:val="16"/>
          <w:szCs w:val="16"/>
        </w:rPr>
        <w:t xml:space="preserve"> (n1)</w:t>
      </w:r>
      <w:r w:rsidRPr="006E567A">
        <w:rPr>
          <w:rFonts w:cstheme="minorHAnsi"/>
          <w:sz w:val="16"/>
          <w:szCs w:val="16"/>
        </w:rPr>
        <w:t>; Australian Institute of Health and Welfare (n 1)</w:t>
      </w:r>
      <w:r w:rsidR="009B5FEB" w:rsidRPr="006E567A">
        <w:rPr>
          <w:rFonts w:cstheme="minorHAnsi"/>
          <w:sz w:val="16"/>
          <w:szCs w:val="16"/>
        </w:rPr>
        <w:t>;</w:t>
      </w:r>
      <w:r w:rsidR="003926AF" w:rsidRPr="006E567A">
        <w:rPr>
          <w:rFonts w:cstheme="minorHAnsi"/>
          <w:sz w:val="16"/>
          <w:szCs w:val="16"/>
        </w:rPr>
        <w:t xml:space="preserve"> </w:t>
      </w:r>
      <w:r w:rsidR="001E24DE" w:rsidRPr="006E567A">
        <w:rPr>
          <w:rFonts w:cstheme="minorHAnsi"/>
          <w:sz w:val="16"/>
          <w:szCs w:val="16"/>
        </w:rPr>
        <w:t xml:space="preserve">Jeromey B Temple, Margaret Kelaher and Ruth Williams, </w:t>
      </w:r>
      <w:r w:rsidR="003926AF" w:rsidRPr="006E567A">
        <w:rPr>
          <w:rFonts w:cstheme="minorHAnsi"/>
          <w:sz w:val="16"/>
          <w:szCs w:val="16"/>
        </w:rPr>
        <w:t>‘</w:t>
      </w:r>
      <w:r w:rsidR="00731F6C" w:rsidRPr="006E567A">
        <w:rPr>
          <w:rFonts w:cstheme="minorHAnsi"/>
          <w:sz w:val="16"/>
          <w:szCs w:val="16"/>
        </w:rPr>
        <w:t xml:space="preserve">Discrimination and avoidance due to disability in Australia: evidence from a National </w:t>
      </w:r>
      <w:r w:rsidR="00DC343C" w:rsidRPr="006E567A">
        <w:rPr>
          <w:rFonts w:cstheme="minorHAnsi"/>
          <w:sz w:val="16"/>
          <w:szCs w:val="16"/>
        </w:rPr>
        <w:t>Cross-Sectional</w:t>
      </w:r>
      <w:r w:rsidR="00731F6C" w:rsidRPr="006E567A">
        <w:rPr>
          <w:rFonts w:cstheme="minorHAnsi"/>
          <w:sz w:val="16"/>
          <w:szCs w:val="16"/>
        </w:rPr>
        <w:t xml:space="preserve"> Survey</w:t>
      </w:r>
      <w:r w:rsidR="003926AF" w:rsidRPr="006E567A">
        <w:rPr>
          <w:rFonts w:cstheme="minorHAnsi"/>
          <w:sz w:val="16"/>
          <w:szCs w:val="16"/>
        </w:rPr>
        <w:t>’</w:t>
      </w:r>
      <w:r w:rsidR="001E24DE" w:rsidRPr="006E567A">
        <w:rPr>
          <w:rFonts w:cstheme="minorHAnsi"/>
          <w:sz w:val="16"/>
          <w:szCs w:val="16"/>
        </w:rPr>
        <w:t xml:space="preserve"> (2018) 18 </w:t>
      </w:r>
      <w:r w:rsidR="00731F6C" w:rsidRPr="006E567A">
        <w:rPr>
          <w:rFonts w:cstheme="minorHAnsi"/>
          <w:i/>
          <w:iCs/>
          <w:sz w:val="16"/>
          <w:szCs w:val="16"/>
        </w:rPr>
        <w:t>BMC Public Health</w:t>
      </w:r>
      <w:r w:rsidR="001E24DE" w:rsidRPr="006E567A">
        <w:rPr>
          <w:rFonts w:cstheme="minorHAnsi"/>
          <w:sz w:val="16"/>
          <w:szCs w:val="16"/>
        </w:rPr>
        <w:t xml:space="preserve"> </w:t>
      </w:r>
      <w:r w:rsidR="00731F6C" w:rsidRPr="006E567A">
        <w:rPr>
          <w:rFonts w:cstheme="minorHAnsi"/>
          <w:sz w:val="16"/>
          <w:szCs w:val="16"/>
        </w:rPr>
        <w:t>1347</w:t>
      </w:r>
      <w:r w:rsidR="001E24DE" w:rsidRPr="006E567A">
        <w:rPr>
          <w:rFonts w:cstheme="minorHAnsi"/>
          <w:sz w:val="16"/>
          <w:szCs w:val="16"/>
        </w:rPr>
        <w:t>.</w:t>
      </w:r>
    </w:p>
  </w:footnote>
  <w:footnote w:id="5">
    <w:p w14:paraId="64305D60" w14:textId="77AA6FAC" w:rsidR="007B543F" w:rsidRPr="006E567A" w:rsidRDefault="007B543F" w:rsidP="00B771B3">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w:t>
      </w:r>
      <w:r w:rsidR="00B771B3" w:rsidRPr="006E567A">
        <w:rPr>
          <w:rFonts w:cstheme="minorHAnsi"/>
          <w:sz w:val="16"/>
          <w:szCs w:val="16"/>
        </w:rPr>
        <w:t xml:space="preserve">Australian Institute of Health and Welfare </w:t>
      </w:r>
      <w:r w:rsidR="00DC343C" w:rsidRPr="006E567A">
        <w:rPr>
          <w:rFonts w:cstheme="minorHAnsi"/>
          <w:sz w:val="16"/>
          <w:szCs w:val="16"/>
        </w:rPr>
        <w:t>(n</w:t>
      </w:r>
      <w:r w:rsidR="00303604" w:rsidRPr="006E567A">
        <w:rPr>
          <w:rFonts w:cstheme="minorHAnsi"/>
          <w:sz w:val="16"/>
          <w:szCs w:val="16"/>
        </w:rPr>
        <w:t xml:space="preserve"> </w:t>
      </w:r>
      <w:r w:rsidR="00DC343C" w:rsidRPr="006E567A">
        <w:rPr>
          <w:rFonts w:cstheme="minorHAnsi"/>
          <w:sz w:val="16"/>
          <w:szCs w:val="16"/>
        </w:rPr>
        <w:t>1)</w:t>
      </w:r>
      <w:r w:rsidR="001E24DE" w:rsidRPr="006E567A">
        <w:rPr>
          <w:rFonts w:cstheme="minorHAnsi"/>
          <w:sz w:val="16"/>
          <w:szCs w:val="16"/>
        </w:rPr>
        <w:t xml:space="preserve"> </w:t>
      </w:r>
      <w:r w:rsidRPr="006E567A">
        <w:rPr>
          <w:rFonts w:cstheme="minorHAnsi"/>
          <w:sz w:val="16"/>
          <w:szCs w:val="16"/>
          <w:lang w:val="en-US"/>
        </w:rPr>
        <w:t>163</w:t>
      </w:r>
      <w:r w:rsidR="001E24DE" w:rsidRPr="006E567A">
        <w:rPr>
          <w:rFonts w:cstheme="minorHAnsi"/>
          <w:sz w:val="16"/>
          <w:szCs w:val="16"/>
          <w:lang w:val="en-US"/>
        </w:rPr>
        <w:t>.</w:t>
      </w:r>
    </w:p>
  </w:footnote>
  <w:footnote w:id="6">
    <w:p w14:paraId="2A71E6F4" w14:textId="6AB6A793" w:rsidR="005F033C" w:rsidRPr="006E567A" w:rsidRDefault="005F033C" w:rsidP="005F033C">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Anti-Discrimination NSW, </w:t>
      </w:r>
      <w:r w:rsidRPr="006E567A">
        <w:rPr>
          <w:rFonts w:cstheme="minorHAnsi"/>
          <w:i/>
          <w:iCs/>
          <w:sz w:val="16"/>
          <w:szCs w:val="16"/>
        </w:rPr>
        <w:t>Annual Report 2021-22</w:t>
      </w:r>
      <w:r w:rsidRPr="006E567A">
        <w:rPr>
          <w:rFonts w:cstheme="minorHAnsi"/>
          <w:sz w:val="16"/>
          <w:szCs w:val="16"/>
        </w:rPr>
        <w:t xml:space="preserve"> (2022) 15</w:t>
      </w:r>
      <w:r w:rsidR="00806EFB" w:rsidRPr="006E567A">
        <w:rPr>
          <w:rFonts w:cstheme="minorHAnsi"/>
          <w:sz w:val="16"/>
          <w:szCs w:val="16"/>
        </w:rPr>
        <w:t xml:space="preserve"> </w:t>
      </w:r>
      <w:r w:rsidRPr="006E567A">
        <w:rPr>
          <w:rFonts w:cstheme="minorHAnsi"/>
          <w:sz w:val="16"/>
          <w:szCs w:val="16"/>
        </w:rPr>
        <w:t xml:space="preserve"> </w:t>
      </w:r>
      <w:hyperlink r:id="rId3" w:history="1">
        <w:r w:rsidRPr="006E567A">
          <w:rPr>
            <w:rStyle w:val="Hyperlink"/>
            <w:rFonts w:cstheme="minorHAnsi"/>
            <w:sz w:val="16"/>
            <w:szCs w:val="16"/>
          </w:rPr>
          <w:t>https://antidiscrimination.nsw.gov.au/documents/annual-reports/anti-discrimination-annual-report-2021-22.pdf</w:t>
        </w:r>
      </w:hyperlink>
      <w:r w:rsidRPr="006E567A">
        <w:rPr>
          <w:rFonts w:cstheme="minorHAnsi"/>
          <w:sz w:val="16"/>
          <w:szCs w:val="16"/>
        </w:rPr>
        <w:t xml:space="preserve"> </w:t>
      </w:r>
    </w:p>
  </w:footnote>
  <w:footnote w:id="7">
    <w:p w14:paraId="081B73AC" w14:textId="4B40DE39" w:rsidR="00192B0A" w:rsidRPr="006E567A" w:rsidRDefault="00192B0A" w:rsidP="00B771B3">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w:t>
      </w:r>
      <w:r w:rsidR="005F033C" w:rsidRPr="006E567A">
        <w:rPr>
          <w:rFonts w:cstheme="minorHAnsi"/>
          <w:sz w:val="16"/>
          <w:szCs w:val="16"/>
        </w:rPr>
        <w:t xml:space="preserve">Australian Institute of Health and Welfare (n 1) </w:t>
      </w:r>
      <w:r w:rsidR="005F033C" w:rsidRPr="006E567A">
        <w:rPr>
          <w:rFonts w:cstheme="minorHAnsi"/>
          <w:sz w:val="16"/>
          <w:szCs w:val="16"/>
          <w:lang w:val="en-US"/>
        </w:rPr>
        <w:t>163.</w:t>
      </w:r>
    </w:p>
  </w:footnote>
  <w:footnote w:id="8">
    <w:p w14:paraId="4F8842C6" w14:textId="76D1A24B" w:rsidR="00B91F73" w:rsidRPr="006E567A" w:rsidRDefault="00B91F73" w:rsidP="009C3D50">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w:t>
      </w:r>
      <w:r w:rsidR="00643736" w:rsidRPr="006E567A">
        <w:rPr>
          <w:rFonts w:cstheme="minorHAnsi"/>
          <w:sz w:val="16"/>
          <w:szCs w:val="16"/>
        </w:rPr>
        <w:t xml:space="preserve">Committee on the Rights of Persons with Disabilities, </w:t>
      </w:r>
      <w:r w:rsidR="00643736" w:rsidRPr="006E567A">
        <w:rPr>
          <w:rFonts w:cstheme="minorHAnsi"/>
          <w:i/>
          <w:iCs/>
          <w:sz w:val="16"/>
          <w:szCs w:val="16"/>
        </w:rPr>
        <w:t>General comment No. 6 (2018) Equality and non-discrimination</w:t>
      </w:r>
      <w:r w:rsidR="00643736" w:rsidRPr="006E567A">
        <w:rPr>
          <w:rFonts w:cstheme="minorHAnsi"/>
          <w:sz w:val="16"/>
          <w:szCs w:val="16"/>
        </w:rPr>
        <w:t xml:space="preserve"> CRPD/C/GC/6 (26 April 2018) </w:t>
      </w:r>
      <w:r w:rsidR="00857C67" w:rsidRPr="006E567A">
        <w:rPr>
          <w:rFonts w:cstheme="minorHAnsi"/>
          <w:sz w:val="16"/>
          <w:szCs w:val="16"/>
        </w:rPr>
        <w:t>[</w:t>
      </w:r>
      <w:r w:rsidR="00643736" w:rsidRPr="006E567A">
        <w:rPr>
          <w:rFonts w:cstheme="minorHAnsi"/>
          <w:sz w:val="16"/>
          <w:szCs w:val="16"/>
        </w:rPr>
        <w:t>30</w:t>
      </w:r>
      <w:r w:rsidR="00857C67" w:rsidRPr="006E567A">
        <w:rPr>
          <w:rFonts w:cstheme="minorHAnsi"/>
          <w:sz w:val="16"/>
          <w:szCs w:val="16"/>
        </w:rPr>
        <w:t>]</w:t>
      </w:r>
      <w:r w:rsidR="00643736" w:rsidRPr="006E567A">
        <w:rPr>
          <w:rFonts w:cstheme="minorHAnsi"/>
          <w:sz w:val="16"/>
          <w:szCs w:val="16"/>
          <w:lang w:val="en-US"/>
        </w:rPr>
        <w:t xml:space="preserve">; </w:t>
      </w:r>
      <w:r w:rsidRPr="006E567A">
        <w:rPr>
          <w:rFonts w:cstheme="minorHAnsi"/>
          <w:sz w:val="16"/>
          <w:szCs w:val="16"/>
          <w:lang w:val="en-US"/>
        </w:rPr>
        <w:t>A</w:t>
      </w:r>
      <w:r w:rsidR="00DC343C" w:rsidRPr="006E567A">
        <w:rPr>
          <w:rFonts w:cstheme="minorHAnsi"/>
          <w:sz w:val="16"/>
          <w:szCs w:val="16"/>
          <w:lang w:val="en-US"/>
        </w:rPr>
        <w:t>ustralian Human Rights Commission</w:t>
      </w:r>
      <w:r w:rsidR="00857C67" w:rsidRPr="006E567A">
        <w:rPr>
          <w:rFonts w:cstheme="minorHAnsi"/>
          <w:sz w:val="16"/>
          <w:szCs w:val="16"/>
          <w:lang w:val="en-US"/>
        </w:rPr>
        <w:t xml:space="preserve">, </w:t>
      </w:r>
      <w:r w:rsidRPr="006E567A">
        <w:rPr>
          <w:rFonts w:cstheme="minorHAnsi"/>
          <w:i/>
          <w:iCs/>
          <w:sz w:val="16"/>
          <w:szCs w:val="16"/>
          <w:lang w:val="en-US"/>
        </w:rPr>
        <w:t>Free and Equal</w:t>
      </w:r>
      <w:r w:rsidR="00DC343C" w:rsidRPr="006E567A">
        <w:rPr>
          <w:rFonts w:cstheme="minorHAnsi"/>
          <w:i/>
          <w:iCs/>
          <w:sz w:val="16"/>
          <w:szCs w:val="16"/>
          <w:lang w:val="en-US"/>
        </w:rPr>
        <w:t xml:space="preserve">. </w:t>
      </w:r>
      <w:r w:rsidRPr="006E567A">
        <w:rPr>
          <w:rFonts w:cstheme="minorHAnsi"/>
          <w:i/>
          <w:iCs/>
          <w:sz w:val="16"/>
          <w:szCs w:val="16"/>
          <w:lang w:val="en-US"/>
        </w:rPr>
        <w:t>A reform agenda for federal discrimination laws</w:t>
      </w:r>
      <w:r w:rsidRPr="006E567A">
        <w:rPr>
          <w:rFonts w:cstheme="minorHAnsi"/>
          <w:sz w:val="16"/>
          <w:szCs w:val="16"/>
          <w:lang w:val="en-US"/>
        </w:rPr>
        <w:t xml:space="preserve"> (</w:t>
      </w:r>
      <w:r w:rsidR="00DC343C" w:rsidRPr="006E567A">
        <w:rPr>
          <w:rFonts w:cstheme="minorHAnsi"/>
          <w:sz w:val="16"/>
          <w:szCs w:val="16"/>
          <w:lang w:val="en-US"/>
        </w:rPr>
        <w:t xml:space="preserve">December </w:t>
      </w:r>
      <w:r w:rsidRPr="006E567A">
        <w:rPr>
          <w:rFonts w:cstheme="minorHAnsi"/>
          <w:sz w:val="16"/>
          <w:szCs w:val="16"/>
          <w:lang w:val="en-US"/>
        </w:rPr>
        <w:t>2021)</w:t>
      </w:r>
      <w:r w:rsidR="00857C67" w:rsidRPr="006E567A">
        <w:rPr>
          <w:rFonts w:cstheme="minorHAnsi"/>
          <w:sz w:val="16"/>
          <w:szCs w:val="16"/>
          <w:lang w:val="en-US"/>
        </w:rPr>
        <w:t xml:space="preserve"> </w:t>
      </w:r>
      <w:r w:rsidRPr="006E567A">
        <w:rPr>
          <w:rFonts w:cstheme="minorHAnsi"/>
          <w:sz w:val="16"/>
          <w:szCs w:val="16"/>
          <w:lang w:val="en-US"/>
        </w:rPr>
        <w:t>16</w:t>
      </w:r>
      <w:r w:rsidR="00857C67" w:rsidRPr="006E567A">
        <w:rPr>
          <w:rFonts w:cstheme="minorHAnsi"/>
          <w:sz w:val="16"/>
          <w:szCs w:val="16"/>
          <w:lang w:val="en-US"/>
        </w:rPr>
        <w:t xml:space="preserve">; United Nations, </w:t>
      </w:r>
      <w:r w:rsidR="00E66933" w:rsidRPr="006E567A">
        <w:rPr>
          <w:rFonts w:cstheme="minorHAnsi"/>
          <w:i/>
          <w:iCs/>
          <w:sz w:val="16"/>
          <w:szCs w:val="16"/>
          <w:lang w:val="en-US"/>
        </w:rPr>
        <w:t xml:space="preserve">Convention on the Rights of </w:t>
      </w:r>
      <w:r w:rsidR="00461A05" w:rsidRPr="006E567A">
        <w:rPr>
          <w:rFonts w:cstheme="minorHAnsi"/>
          <w:i/>
          <w:iCs/>
          <w:sz w:val="16"/>
          <w:szCs w:val="16"/>
          <w:lang w:val="en-US"/>
        </w:rPr>
        <w:t>P</w:t>
      </w:r>
      <w:r w:rsidR="00E66933" w:rsidRPr="006E567A">
        <w:rPr>
          <w:rFonts w:cstheme="minorHAnsi"/>
          <w:i/>
          <w:iCs/>
          <w:sz w:val="16"/>
          <w:szCs w:val="16"/>
          <w:lang w:val="en-US"/>
        </w:rPr>
        <w:t>ersons with Disabilities</w:t>
      </w:r>
      <w:r w:rsidR="00857C67" w:rsidRPr="006E567A">
        <w:rPr>
          <w:rFonts w:cstheme="minorHAnsi"/>
          <w:i/>
          <w:iCs/>
          <w:sz w:val="16"/>
          <w:szCs w:val="16"/>
          <w:lang w:val="en-US"/>
        </w:rPr>
        <w:t xml:space="preserve"> </w:t>
      </w:r>
      <w:r w:rsidR="00857C67" w:rsidRPr="006E567A">
        <w:rPr>
          <w:rFonts w:cstheme="minorHAnsi"/>
          <w:sz w:val="16"/>
          <w:szCs w:val="16"/>
          <w:lang w:val="en-US"/>
        </w:rPr>
        <w:t>(12 December 2006)</w:t>
      </w:r>
      <w:r w:rsidR="00E66933" w:rsidRPr="006E567A">
        <w:rPr>
          <w:rFonts w:cstheme="minorHAnsi"/>
          <w:sz w:val="16"/>
          <w:szCs w:val="16"/>
          <w:lang w:val="en-US"/>
        </w:rPr>
        <w:t>, article</w:t>
      </w:r>
      <w:r w:rsidR="00461A05" w:rsidRPr="006E567A">
        <w:rPr>
          <w:rFonts w:cstheme="minorHAnsi"/>
          <w:sz w:val="16"/>
          <w:szCs w:val="16"/>
          <w:lang w:val="en-US"/>
        </w:rPr>
        <w:t xml:space="preserve"> 5.</w:t>
      </w:r>
    </w:p>
  </w:footnote>
  <w:footnote w:id="9">
    <w:p w14:paraId="16C05661" w14:textId="3D4054F5" w:rsidR="00E90422" w:rsidRPr="003A7E36" w:rsidRDefault="00E90422" w:rsidP="00B771B3">
      <w:pPr>
        <w:pStyle w:val="FootnoteText"/>
        <w:spacing w:before="0"/>
        <w:rPr>
          <w:rFonts w:cstheme="minorHAnsi"/>
          <w:sz w:val="16"/>
          <w:szCs w:val="16"/>
          <w:lang w:val="en-US"/>
        </w:rPr>
      </w:pPr>
      <w:r w:rsidRPr="003A7E36">
        <w:rPr>
          <w:rStyle w:val="FootnoteReference"/>
          <w:rFonts w:cstheme="minorHAnsi"/>
          <w:sz w:val="16"/>
          <w:szCs w:val="16"/>
        </w:rPr>
        <w:footnoteRef/>
      </w:r>
      <w:r w:rsidRPr="003A7E36">
        <w:rPr>
          <w:rFonts w:cstheme="minorHAnsi"/>
          <w:sz w:val="16"/>
          <w:szCs w:val="16"/>
        </w:rPr>
        <w:t xml:space="preserve"> </w:t>
      </w:r>
      <w:r w:rsidRPr="003A7E36">
        <w:rPr>
          <w:rFonts w:cstheme="minorHAnsi"/>
          <w:sz w:val="16"/>
          <w:szCs w:val="16"/>
          <w:lang w:val="en-US"/>
        </w:rPr>
        <w:t>Public Interest Advocacy Centre</w:t>
      </w:r>
      <w:r w:rsidR="00857C67" w:rsidRPr="003A7E36">
        <w:rPr>
          <w:rFonts w:cstheme="minorHAnsi"/>
          <w:sz w:val="16"/>
          <w:szCs w:val="16"/>
          <w:lang w:val="en-US"/>
        </w:rPr>
        <w:t xml:space="preserve">, </w:t>
      </w:r>
      <w:r w:rsidRPr="003A7E36">
        <w:rPr>
          <w:rFonts w:cstheme="minorHAnsi"/>
          <w:i/>
          <w:iCs/>
          <w:sz w:val="16"/>
          <w:szCs w:val="16"/>
          <w:lang w:val="en-US"/>
        </w:rPr>
        <w:t>Leader to Laggard: The case for modernizing the NSW Anti-Discrimination Act</w:t>
      </w:r>
      <w:r w:rsidR="00857C67" w:rsidRPr="003A7E36">
        <w:rPr>
          <w:rFonts w:cstheme="minorHAnsi"/>
          <w:sz w:val="16"/>
          <w:szCs w:val="16"/>
          <w:lang w:val="en-US"/>
        </w:rPr>
        <w:t xml:space="preserve"> (2021) </w:t>
      </w:r>
      <w:r w:rsidRPr="003A7E36">
        <w:rPr>
          <w:rFonts w:cstheme="minorHAnsi"/>
          <w:sz w:val="16"/>
          <w:szCs w:val="16"/>
          <w:lang w:val="en-US"/>
        </w:rPr>
        <w:t>3</w:t>
      </w:r>
      <w:r w:rsidR="00857C67" w:rsidRPr="003A7E36">
        <w:rPr>
          <w:rFonts w:cstheme="minorHAnsi"/>
          <w:sz w:val="16"/>
          <w:szCs w:val="16"/>
          <w:lang w:val="en-US"/>
        </w:rPr>
        <w:t>.</w:t>
      </w:r>
    </w:p>
  </w:footnote>
  <w:footnote w:id="10">
    <w:p w14:paraId="281B6CF8" w14:textId="162BDD8D" w:rsidR="002163B4" w:rsidRPr="003A7E36" w:rsidRDefault="002163B4" w:rsidP="00B771B3">
      <w:pPr>
        <w:pStyle w:val="FootnoteText"/>
        <w:spacing w:before="0"/>
        <w:rPr>
          <w:rFonts w:cstheme="minorHAnsi"/>
          <w:sz w:val="16"/>
          <w:szCs w:val="16"/>
          <w:lang w:val="en-US"/>
        </w:rPr>
      </w:pPr>
      <w:r w:rsidRPr="003A7E36">
        <w:rPr>
          <w:rStyle w:val="FootnoteReference"/>
          <w:rFonts w:cstheme="minorHAnsi"/>
          <w:sz w:val="16"/>
          <w:szCs w:val="16"/>
        </w:rPr>
        <w:footnoteRef/>
      </w:r>
      <w:r w:rsidRPr="003A7E36">
        <w:rPr>
          <w:rFonts w:cstheme="minorHAnsi"/>
          <w:sz w:val="16"/>
          <w:szCs w:val="16"/>
        </w:rPr>
        <w:t xml:space="preserve"> </w:t>
      </w:r>
      <w:r w:rsidR="00857C67" w:rsidRPr="003A7E36">
        <w:rPr>
          <w:rFonts w:cstheme="minorHAnsi"/>
          <w:sz w:val="16"/>
          <w:szCs w:val="16"/>
          <w:lang w:val="en-US"/>
        </w:rPr>
        <w:t xml:space="preserve">Ibid, </w:t>
      </w:r>
      <w:r w:rsidRPr="003A7E36">
        <w:rPr>
          <w:rFonts w:cstheme="minorHAnsi"/>
          <w:sz w:val="16"/>
          <w:szCs w:val="16"/>
          <w:lang w:val="en-US"/>
        </w:rPr>
        <w:t>3</w:t>
      </w:r>
      <w:r w:rsidR="00857C67" w:rsidRPr="003A7E36">
        <w:rPr>
          <w:rFonts w:cstheme="minorHAnsi"/>
          <w:sz w:val="16"/>
          <w:szCs w:val="16"/>
          <w:lang w:val="en-US"/>
        </w:rPr>
        <w:t>.</w:t>
      </w:r>
    </w:p>
  </w:footnote>
  <w:footnote w:id="11">
    <w:p w14:paraId="51F13C73" w14:textId="403931BF" w:rsidR="00421F6F" w:rsidRPr="003A7E36" w:rsidRDefault="00421F6F" w:rsidP="004D6C8A">
      <w:pPr>
        <w:pStyle w:val="FootnoteText"/>
        <w:spacing w:before="0"/>
        <w:rPr>
          <w:sz w:val="16"/>
          <w:szCs w:val="16"/>
          <w:lang w:val="en-US"/>
        </w:rPr>
      </w:pPr>
      <w:r w:rsidRPr="003A7E36">
        <w:rPr>
          <w:rStyle w:val="FootnoteReference"/>
          <w:sz w:val="16"/>
          <w:szCs w:val="16"/>
        </w:rPr>
        <w:footnoteRef/>
      </w:r>
      <w:r w:rsidRPr="003A7E36">
        <w:rPr>
          <w:sz w:val="16"/>
          <w:szCs w:val="16"/>
        </w:rPr>
        <w:t xml:space="preserve"> </w:t>
      </w:r>
      <w:r w:rsidR="001A6198" w:rsidRPr="003A7E36">
        <w:rPr>
          <w:sz w:val="16"/>
          <w:szCs w:val="16"/>
          <w:lang w:val="en-US"/>
        </w:rPr>
        <w:t xml:space="preserve">PWDA notes there are a range of </w:t>
      </w:r>
      <w:r w:rsidR="0036246B" w:rsidRPr="003A7E36">
        <w:rPr>
          <w:sz w:val="16"/>
          <w:szCs w:val="16"/>
          <w:lang w:val="en-US"/>
        </w:rPr>
        <w:t>interventions</w:t>
      </w:r>
      <w:r w:rsidR="008913BA" w:rsidRPr="003A7E36">
        <w:rPr>
          <w:sz w:val="16"/>
          <w:szCs w:val="16"/>
          <w:lang w:val="en-US"/>
        </w:rPr>
        <w:t xml:space="preserve"> that can promote the inclusion of people with disability</w:t>
      </w:r>
      <w:r w:rsidR="0036246B" w:rsidRPr="003A7E36">
        <w:rPr>
          <w:sz w:val="16"/>
          <w:szCs w:val="16"/>
          <w:lang w:val="en-US"/>
        </w:rPr>
        <w:t xml:space="preserve"> in the communit</w:t>
      </w:r>
      <w:r w:rsidR="00456831" w:rsidRPr="003A7E36">
        <w:rPr>
          <w:sz w:val="16"/>
          <w:szCs w:val="16"/>
          <w:lang w:val="en-US"/>
        </w:rPr>
        <w:t>y. S</w:t>
      </w:r>
      <w:r w:rsidR="0036246B" w:rsidRPr="003A7E36">
        <w:rPr>
          <w:sz w:val="16"/>
          <w:szCs w:val="16"/>
          <w:lang w:val="en-US"/>
        </w:rPr>
        <w:t xml:space="preserve">trong anti-discrimination legislation </w:t>
      </w:r>
      <w:r w:rsidR="00456831" w:rsidRPr="003A7E36">
        <w:rPr>
          <w:sz w:val="16"/>
          <w:szCs w:val="16"/>
          <w:lang w:val="en-US"/>
        </w:rPr>
        <w:t>is</w:t>
      </w:r>
      <w:r w:rsidR="0036246B" w:rsidRPr="003A7E36">
        <w:rPr>
          <w:sz w:val="16"/>
          <w:szCs w:val="16"/>
          <w:lang w:val="en-US"/>
        </w:rPr>
        <w:t xml:space="preserve"> on</w:t>
      </w:r>
      <w:r w:rsidR="00456831" w:rsidRPr="003A7E36">
        <w:rPr>
          <w:sz w:val="16"/>
          <w:szCs w:val="16"/>
          <w:lang w:val="en-US"/>
        </w:rPr>
        <w:t xml:space="preserve">e of </w:t>
      </w:r>
      <w:r w:rsidR="001C2FF0" w:rsidRPr="003A7E36">
        <w:rPr>
          <w:sz w:val="16"/>
          <w:szCs w:val="16"/>
          <w:lang w:val="en-US"/>
        </w:rPr>
        <w:t>these</w:t>
      </w:r>
      <w:r w:rsidR="00610D1E">
        <w:rPr>
          <w:sz w:val="16"/>
          <w:szCs w:val="16"/>
          <w:lang w:val="en-US"/>
        </w:rPr>
        <w:t>,</w:t>
      </w:r>
      <w:r w:rsidR="001C2FF0" w:rsidRPr="003A7E36">
        <w:rPr>
          <w:sz w:val="16"/>
          <w:szCs w:val="16"/>
          <w:lang w:val="en-US"/>
        </w:rPr>
        <w:t xml:space="preserve"> and</w:t>
      </w:r>
      <w:r w:rsidR="0036246B" w:rsidRPr="003A7E36">
        <w:rPr>
          <w:sz w:val="16"/>
          <w:szCs w:val="16"/>
          <w:lang w:val="en-US"/>
        </w:rPr>
        <w:t xml:space="preserve"> can be seen as foundational and complementary to others. </w:t>
      </w:r>
      <w:r w:rsidR="00610D1E">
        <w:rPr>
          <w:sz w:val="16"/>
          <w:szCs w:val="16"/>
          <w:lang w:val="en-US"/>
        </w:rPr>
        <w:t>For discussion s</w:t>
      </w:r>
      <w:r w:rsidR="00625223" w:rsidRPr="003A7E36">
        <w:rPr>
          <w:sz w:val="16"/>
          <w:szCs w:val="16"/>
          <w:lang w:val="en-US"/>
        </w:rPr>
        <w:t>ee eg,</w:t>
      </w:r>
      <w:r w:rsidR="00C80C48" w:rsidRPr="003A7E36">
        <w:rPr>
          <w:sz w:val="16"/>
          <w:szCs w:val="16"/>
          <w:lang w:val="en-US"/>
        </w:rPr>
        <w:t xml:space="preserve"> </w:t>
      </w:r>
      <w:r w:rsidR="00981A0A" w:rsidRPr="003A7E36">
        <w:rPr>
          <w:sz w:val="16"/>
          <w:szCs w:val="16"/>
          <w:lang w:val="en-US"/>
        </w:rPr>
        <w:t>Jan Idle et al</w:t>
      </w:r>
      <w:r w:rsidR="00981A0A" w:rsidRPr="003A7E36">
        <w:rPr>
          <w:i/>
          <w:iCs/>
          <w:sz w:val="16"/>
          <w:szCs w:val="16"/>
          <w:lang w:val="en-US"/>
        </w:rPr>
        <w:t>, Research Report – Changing community attitudes to improve inclusion of people with disability</w:t>
      </w:r>
      <w:r w:rsidR="00456831" w:rsidRPr="003A7E36">
        <w:rPr>
          <w:sz w:val="16"/>
          <w:szCs w:val="16"/>
          <w:lang w:val="en-US"/>
        </w:rPr>
        <w:t xml:space="preserve"> (Royal Commission into Violence, Abuse, Neglect and Exploitation of people with Disability, 2022).</w:t>
      </w:r>
    </w:p>
  </w:footnote>
  <w:footnote w:id="12">
    <w:p w14:paraId="15950A78" w14:textId="12884137" w:rsidR="00097197" w:rsidRPr="003A7E36" w:rsidRDefault="00097197" w:rsidP="0024683F">
      <w:pPr>
        <w:pStyle w:val="FootnoteText"/>
        <w:spacing w:before="0"/>
        <w:rPr>
          <w:sz w:val="16"/>
          <w:szCs w:val="16"/>
          <w:lang w:val="en-US"/>
        </w:rPr>
      </w:pPr>
      <w:r w:rsidRPr="003A7E36">
        <w:rPr>
          <w:rStyle w:val="FootnoteReference"/>
          <w:sz w:val="16"/>
          <w:szCs w:val="16"/>
        </w:rPr>
        <w:footnoteRef/>
      </w:r>
      <w:r w:rsidRPr="003A7E36">
        <w:rPr>
          <w:sz w:val="16"/>
          <w:szCs w:val="16"/>
        </w:rPr>
        <w:t xml:space="preserve"> </w:t>
      </w:r>
      <w:r w:rsidR="008B7EF1" w:rsidRPr="003A7E36">
        <w:rPr>
          <w:sz w:val="16"/>
          <w:szCs w:val="16"/>
          <w:lang w:val="en-US"/>
        </w:rPr>
        <w:t>Sandra Fredman, ‘Substantive equality revisited’ (2016) 14(3</w:t>
      </w:r>
      <w:r w:rsidR="0024683F" w:rsidRPr="003A7E36">
        <w:rPr>
          <w:sz w:val="16"/>
          <w:szCs w:val="16"/>
          <w:lang w:val="en-US"/>
        </w:rPr>
        <w:t xml:space="preserve">) </w:t>
      </w:r>
      <w:r w:rsidR="0024683F" w:rsidRPr="003A7E36">
        <w:rPr>
          <w:i/>
          <w:iCs/>
          <w:sz w:val="16"/>
          <w:szCs w:val="16"/>
          <w:lang w:val="en-US"/>
        </w:rPr>
        <w:t>International Journal of Constitutional Law</w:t>
      </w:r>
      <w:r w:rsidR="008B7EF1" w:rsidRPr="003A7E36">
        <w:rPr>
          <w:sz w:val="16"/>
          <w:szCs w:val="16"/>
          <w:lang w:val="en-US"/>
        </w:rPr>
        <w:t xml:space="preserve"> </w:t>
      </w:r>
      <w:r w:rsidR="0024683F" w:rsidRPr="003A7E36">
        <w:rPr>
          <w:sz w:val="16"/>
          <w:szCs w:val="16"/>
          <w:lang w:val="en-US"/>
        </w:rPr>
        <w:t>712, 713.</w:t>
      </w:r>
    </w:p>
  </w:footnote>
  <w:footnote w:id="13">
    <w:p w14:paraId="794E9A6B" w14:textId="30BEE19F" w:rsidR="00414917" w:rsidRPr="003A7E36" w:rsidRDefault="00414917" w:rsidP="00576579">
      <w:pPr>
        <w:pStyle w:val="FootnoteText"/>
        <w:spacing w:before="0"/>
        <w:rPr>
          <w:sz w:val="16"/>
          <w:szCs w:val="16"/>
          <w:lang w:val="en-US"/>
        </w:rPr>
      </w:pPr>
      <w:r w:rsidRPr="003A7E36">
        <w:rPr>
          <w:rStyle w:val="FootnoteReference"/>
          <w:sz w:val="16"/>
          <w:szCs w:val="16"/>
        </w:rPr>
        <w:footnoteRef/>
      </w:r>
      <w:r w:rsidR="00DF66AF" w:rsidRPr="003A7E36">
        <w:rPr>
          <w:i/>
          <w:iCs/>
          <w:sz w:val="16"/>
          <w:szCs w:val="16"/>
        </w:rPr>
        <w:t xml:space="preserve"> Lowe v The Queen</w:t>
      </w:r>
      <w:r w:rsidR="00DF66AF" w:rsidRPr="003A7E36">
        <w:rPr>
          <w:sz w:val="16"/>
          <w:szCs w:val="16"/>
        </w:rPr>
        <w:t xml:space="preserve"> (1984) 154 CLR 606, 609. See also </w:t>
      </w:r>
      <w:r w:rsidR="00DF66AF" w:rsidRPr="003A7E36">
        <w:rPr>
          <w:i/>
          <w:iCs/>
          <w:sz w:val="16"/>
          <w:szCs w:val="16"/>
        </w:rPr>
        <w:t xml:space="preserve">Leeth v The Commonwealth </w:t>
      </w:r>
      <w:r w:rsidR="00DF66AF" w:rsidRPr="003A7E36">
        <w:rPr>
          <w:sz w:val="16"/>
          <w:szCs w:val="16"/>
        </w:rPr>
        <w:t>(1992) 172 CLR 455 per Mason CJ, Dawson and McHugh JJ at [32]; Brennan J at [7] and [13]; Deane and Toohey JJ at [13]; Gaudron J at [21]</w:t>
      </w:r>
      <w:r w:rsidR="00CB41C8" w:rsidRPr="003A7E36">
        <w:rPr>
          <w:rFonts w:cstheme="minorHAnsi"/>
          <w:sz w:val="16"/>
          <w:szCs w:val="16"/>
        </w:rPr>
        <w:t xml:space="preserve">. </w:t>
      </w:r>
      <w:r w:rsidR="003A7E36">
        <w:rPr>
          <w:rFonts w:cstheme="minorHAnsi"/>
          <w:sz w:val="16"/>
          <w:szCs w:val="16"/>
        </w:rPr>
        <w:t>For discussion see eg,</w:t>
      </w:r>
      <w:r w:rsidR="00CB41C8" w:rsidRPr="003A7E36">
        <w:rPr>
          <w:rFonts w:cstheme="minorHAnsi"/>
          <w:sz w:val="16"/>
          <w:szCs w:val="16"/>
        </w:rPr>
        <w:t xml:space="preserve"> </w:t>
      </w:r>
      <w:r w:rsidR="00576579" w:rsidRPr="003A7E36">
        <w:rPr>
          <w:sz w:val="16"/>
          <w:szCs w:val="16"/>
          <w:lang w:val="en-US"/>
        </w:rPr>
        <w:t>Fredman</w:t>
      </w:r>
      <w:r w:rsidR="00F3525F">
        <w:rPr>
          <w:sz w:val="16"/>
          <w:szCs w:val="16"/>
          <w:lang w:val="en-US"/>
        </w:rPr>
        <w:t xml:space="preserve"> (n 11)</w:t>
      </w:r>
      <w:r w:rsidR="00CB41C8" w:rsidRPr="003A7E36">
        <w:rPr>
          <w:sz w:val="16"/>
          <w:szCs w:val="16"/>
          <w:lang w:val="en-US"/>
        </w:rPr>
        <w:t xml:space="preserve">; </w:t>
      </w:r>
      <w:r w:rsidR="00CB41C8" w:rsidRPr="003A7E36">
        <w:rPr>
          <w:rFonts w:cstheme="minorHAnsi"/>
          <w:sz w:val="16"/>
          <w:szCs w:val="16"/>
        </w:rPr>
        <w:t xml:space="preserve">Alice Taylor, ‘The Conflicting Purposes of Australian Anti-Discrimination Law’ (2019) 42(1) </w:t>
      </w:r>
      <w:r w:rsidR="00CB41C8" w:rsidRPr="003A7E36">
        <w:rPr>
          <w:rFonts w:cstheme="minorHAnsi"/>
          <w:i/>
          <w:iCs/>
          <w:sz w:val="16"/>
          <w:szCs w:val="16"/>
        </w:rPr>
        <w:t>University of New South Wales Law Journal</w:t>
      </w:r>
      <w:r w:rsidR="00CB41C8" w:rsidRPr="003A7E36">
        <w:rPr>
          <w:rFonts w:cstheme="minorHAnsi"/>
          <w:sz w:val="16"/>
          <w:szCs w:val="16"/>
        </w:rPr>
        <w:t xml:space="preserve"> 188.</w:t>
      </w:r>
    </w:p>
  </w:footnote>
  <w:footnote w:id="14">
    <w:p w14:paraId="26573A20" w14:textId="21D6D8F6" w:rsidR="00B4727A" w:rsidRPr="00B4727A" w:rsidRDefault="00B4727A" w:rsidP="003A7E36">
      <w:pPr>
        <w:pStyle w:val="FootnoteText"/>
        <w:spacing w:before="0"/>
        <w:rPr>
          <w:lang w:val="en-US"/>
        </w:rPr>
      </w:pPr>
      <w:r w:rsidRPr="003A7E36">
        <w:rPr>
          <w:rStyle w:val="FootnoteReference"/>
          <w:sz w:val="16"/>
          <w:szCs w:val="16"/>
        </w:rPr>
        <w:footnoteRef/>
      </w:r>
      <w:r w:rsidRPr="003A7E36">
        <w:rPr>
          <w:sz w:val="16"/>
          <w:szCs w:val="16"/>
        </w:rPr>
        <w:t xml:space="preserve"> </w:t>
      </w:r>
      <w:r w:rsidRPr="003A7E36">
        <w:rPr>
          <w:sz w:val="16"/>
          <w:szCs w:val="16"/>
          <w:lang w:val="en-US"/>
        </w:rPr>
        <w:t>See eg,</w:t>
      </w:r>
      <w:r w:rsidR="00F3525F">
        <w:rPr>
          <w:sz w:val="16"/>
          <w:szCs w:val="16"/>
          <w:lang w:val="en-US"/>
        </w:rPr>
        <w:t xml:space="preserve"> </w:t>
      </w:r>
      <w:r w:rsidRPr="003A7E36">
        <w:rPr>
          <w:rFonts w:cstheme="minorHAnsi"/>
          <w:sz w:val="16"/>
          <w:szCs w:val="16"/>
        </w:rPr>
        <w:t>Taylor</w:t>
      </w:r>
      <w:r w:rsidR="00F3525F">
        <w:rPr>
          <w:rFonts w:cstheme="minorHAnsi"/>
          <w:sz w:val="16"/>
          <w:szCs w:val="16"/>
        </w:rPr>
        <w:t xml:space="preserve"> (n 12)</w:t>
      </w:r>
      <w:r w:rsidRPr="003A7E36">
        <w:rPr>
          <w:rFonts w:cstheme="minorHAnsi"/>
          <w:sz w:val="16"/>
          <w:szCs w:val="16"/>
        </w:rPr>
        <w:t>.</w:t>
      </w:r>
    </w:p>
  </w:footnote>
  <w:footnote w:id="15">
    <w:p w14:paraId="1050ED10" w14:textId="395F906D" w:rsidR="00A5789F" w:rsidRPr="006E567A" w:rsidRDefault="00A5789F" w:rsidP="00B771B3">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w:t>
      </w:r>
      <w:r w:rsidRPr="006E567A">
        <w:rPr>
          <w:rFonts w:cstheme="minorHAnsi"/>
          <w:sz w:val="16"/>
          <w:szCs w:val="16"/>
          <w:lang w:val="en-US"/>
        </w:rPr>
        <w:t>Public Interest Advocacy Centre (</w:t>
      </w:r>
      <w:r w:rsidR="00DC343C" w:rsidRPr="006E567A">
        <w:rPr>
          <w:rFonts w:cstheme="minorHAnsi"/>
          <w:sz w:val="16"/>
          <w:szCs w:val="16"/>
          <w:lang w:val="en-US"/>
        </w:rPr>
        <w:t xml:space="preserve">n </w:t>
      </w:r>
      <w:r w:rsidR="009072AC">
        <w:rPr>
          <w:rFonts w:cstheme="minorHAnsi"/>
          <w:sz w:val="16"/>
          <w:szCs w:val="16"/>
          <w:lang w:val="en-US"/>
        </w:rPr>
        <w:t>8</w:t>
      </w:r>
      <w:r w:rsidR="00DC343C" w:rsidRPr="006E567A">
        <w:rPr>
          <w:rFonts w:cstheme="minorHAnsi"/>
          <w:sz w:val="16"/>
          <w:szCs w:val="16"/>
          <w:lang w:val="en-US"/>
        </w:rPr>
        <w:t xml:space="preserve">) </w:t>
      </w:r>
      <w:r w:rsidRPr="006E567A">
        <w:rPr>
          <w:rFonts w:cstheme="minorHAnsi"/>
          <w:sz w:val="16"/>
          <w:szCs w:val="16"/>
          <w:lang w:val="en-US"/>
        </w:rPr>
        <w:t>3</w:t>
      </w:r>
      <w:r w:rsidR="00303604" w:rsidRPr="006E567A">
        <w:rPr>
          <w:rFonts w:cstheme="minorHAnsi"/>
          <w:sz w:val="16"/>
          <w:szCs w:val="16"/>
          <w:lang w:val="en-US"/>
        </w:rPr>
        <w:t>.</w:t>
      </w:r>
    </w:p>
  </w:footnote>
  <w:footnote w:id="16">
    <w:p w14:paraId="74A5DCAD" w14:textId="0F1357F9" w:rsidR="008442E0" w:rsidRPr="006E567A" w:rsidRDefault="008442E0" w:rsidP="00B771B3">
      <w:pPr>
        <w:pStyle w:val="FootnoteText"/>
        <w:spacing w:before="0"/>
        <w:rPr>
          <w:rFonts w:cstheme="minorHAnsi"/>
          <w:sz w:val="16"/>
          <w:szCs w:val="16"/>
        </w:rPr>
      </w:pPr>
      <w:r w:rsidRPr="006E567A">
        <w:rPr>
          <w:rStyle w:val="FootnoteReference"/>
          <w:rFonts w:cstheme="minorHAnsi"/>
          <w:sz w:val="16"/>
          <w:szCs w:val="16"/>
        </w:rPr>
        <w:footnoteRef/>
      </w:r>
      <w:r w:rsidRPr="006E567A">
        <w:rPr>
          <w:rFonts w:cstheme="minorHAnsi"/>
          <w:sz w:val="16"/>
          <w:szCs w:val="16"/>
        </w:rPr>
        <w:t xml:space="preserve"> </w:t>
      </w:r>
      <w:r w:rsidR="00342054" w:rsidRPr="006E567A">
        <w:rPr>
          <w:rFonts w:cstheme="minorHAnsi"/>
          <w:sz w:val="16"/>
          <w:szCs w:val="16"/>
        </w:rPr>
        <w:t>See &lt;</w:t>
      </w:r>
      <w:hyperlink r:id="rId4" w:history="1">
        <w:r w:rsidR="00342054" w:rsidRPr="006E567A">
          <w:rPr>
            <w:rStyle w:val="Hyperlink"/>
            <w:rFonts w:cstheme="minorHAnsi"/>
            <w:sz w:val="16"/>
            <w:szCs w:val="16"/>
          </w:rPr>
          <w:t>https://www.aph.gov.au/parliamentary_business/committees/joint/human_rights</w:t>
        </w:r>
      </w:hyperlink>
      <w:r w:rsidR="00342054" w:rsidRPr="006E567A">
        <w:rPr>
          <w:rFonts w:cstheme="minorHAnsi"/>
          <w:sz w:val="16"/>
          <w:szCs w:val="16"/>
        </w:rPr>
        <w:t>&gt;.</w:t>
      </w:r>
    </w:p>
  </w:footnote>
  <w:footnote w:id="17">
    <w:p w14:paraId="375CE078" w14:textId="72F9B615" w:rsidR="00AC1C15" w:rsidRPr="006E567A" w:rsidRDefault="00AC1C15" w:rsidP="009C3D50">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w:t>
      </w:r>
      <w:r w:rsidR="000A6288" w:rsidRPr="006E567A">
        <w:rPr>
          <w:rFonts w:cstheme="minorHAnsi"/>
          <w:sz w:val="16"/>
          <w:szCs w:val="16"/>
        </w:rPr>
        <w:t xml:space="preserve">See </w:t>
      </w:r>
      <w:r w:rsidR="00DC343C" w:rsidRPr="006E567A">
        <w:rPr>
          <w:rFonts w:cstheme="minorHAnsi"/>
          <w:sz w:val="16"/>
          <w:szCs w:val="16"/>
        </w:rPr>
        <w:t>eg</w:t>
      </w:r>
      <w:r w:rsidR="000A6288" w:rsidRPr="006E567A">
        <w:rPr>
          <w:rFonts w:cstheme="minorHAnsi"/>
          <w:sz w:val="16"/>
          <w:szCs w:val="16"/>
        </w:rPr>
        <w:t xml:space="preserve">, </w:t>
      </w:r>
      <w:r w:rsidR="004632B6" w:rsidRPr="006E567A">
        <w:rPr>
          <w:rFonts w:cstheme="minorHAnsi"/>
          <w:sz w:val="16"/>
          <w:szCs w:val="16"/>
        </w:rPr>
        <w:t>Australian Human Rights Commission</w:t>
      </w:r>
      <w:r w:rsidR="00DC343C" w:rsidRPr="006E567A">
        <w:rPr>
          <w:rFonts w:cstheme="minorHAnsi"/>
          <w:sz w:val="16"/>
          <w:szCs w:val="16"/>
        </w:rPr>
        <w:t xml:space="preserve">, </w:t>
      </w:r>
      <w:r w:rsidR="004632B6" w:rsidRPr="006E567A">
        <w:rPr>
          <w:rFonts w:cstheme="minorHAnsi"/>
          <w:i/>
          <w:iCs/>
          <w:sz w:val="16"/>
          <w:szCs w:val="16"/>
        </w:rPr>
        <w:t>Inquiry into Australia’s Human Rights Framework</w:t>
      </w:r>
      <w:r w:rsidR="00EC689E" w:rsidRPr="006E567A">
        <w:rPr>
          <w:rFonts w:cstheme="minorHAnsi"/>
          <w:sz w:val="16"/>
          <w:szCs w:val="16"/>
        </w:rPr>
        <w:t>. Australian Hum</w:t>
      </w:r>
      <w:r w:rsidR="007F7134" w:rsidRPr="006E567A">
        <w:rPr>
          <w:rFonts w:cstheme="minorHAnsi"/>
          <w:sz w:val="16"/>
          <w:szCs w:val="16"/>
        </w:rPr>
        <w:t>an</w:t>
      </w:r>
      <w:r w:rsidR="00EC689E" w:rsidRPr="006E567A">
        <w:rPr>
          <w:rFonts w:cstheme="minorHAnsi"/>
          <w:sz w:val="16"/>
          <w:szCs w:val="16"/>
        </w:rPr>
        <w:t xml:space="preserve"> Rights Commission Submission to the Parliamentary Joint Committee on Human Rights </w:t>
      </w:r>
      <w:r w:rsidR="007F7134" w:rsidRPr="006E567A">
        <w:rPr>
          <w:rFonts w:cstheme="minorHAnsi"/>
          <w:sz w:val="16"/>
          <w:szCs w:val="16"/>
        </w:rPr>
        <w:t>(</w:t>
      </w:r>
      <w:r w:rsidR="00EC689E" w:rsidRPr="006E567A">
        <w:rPr>
          <w:rFonts w:cstheme="minorHAnsi"/>
          <w:sz w:val="16"/>
          <w:szCs w:val="16"/>
        </w:rPr>
        <w:t>May 2023)</w:t>
      </w:r>
      <w:r w:rsidR="007F7134" w:rsidRPr="006E567A">
        <w:rPr>
          <w:rFonts w:cstheme="minorHAnsi"/>
          <w:sz w:val="16"/>
          <w:szCs w:val="16"/>
        </w:rPr>
        <w:t xml:space="preserve"> </w:t>
      </w:r>
      <w:r w:rsidR="00342054" w:rsidRPr="006E567A">
        <w:rPr>
          <w:rFonts w:cstheme="minorHAnsi"/>
          <w:sz w:val="16"/>
          <w:szCs w:val="16"/>
        </w:rPr>
        <w:t>&lt;</w:t>
      </w:r>
      <w:hyperlink r:id="rId5" w:history="1">
        <w:r w:rsidR="00342054" w:rsidRPr="006E567A">
          <w:rPr>
            <w:rStyle w:val="Hyperlink"/>
            <w:rFonts w:cstheme="minorHAnsi"/>
            <w:sz w:val="16"/>
            <w:szCs w:val="16"/>
          </w:rPr>
          <w:t>https://humanrights.gov.au/our-work/legal/submission/submission-inquiry-australias-human-rights-framework</w:t>
        </w:r>
      </w:hyperlink>
      <w:r w:rsidR="00342054" w:rsidRPr="006E567A">
        <w:rPr>
          <w:rStyle w:val="Hyperlink"/>
          <w:rFonts w:cstheme="minorHAnsi"/>
          <w:sz w:val="16"/>
          <w:szCs w:val="16"/>
        </w:rPr>
        <w:t>&gt;</w:t>
      </w:r>
      <w:r w:rsidR="007F7134" w:rsidRPr="006E567A">
        <w:rPr>
          <w:rFonts w:cstheme="minorHAnsi"/>
          <w:sz w:val="16"/>
          <w:szCs w:val="16"/>
        </w:rPr>
        <w:t xml:space="preserve">; </w:t>
      </w:r>
      <w:r w:rsidR="00987F58" w:rsidRPr="006E567A">
        <w:rPr>
          <w:rFonts w:cstheme="minorHAnsi"/>
          <w:sz w:val="16"/>
          <w:szCs w:val="16"/>
          <w:lang w:val="en-US"/>
        </w:rPr>
        <w:t>Australian Human Rights Commission</w:t>
      </w:r>
      <w:r w:rsidR="00857C67" w:rsidRPr="006E567A">
        <w:rPr>
          <w:rFonts w:cstheme="minorHAnsi"/>
          <w:sz w:val="16"/>
          <w:szCs w:val="16"/>
          <w:lang w:val="en-US"/>
        </w:rPr>
        <w:t xml:space="preserve">, </w:t>
      </w:r>
      <w:r w:rsidR="000A6288" w:rsidRPr="006E567A">
        <w:rPr>
          <w:rFonts w:cstheme="minorHAnsi"/>
          <w:i/>
          <w:iCs/>
          <w:sz w:val="16"/>
          <w:szCs w:val="16"/>
          <w:lang w:val="en-US"/>
        </w:rPr>
        <w:t xml:space="preserve">Free </w:t>
      </w:r>
      <w:r w:rsidR="004038C9" w:rsidRPr="006E567A">
        <w:rPr>
          <w:rFonts w:cstheme="minorHAnsi"/>
          <w:i/>
          <w:iCs/>
          <w:sz w:val="16"/>
          <w:szCs w:val="16"/>
          <w:lang w:val="en-US"/>
        </w:rPr>
        <w:t>and</w:t>
      </w:r>
      <w:r w:rsidR="000A6288" w:rsidRPr="006E567A">
        <w:rPr>
          <w:rFonts w:cstheme="minorHAnsi"/>
          <w:i/>
          <w:iCs/>
          <w:sz w:val="16"/>
          <w:szCs w:val="16"/>
          <w:lang w:val="en-US"/>
        </w:rPr>
        <w:t xml:space="preserve"> Equal. Position paper: A Human Rights Act for Australia</w:t>
      </w:r>
      <w:r w:rsidR="004038C9" w:rsidRPr="006E567A">
        <w:rPr>
          <w:rFonts w:cstheme="minorHAnsi"/>
          <w:i/>
          <w:iCs/>
          <w:sz w:val="16"/>
          <w:szCs w:val="16"/>
          <w:lang w:val="en-US"/>
        </w:rPr>
        <w:t xml:space="preserve"> </w:t>
      </w:r>
      <w:r w:rsidR="004038C9" w:rsidRPr="006E567A">
        <w:rPr>
          <w:rFonts w:cstheme="minorHAnsi"/>
          <w:sz w:val="16"/>
          <w:szCs w:val="16"/>
          <w:lang w:val="en-US"/>
        </w:rPr>
        <w:t>(December 2022)</w:t>
      </w:r>
      <w:r w:rsidR="001E1C7B" w:rsidRPr="006E567A">
        <w:rPr>
          <w:rFonts w:cstheme="minorHAnsi"/>
          <w:sz w:val="16"/>
          <w:szCs w:val="16"/>
          <w:lang w:val="en-US"/>
        </w:rPr>
        <w:t xml:space="preserve"> </w:t>
      </w:r>
      <w:r w:rsidR="00342054" w:rsidRPr="006E567A">
        <w:rPr>
          <w:rFonts w:cstheme="minorHAnsi"/>
          <w:sz w:val="16"/>
          <w:szCs w:val="16"/>
          <w:lang w:val="en-US"/>
        </w:rPr>
        <w:t>&lt;</w:t>
      </w:r>
      <w:hyperlink r:id="rId6" w:history="1">
        <w:r w:rsidR="00342054" w:rsidRPr="006E567A">
          <w:rPr>
            <w:rStyle w:val="Hyperlink"/>
            <w:rFonts w:cstheme="minorHAnsi"/>
            <w:sz w:val="16"/>
            <w:szCs w:val="16"/>
            <w:lang w:val="en-US"/>
          </w:rPr>
          <w:t>https://humanrights.gov.au/human-rights-act-for-australia</w:t>
        </w:r>
      </w:hyperlink>
      <w:r w:rsidR="00342054" w:rsidRPr="006E567A">
        <w:rPr>
          <w:rStyle w:val="Hyperlink"/>
          <w:rFonts w:cstheme="minorHAnsi"/>
          <w:sz w:val="16"/>
          <w:szCs w:val="16"/>
          <w:lang w:val="en-US"/>
        </w:rPr>
        <w:t>&gt;.</w:t>
      </w:r>
      <w:r w:rsidR="001E1C7B" w:rsidRPr="006E567A">
        <w:rPr>
          <w:rFonts w:cstheme="minorHAnsi"/>
          <w:sz w:val="16"/>
          <w:szCs w:val="16"/>
          <w:lang w:val="en-US"/>
        </w:rPr>
        <w:t xml:space="preserve"> </w:t>
      </w:r>
    </w:p>
  </w:footnote>
  <w:footnote w:id="18">
    <w:p w14:paraId="66FB82C6" w14:textId="75D0048B" w:rsidR="00C04E8D" w:rsidRPr="006E567A" w:rsidRDefault="00C04E8D" w:rsidP="00E329D9">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lang w:val="en-US"/>
        </w:rPr>
        <w:t xml:space="preserve"> </w:t>
      </w:r>
      <w:r w:rsidR="00857C67" w:rsidRPr="006E567A">
        <w:rPr>
          <w:rFonts w:cstheme="minorHAnsi"/>
          <w:sz w:val="16"/>
          <w:szCs w:val="16"/>
          <w:lang w:val="en-US"/>
        </w:rPr>
        <w:t xml:space="preserve">Rosalind </w:t>
      </w:r>
      <w:r w:rsidRPr="006E567A">
        <w:rPr>
          <w:rFonts w:cstheme="minorHAnsi"/>
          <w:sz w:val="16"/>
          <w:szCs w:val="16"/>
          <w:lang w:val="en-US"/>
        </w:rPr>
        <w:t>Crouche</w:t>
      </w:r>
      <w:r w:rsidR="00A53AAB" w:rsidRPr="006E567A">
        <w:rPr>
          <w:rFonts w:cstheme="minorHAnsi"/>
          <w:sz w:val="16"/>
          <w:szCs w:val="16"/>
          <w:lang w:val="en-US"/>
        </w:rPr>
        <w:t>r, ‘A new national human rights framework for Australia’</w:t>
      </w:r>
      <w:r w:rsidR="00857C67" w:rsidRPr="006E567A">
        <w:rPr>
          <w:rFonts w:cstheme="minorHAnsi"/>
          <w:sz w:val="16"/>
          <w:szCs w:val="16"/>
          <w:lang w:val="en-US"/>
        </w:rPr>
        <w:t xml:space="preserve"> (S</w:t>
      </w:r>
      <w:r w:rsidR="00A53AAB" w:rsidRPr="006E567A">
        <w:rPr>
          <w:rFonts w:cstheme="minorHAnsi"/>
          <w:sz w:val="16"/>
          <w:szCs w:val="16"/>
          <w:lang w:val="en-US"/>
        </w:rPr>
        <w:t>peech</w:t>
      </w:r>
      <w:r w:rsidR="00857C67" w:rsidRPr="006E567A">
        <w:rPr>
          <w:rFonts w:cstheme="minorHAnsi"/>
          <w:sz w:val="16"/>
          <w:szCs w:val="16"/>
          <w:lang w:val="en-US"/>
        </w:rPr>
        <w:t xml:space="preserve">, </w:t>
      </w:r>
      <w:r w:rsidR="00E9268F" w:rsidRPr="006E567A">
        <w:rPr>
          <w:rFonts w:cstheme="minorHAnsi"/>
          <w:sz w:val="16"/>
          <w:szCs w:val="16"/>
          <w:lang w:val="en-US"/>
        </w:rPr>
        <w:t>Annual Castan Centre for Human Rights Law Conference, 21 July 2023</w:t>
      </w:r>
      <w:r w:rsidR="00857C67" w:rsidRPr="006E567A">
        <w:rPr>
          <w:rFonts w:cstheme="minorHAnsi"/>
          <w:sz w:val="16"/>
          <w:szCs w:val="16"/>
          <w:lang w:val="en-US"/>
        </w:rPr>
        <w:t>)</w:t>
      </w:r>
      <w:r w:rsidR="00342054" w:rsidRPr="006E567A">
        <w:rPr>
          <w:rFonts w:cstheme="minorHAnsi"/>
          <w:sz w:val="16"/>
          <w:szCs w:val="16"/>
          <w:lang w:val="en-US"/>
        </w:rPr>
        <w:t xml:space="preserve"> &lt;</w:t>
      </w:r>
      <w:hyperlink r:id="rId7" w:history="1">
        <w:r w:rsidR="00E329D9" w:rsidRPr="006E567A">
          <w:rPr>
            <w:rStyle w:val="Hyperlink"/>
            <w:rFonts w:cstheme="minorHAnsi"/>
            <w:sz w:val="16"/>
            <w:szCs w:val="16"/>
            <w:lang w:val="en-US"/>
          </w:rPr>
          <w:t>https://humanrights.gov.au/about/news/speeches/new-national-human-rights-framework-australia</w:t>
        </w:r>
      </w:hyperlink>
      <w:r w:rsidR="00342054" w:rsidRPr="006E567A">
        <w:rPr>
          <w:rFonts w:cstheme="minorHAnsi"/>
          <w:sz w:val="16"/>
          <w:szCs w:val="16"/>
          <w:lang w:val="en-US"/>
        </w:rPr>
        <w:t>&gt;.</w:t>
      </w:r>
    </w:p>
  </w:footnote>
  <w:footnote w:id="19">
    <w:p w14:paraId="0AC962A0" w14:textId="132A8802" w:rsidR="005F69E3" w:rsidRPr="006E567A" w:rsidRDefault="005F69E3" w:rsidP="00BF224C">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w:t>
      </w:r>
      <w:r w:rsidR="001E24DE" w:rsidRPr="006E567A">
        <w:rPr>
          <w:rFonts w:cstheme="minorHAnsi"/>
          <w:sz w:val="16"/>
          <w:szCs w:val="16"/>
        </w:rPr>
        <w:t>Kayess and Sands</w:t>
      </w:r>
      <w:r w:rsidR="00303604" w:rsidRPr="006E567A">
        <w:rPr>
          <w:rFonts w:cstheme="minorHAnsi"/>
          <w:sz w:val="16"/>
          <w:szCs w:val="16"/>
        </w:rPr>
        <w:t xml:space="preserve"> (n 3)</w:t>
      </w:r>
      <w:r w:rsidR="00B53343" w:rsidRPr="006E567A">
        <w:rPr>
          <w:rFonts w:cstheme="minorHAnsi"/>
          <w:sz w:val="16"/>
          <w:szCs w:val="16"/>
        </w:rPr>
        <w:t>;</w:t>
      </w:r>
      <w:r w:rsidRPr="006E567A">
        <w:rPr>
          <w:rFonts w:cstheme="minorHAnsi"/>
          <w:sz w:val="16"/>
          <w:szCs w:val="16"/>
        </w:rPr>
        <w:t xml:space="preserve"> Australian Bureau of Statistics</w:t>
      </w:r>
      <w:r w:rsidR="004038C9" w:rsidRPr="006E567A">
        <w:rPr>
          <w:rFonts w:cstheme="minorHAnsi"/>
          <w:sz w:val="16"/>
          <w:szCs w:val="16"/>
        </w:rPr>
        <w:t xml:space="preserve"> (n 1) </w:t>
      </w:r>
      <w:r w:rsidRPr="006E567A">
        <w:rPr>
          <w:rFonts w:cstheme="minorHAnsi"/>
          <w:sz w:val="16"/>
          <w:szCs w:val="16"/>
        </w:rPr>
        <w:t>9</w:t>
      </w:r>
      <w:r w:rsidR="00303604" w:rsidRPr="006E567A">
        <w:rPr>
          <w:rFonts w:cstheme="minorHAnsi"/>
          <w:sz w:val="16"/>
          <w:szCs w:val="16"/>
        </w:rPr>
        <w:t>.</w:t>
      </w:r>
    </w:p>
  </w:footnote>
  <w:footnote w:id="20">
    <w:p w14:paraId="56451664" w14:textId="217571B0" w:rsidR="00604557" w:rsidRPr="006E567A" w:rsidRDefault="00604557" w:rsidP="00BF224C">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Committee on the Rights of Persons with Disabilities, </w:t>
      </w:r>
      <w:r w:rsidRPr="006E567A">
        <w:rPr>
          <w:rFonts w:cstheme="minorHAnsi"/>
          <w:i/>
          <w:iCs/>
          <w:sz w:val="16"/>
          <w:szCs w:val="16"/>
        </w:rPr>
        <w:t>General comment No. 6 (2018) Equality and non-discrimination</w:t>
      </w:r>
      <w:r w:rsidRPr="006E567A">
        <w:rPr>
          <w:rFonts w:cstheme="minorHAnsi"/>
          <w:sz w:val="16"/>
          <w:szCs w:val="16"/>
        </w:rPr>
        <w:t xml:space="preserve"> CRPD/C/GC/6 (26 April 2018) </w:t>
      </w:r>
      <w:r w:rsidR="00857C67" w:rsidRPr="006E567A">
        <w:rPr>
          <w:rFonts w:cstheme="minorHAnsi"/>
          <w:sz w:val="16"/>
          <w:szCs w:val="16"/>
        </w:rPr>
        <w:t>[</w:t>
      </w:r>
      <w:r w:rsidR="004038C9" w:rsidRPr="006E567A">
        <w:rPr>
          <w:rFonts w:cstheme="minorHAnsi"/>
          <w:sz w:val="16"/>
          <w:szCs w:val="16"/>
        </w:rPr>
        <w:t>9</w:t>
      </w:r>
      <w:r w:rsidR="00857C67" w:rsidRPr="006E567A">
        <w:rPr>
          <w:rFonts w:cstheme="minorHAnsi"/>
          <w:sz w:val="16"/>
          <w:szCs w:val="16"/>
        </w:rPr>
        <w:t>]</w:t>
      </w:r>
      <w:r w:rsidR="004038C9" w:rsidRPr="006E567A">
        <w:rPr>
          <w:rFonts w:cstheme="minorHAnsi"/>
          <w:sz w:val="16"/>
          <w:szCs w:val="16"/>
        </w:rPr>
        <w:t>.</w:t>
      </w:r>
    </w:p>
  </w:footnote>
  <w:footnote w:id="21">
    <w:p w14:paraId="3E8B96C3" w14:textId="407A1570" w:rsidR="00277161" w:rsidRPr="006E567A" w:rsidRDefault="00277161" w:rsidP="00277161">
      <w:pPr>
        <w:pStyle w:val="FootnoteText"/>
        <w:spacing w:before="0"/>
        <w:rPr>
          <w:rFonts w:cstheme="minorHAnsi"/>
          <w:sz w:val="16"/>
          <w:szCs w:val="16"/>
        </w:rPr>
      </w:pPr>
      <w:r w:rsidRPr="006E567A">
        <w:rPr>
          <w:rStyle w:val="FootnoteReference"/>
          <w:rFonts w:cstheme="minorHAnsi"/>
          <w:sz w:val="16"/>
          <w:szCs w:val="16"/>
        </w:rPr>
        <w:footnoteRef/>
      </w:r>
      <w:r w:rsidRPr="006E567A">
        <w:rPr>
          <w:rFonts w:cstheme="minorHAnsi"/>
          <w:sz w:val="16"/>
          <w:szCs w:val="16"/>
        </w:rPr>
        <w:t xml:space="preserve"> See </w:t>
      </w:r>
      <w:r w:rsidR="004038C9" w:rsidRPr="006E567A">
        <w:rPr>
          <w:rFonts w:cstheme="minorHAnsi"/>
          <w:sz w:val="16"/>
          <w:szCs w:val="16"/>
        </w:rPr>
        <w:t>eg</w:t>
      </w:r>
      <w:r w:rsidR="004976EC">
        <w:rPr>
          <w:rFonts w:cstheme="minorHAnsi"/>
          <w:sz w:val="16"/>
          <w:szCs w:val="16"/>
        </w:rPr>
        <w:t>,</w:t>
      </w:r>
      <w:r w:rsidRPr="006E567A">
        <w:rPr>
          <w:rFonts w:cstheme="minorHAnsi"/>
          <w:sz w:val="16"/>
          <w:szCs w:val="16"/>
        </w:rPr>
        <w:t xml:space="preserve"> Beth Gaze and Belinda Smith, </w:t>
      </w:r>
      <w:r w:rsidRPr="006E567A">
        <w:rPr>
          <w:rFonts w:cstheme="minorHAnsi"/>
          <w:i/>
          <w:iCs/>
          <w:sz w:val="16"/>
          <w:szCs w:val="16"/>
        </w:rPr>
        <w:t>Equality and Discrimination Law in Australia: An Introduction</w:t>
      </w:r>
      <w:r w:rsidR="00857C67" w:rsidRPr="006E567A">
        <w:rPr>
          <w:rFonts w:cstheme="minorHAnsi"/>
          <w:sz w:val="16"/>
          <w:szCs w:val="16"/>
        </w:rPr>
        <w:t xml:space="preserve"> (</w:t>
      </w:r>
      <w:r w:rsidRPr="006E567A">
        <w:rPr>
          <w:rFonts w:cstheme="minorHAnsi"/>
          <w:sz w:val="16"/>
          <w:szCs w:val="16"/>
        </w:rPr>
        <w:t>Cambridge University Press,</w:t>
      </w:r>
      <w:r w:rsidR="00857C67" w:rsidRPr="006E567A">
        <w:rPr>
          <w:rFonts w:cstheme="minorHAnsi"/>
          <w:sz w:val="16"/>
          <w:szCs w:val="16"/>
        </w:rPr>
        <w:t xml:space="preserve"> </w:t>
      </w:r>
      <w:r w:rsidRPr="006E567A">
        <w:rPr>
          <w:rFonts w:cstheme="minorHAnsi"/>
          <w:sz w:val="16"/>
          <w:szCs w:val="16"/>
        </w:rPr>
        <w:t>2017) 84.</w:t>
      </w:r>
    </w:p>
  </w:footnote>
  <w:footnote w:id="22">
    <w:p w14:paraId="0C239D32" w14:textId="2C083DB4" w:rsidR="00277161" w:rsidRPr="006E567A" w:rsidRDefault="00277161" w:rsidP="00277161">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w:t>
      </w:r>
      <w:r w:rsidR="004038C9" w:rsidRPr="006E567A">
        <w:rPr>
          <w:rFonts w:cstheme="minorHAnsi"/>
          <w:sz w:val="16"/>
          <w:szCs w:val="16"/>
          <w:lang w:val="en-US"/>
        </w:rPr>
        <w:t>Australian Human Rights Commission</w:t>
      </w:r>
      <w:r w:rsidR="00303604" w:rsidRPr="006E567A">
        <w:rPr>
          <w:rFonts w:cstheme="minorHAnsi"/>
          <w:sz w:val="16"/>
          <w:szCs w:val="16"/>
          <w:lang w:val="en-US"/>
        </w:rPr>
        <w:t xml:space="preserve"> (n </w:t>
      </w:r>
      <w:r w:rsidR="00B53343" w:rsidRPr="006E567A">
        <w:rPr>
          <w:rFonts w:cstheme="minorHAnsi"/>
          <w:sz w:val="16"/>
          <w:szCs w:val="16"/>
          <w:lang w:val="en-US"/>
        </w:rPr>
        <w:t>7</w:t>
      </w:r>
      <w:r w:rsidR="00303604" w:rsidRPr="006E567A">
        <w:rPr>
          <w:rFonts w:cstheme="minorHAnsi"/>
          <w:sz w:val="16"/>
          <w:szCs w:val="16"/>
          <w:lang w:val="en-US"/>
        </w:rPr>
        <w:t xml:space="preserve">) </w:t>
      </w:r>
      <w:r w:rsidRPr="006E567A">
        <w:rPr>
          <w:rFonts w:cstheme="minorHAnsi"/>
          <w:sz w:val="16"/>
          <w:szCs w:val="16"/>
          <w:lang w:val="en-US"/>
        </w:rPr>
        <w:t>222</w:t>
      </w:r>
      <w:r w:rsidR="00857C67" w:rsidRPr="006E567A">
        <w:rPr>
          <w:rFonts w:cstheme="minorHAnsi"/>
          <w:sz w:val="16"/>
          <w:szCs w:val="16"/>
          <w:lang w:val="en-US"/>
        </w:rPr>
        <w:t>.</w:t>
      </w:r>
    </w:p>
  </w:footnote>
  <w:footnote w:id="23">
    <w:p w14:paraId="4BF844E4" w14:textId="158A4F7C" w:rsidR="001C07CA" w:rsidRPr="006E567A" w:rsidRDefault="001C07CA" w:rsidP="001C07CA">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w:t>
      </w:r>
      <w:r w:rsidRPr="006E567A">
        <w:rPr>
          <w:rFonts w:cstheme="minorHAnsi"/>
          <w:sz w:val="16"/>
          <w:szCs w:val="16"/>
          <w:lang w:val="en-US"/>
        </w:rPr>
        <w:t xml:space="preserve">See </w:t>
      </w:r>
      <w:r w:rsidR="004038C9" w:rsidRPr="006E567A">
        <w:rPr>
          <w:rFonts w:cstheme="minorHAnsi"/>
          <w:sz w:val="16"/>
          <w:szCs w:val="16"/>
          <w:lang w:val="en-US"/>
        </w:rPr>
        <w:t>eg</w:t>
      </w:r>
      <w:r w:rsidR="00857C67" w:rsidRPr="006E567A">
        <w:rPr>
          <w:rFonts w:cstheme="minorHAnsi"/>
          <w:sz w:val="16"/>
          <w:szCs w:val="16"/>
          <w:lang w:val="en-US"/>
        </w:rPr>
        <w:t>,</w:t>
      </w:r>
      <w:r w:rsidRPr="006E567A">
        <w:rPr>
          <w:rFonts w:cstheme="minorHAnsi"/>
          <w:sz w:val="16"/>
          <w:szCs w:val="16"/>
          <w:lang w:val="en-US"/>
        </w:rPr>
        <w:t xml:space="preserve"> </w:t>
      </w:r>
      <w:r w:rsidR="00D43E4C" w:rsidRPr="006E567A">
        <w:rPr>
          <w:rFonts w:cstheme="minorHAnsi"/>
          <w:sz w:val="16"/>
          <w:szCs w:val="16"/>
          <w:lang w:val="en-US"/>
        </w:rPr>
        <w:t>ibid,</w:t>
      </w:r>
      <w:r w:rsidR="004038C9" w:rsidRPr="006E567A">
        <w:rPr>
          <w:rFonts w:cstheme="minorHAnsi"/>
          <w:sz w:val="16"/>
          <w:szCs w:val="16"/>
          <w:lang w:val="en-US"/>
        </w:rPr>
        <w:t xml:space="preserve"> </w:t>
      </w:r>
      <w:r w:rsidRPr="006E567A">
        <w:rPr>
          <w:rFonts w:cstheme="minorHAnsi"/>
          <w:sz w:val="16"/>
          <w:szCs w:val="16"/>
          <w:lang w:val="en-US"/>
        </w:rPr>
        <w:t>Ch. 4.7</w:t>
      </w:r>
    </w:p>
  </w:footnote>
  <w:footnote w:id="24">
    <w:p w14:paraId="4D523F49" w14:textId="369E3E27" w:rsidR="00277161" w:rsidRPr="006E567A" w:rsidRDefault="00277161" w:rsidP="00277161">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w:t>
      </w:r>
      <w:r w:rsidR="00D43E4C" w:rsidRPr="006E567A">
        <w:rPr>
          <w:rFonts w:cstheme="minorHAnsi"/>
          <w:sz w:val="16"/>
          <w:szCs w:val="16"/>
          <w:lang w:val="en-US"/>
        </w:rPr>
        <w:t>Ibid,</w:t>
      </w:r>
      <w:r w:rsidR="004038C9" w:rsidRPr="006E567A">
        <w:rPr>
          <w:rFonts w:cstheme="minorHAnsi"/>
          <w:sz w:val="16"/>
          <w:szCs w:val="16"/>
          <w:lang w:val="en-US"/>
        </w:rPr>
        <w:t xml:space="preserve"> </w:t>
      </w:r>
      <w:r w:rsidRPr="006E567A">
        <w:rPr>
          <w:rFonts w:cstheme="minorHAnsi"/>
          <w:sz w:val="16"/>
          <w:szCs w:val="16"/>
          <w:lang w:val="en-US"/>
        </w:rPr>
        <w:t>222</w:t>
      </w:r>
    </w:p>
  </w:footnote>
  <w:footnote w:id="25">
    <w:p w14:paraId="6752AF3B" w14:textId="5935430F" w:rsidR="00277161" w:rsidRPr="006E567A" w:rsidRDefault="00277161" w:rsidP="00277161">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lang w:val="en-US"/>
        </w:rPr>
        <w:t xml:space="preserve"> Beth Goldblatt</w:t>
      </w:r>
      <w:r w:rsidR="00D43E4C" w:rsidRPr="006E567A">
        <w:rPr>
          <w:rFonts w:cstheme="minorHAnsi"/>
          <w:sz w:val="16"/>
          <w:szCs w:val="16"/>
          <w:lang w:val="en-US"/>
        </w:rPr>
        <w:t>,</w:t>
      </w:r>
      <w:r w:rsidRPr="006E567A">
        <w:rPr>
          <w:rFonts w:cstheme="minorHAnsi"/>
          <w:sz w:val="16"/>
          <w:szCs w:val="16"/>
          <w:lang w:val="en-US"/>
        </w:rPr>
        <w:t xml:space="preserve"> </w:t>
      </w:r>
      <w:r w:rsidR="00D43E4C" w:rsidRPr="006E567A">
        <w:rPr>
          <w:rFonts w:cstheme="minorHAnsi"/>
          <w:sz w:val="16"/>
          <w:szCs w:val="16"/>
          <w:lang w:val="en-US"/>
        </w:rPr>
        <w:t>‘</w:t>
      </w:r>
      <w:r w:rsidRPr="006E567A">
        <w:rPr>
          <w:rFonts w:cstheme="minorHAnsi"/>
          <w:sz w:val="16"/>
          <w:szCs w:val="16"/>
          <w:lang w:val="en-US"/>
        </w:rPr>
        <w:t>Intersectionality in international anti-discrimination law: addressing poverty in its complexity</w:t>
      </w:r>
      <w:r w:rsidR="00D43E4C" w:rsidRPr="006E567A">
        <w:rPr>
          <w:rFonts w:cstheme="minorHAnsi"/>
          <w:sz w:val="16"/>
          <w:szCs w:val="16"/>
          <w:lang w:val="en-US"/>
        </w:rPr>
        <w:t xml:space="preserve"> (2015) 21(1) </w:t>
      </w:r>
      <w:r w:rsidRPr="006E567A">
        <w:rPr>
          <w:rFonts w:cstheme="minorHAnsi"/>
          <w:i/>
          <w:iCs/>
          <w:sz w:val="16"/>
          <w:szCs w:val="16"/>
          <w:lang w:val="en-US"/>
        </w:rPr>
        <w:t>Australian Journal of Human Rights</w:t>
      </w:r>
      <w:r w:rsidR="00D43E4C" w:rsidRPr="006E567A">
        <w:rPr>
          <w:rFonts w:cstheme="minorHAnsi"/>
          <w:sz w:val="16"/>
          <w:szCs w:val="16"/>
          <w:lang w:val="en-US"/>
        </w:rPr>
        <w:t xml:space="preserve"> </w:t>
      </w:r>
      <w:r w:rsidRPr="006E567A">
        <w:rPr>
          <w:rFonts w:cstheme="minorHAnsi"/>
          <w:sz w:val="16"/>
          <w:szCs w:val="16"/>
          <w:lang w:val="en-US"/>
        </w:rPr>
        <w:t>47.</w:t>
      </w:r>
    </w:p>
  </w:footnote>
  <w:footnote w:id="26">
    <w:p w14:paraId="2D86C465" w14:textId="33A4F7B2" w:rsidR="001A397A" w:rsidRPr="006E567A" w:rsidRDefault="001A397A" w:rsidP="009C3D50">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Australia’s Disability Strategy Hub, </w:t>
      </w:r>
      <w:hyperlink r:id="rId8" w:history="1">
        <w:r w:rsidRPr="006E567A">
          <w:rPr>
            <w:rStyle w:val="Hyperlink"/>
            <w:rFonts w:cstheme="minorHAnsi"/>
            <w:sz w:val="16"/>
            <w:szCs w:val="16"/>
          </w:rPr>
          <w:t>https://www.disabilitygateway.gov.au/ads</w:t>
        </w:r>
      </w:hyperlink>
      <w:r w:rsidRPr="006E567A">
        <w:rPr>
          <w:rFonts w:cstheme="minorHAnsi"/>
          <w:sz w:val="16"/>
          <w:szCs w:val="16"/>
        </w:rPr>
        <w:t xml:space="preserve"> </w:t>
      </w:r>
    </w:p>
  </w:footnote>
  <w:footnote w:id="27">
    <w:p w14:paraId="79497A27" w14:textId="014F9E74" w:rsidR="001F7002" w:rsidRPr="006E567A" w:rsidRDefault="001F7002" w:rsidP="009C3D50">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See </w:t>
      </w:r>
      <w:r w:rsidR="004038C9" w:rsidRPr="006E567A">
        <w:rPr>
          <w:rFonts w:cstheme="minorHAnsi"/>
          <w:sz w:val="16"/>
          <w:szCs w:val="16"/>
        </w:rPr>
        <w:t>eg</w:t>
      </w:r>
      <w:r w:rsidR="001E24DE" w:rsidRPr="006E567A">
        <w:rPr>
          <w:rFonts w:cstheme="minorHAnsi"/>
          <w:sz w:val="16"/>
          <w:szCs w:val="16"/>
        </w:rPr>
        <w:t>,</w:t>
      </w:r>
      <w:r w:rsidR="006A1390" w:rsidRPr="006E567A">
        <w:rPr>
          <w:rFonts w:cstheme="minorHAnsi"/>
          <w:sz w:val="16"/>
          <w:szCs w:val="16"/>
        </w:rPr>
        <w:t xml:space="preserve"> </w:t>
      </w:r>
      <w:r w:rsidR="00463F79" w:rsidRPr="006E567A">
        <w:rPr>
          <w:rFonts w:cstheme="minorHAnsi"/>
          <w:sz w:val="16"/>
          <w:szCs w:val="16"/>
        </w:rPr>
        <w:t xml:space="preserve">full report at </w:t>
      </w:r>
      <w:r w:rsidR="00342054" w:rsidRPr="006E567A">
        <w:rPr>
          <w:rFonts w:cstheme="minorHAnsi"/>
          <w:sz w:val="16"/>
          <w:szCs w:val="16"/>
        </w:rPr>
        <w:t>&lt;</w:t>
      </w:r>
      <w:hyperlink r:id="rId9" w:history="1">
        <w:r w:rsidR="00342054" w:rsidRPr="006E567A">
          <w:rPr>
            <w:rStyle w:val="Hyperlink"/>
            <w:rFonts w:cstheme="minorHAnsi"/>
            <w:sz w:val="16"/>
            <w:szCs w:val="16"/>
          </w:rPr>
          <w:t>https://apo.org.au/node/315602</w:t>
        </w:r>
      </w:hyperlink>
      <w:r w:rsidR="00342054" w:rsidRPr="006E567A">
        <w:rPr>
          <w:rStyle w:val="Hyperlink"/>
          <w:rFonts w:cstheme="minorHAnsi"/>
          <w:sz w:val="16"/>
          <w:szCs w:val="16"/>
        </w:rPr>
        <w:t>&gt;</w:t>
      </w:r>
      <w:r w:rsidR="006A1390" w:rsidRPr="006E567A">
        <w:rPr>
          <w:rFonts w:cstheme="minorHAnsi"/>
          <w:sz w:val="16"/>
          <w:szCs w:val="16"/>
        </w:rPr>
        <w:t>. For broad overview</w:t>
      </w:r>
      <w:r w:rsidR="00463F79" w:rsidRPr="006E567A">
        <w:rPr>
          <w:rFonts w:cstheme="minorHAnsi"/>
          <w:sz w:val="16"/>
          <w:szCs w:val="16"/>
        </w:rPr>
        <w:t xml:space="preserve"> including summary reports</w:t>
      </w:r>
      <w:r w:rsidR="006A1390" w:rsidRPr="006E567A">
        <w:rPr>
          <w:rFonts w:cstheme="minorHAnsi"/>
          <w:sz w:val="16"/>
          <w:szCs w:val="16"/>
        </w:rPr>
        <w:t xml:space="preserve"> see</w:t>
      </w:r>
      <w:r w:rsidRPr="006E567A">
        <w:rPr>
          <w:rFonts w:cstheme="minorHAnsi"/>
          <w:sz w:val="16"/>
          <w:szCs w:val="16"/>
        </w:rPr>
        <w:t xml:space="preserve"> </w:t>
      </w:r>
      <w:r w:rsidR="00342054" w:rsidRPr="006E567A">
        <w:rPr>
          <w:rFonts w:cstheme="minorHAnsi"/>
          <w:sz w:val="16"/>
          <w:szCs w:val="16"/>
        </w:rPr>
        <w:t>&lt;</w:t>
      </w:r>
      <w:hyperlink r:id="rId10" w:history="1">
        <w:r w:rsidR="00342054" w:rsidRPr="006E567A">
          <w:rPr>
            <w:rStyle w:val="Hyperlink"/>
            <w:rFonts w:cstheme="minorHAnsi"/>
            <w:sz w:val="16"/>
            <w:szCs w:val="16"/>
          </w:rPr>
          <w:t>https://humanrights.gov.au/our-work/rights-and-freedoms/publications/free-and-equal-reform-agenda-federal-discrimination-laws</w:t>
        </w:r>
      </w:hyperlink>
      <w:r w:rsidR="00342054" w:rsidRPr="006E567A">
        <w:rPr>
          <w:rFonts w:cstheme="minorHAnsi"/>
          <w:sz w:val="16"/>
          <w:szCs w:val="16"/>
        </w:rPr>
        <w:t>&gt;.</w:t>
      </w:r>
      <w:r w:rsidR="00B03045">
        <w:rPr>
          <w:rFonts w:cstheme="minorHAnsi"/>
          <w:sz w:val="16"/>
          <w:szCs w:val="16"/>
        </w:rPr>
        <w:t xml:space="preserve"> Note subsequent reports as well.</w:t>
      </w:r>
    </w:p>
  </w:footnote>
  <w:footnote w:id="28">
    <w:p w14:paraId="63C1F180" w14:textId="33B5B959" w:rsidR="0001574C" w:rsidRPr="006E567A" w:rsidRDefault="0001574C" w:rsidP="009C3D50">
      <w:pPr>
        <w:pStyle w:val="FootnoteText"/>
        <w:spacing w:before="0"/>
        <w:rPr>
          <w:rFonts w:cstheme="minorHAnsi"/>
          <w:sz w:val="16"/>
          <w:szCs w:val="16"/>
          <w:lang w:val="en-US"/>
        </w:rPr>
      </w:pPr>
      <w:r w:rsidRPr="006E567A">
        <w:rPr>
          <w:rStyle w:val="FootnoteReference"/>
          <w:rFonts w:cstheme="minorHAnsi"/>
          <w:sz w:val="16"/>
          <w:szCs w:val="16"/>
        </w:rPr>
        <w:footnoteRef/>
      </w:r>
      <w:r w:rsidR="001E1948">
        <w:rPr>
          <w:rFonts w:cstheme="minorHAnsi"/>
          <w:sz w:val="16"/>
          <w:szCs w:val="16"/>
        </w:rPr>
        <w:t xml:space="preserve"> </w:t>
      </w:r>
      <w:r w:rsidR="002C2AA2" w:rsidRPr="004D6C8A">
        <w:rPr>
          <w:rFonts w:cstheme="minorHAnsi"/>
          <w:i/>
          <w:iCs/>
          <w:sz w:val="16"/>
          <w:szCs w:val="16"/>
        </w:rPr>
        <w:t>Disability Inclusion Act 2014</w:t>
      </w:r>
      <w:r w:rsidR="002C2AA2" w:rsidRPr="002C2AA2">
        <w:rPr>
          <w:rFonts w:cstheme="minorHAnsi"/>
          <w:sz w:val="16"/>
          <w:szCs w:val="16"/>
        </w:rPr>
        <w:t xml:space="preserve"> (NSW) </w:t>
      </w:r>
      <w:r w:rsidR="00342054" w:rsidRPr="006E567A">
        <w:rPr>
          <w:rFonts w:cstheme="minorHAnsi"/>
          <w:sz w:val="16"/>
          <w:szCs w:val="16"/>
        </w:rPr>
        <w:t>&lt;</w:t>
      </w:r>
      <w:hyperlink r:id="rId11" w:history="1">
        <w:r w:rsidR="00342054" w:rsidRPr="006E567A">
          <w:rPr>
            <w:rStyle w:val="Hyperlink"/>
            <w:rFonts w:cstheme="minorHAnsi"/>
            <w:sz w:val="16"/>
            <w:szCs w:val="16"/>
          </w:rPr>
          <w:t>https://legislation.nsw.gov.au/view/whole/html/inforce/current/act-2014-041</w:t>
        </w:r>
      </w:hyperlink>
      <w:r w:rsidR="00342054" w:rsidRPr="006E567A">
        <w:rPr>
          <w:rFonts w:cstheme="minorHAnsi"/>
          <w:sz w:val="16"/>
          <w:szCs w:val="16"/>
        </w:rPr>
        <w:t>&gt;.</w:t>
      </w:r>
    </w:p>
  </w:footnote>
  <w:footnote w:id="29">
    <w:p w14:paraId="75FDD096" w14:textId="1CFA7024" w:rsidR="00F40D3B" w:rsidRPr="006E567A" w:rsidRDefault="00F40D3B" w:rsidP="00BF224C">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w:t>
      </w:r>
      <w:r w:rsidR="00175367" w:rsidRPr="00175367">
        <w:rPr>
          <w:rFonts w:cstheme="minorHAnsi"/>
          <w:sz w:val="16"/>
          <w:szCs w:val="16"/>
        </w:rPr>
        <w:t>Ibid</w:t>
      </w:r>
      <w:r w:rsidR="00175367">
        <w:rPr>
          <w:rFonts w:cstheme="minorHAnsi"/>
          <w:sz w:val="16"/>
          <w:szCs w:val="16"/>
        </w:rPr>
        <w:t>,</w:t>
      </w:r>
      <w:r w:rsidR="002A20DB" w:rsidRPr="006E567A">
        <w:rPr>
          <w:rFonts w:cstheme="minorHAnsi"/>
          <w:sz w:val="16"/>
          <w:szCs w:val="16"/>
        </w:rPr>
        <w:t xml:space="preserve"> s 3(a) </w:t>
      </w:r>
      <w:r w:rsidR="002A20DB" w:rsidRPr="006E567A">
        <w:rPr>
          <w:rFonts w:cstheme="minorHAnsi"/>
          <w:i/>
          <w:iCs/>
          <w:sz w:val="16"/>
          <w:szCs w:val="16"/>
        </w:rPr>
        <w:t>e</w:t>
      </w:r>
      <w:r w:rsidR="00A314A9" w:rsidRPr="006E567A">
        <w:rPr>
          <w:rFonts w:cstheme="minorHAnsi"/>
          <w:i/>
          <w:iCs/>
          <w:sz w:val="16"/>
          <w:szCs w:val="16"/>
        </w:rPr>
        <w:t xml:space="preserve">mphasis </w:t>
      </w:r>
      <w:r w:rsidR="002A20DB" w:rsidRPr="006E567A">
        <w:rPr>
          <w:rFonts w:cstheme="minorHAnsi"/>
          <w:i/>
          <w:iCs/>
          <w:sz w:val="16"/>
          <w:szCs w:val="16"/>
        </w:rPr>
        <w:t>added</w:t>
      </w:r>
      <w:r w:rsidR="002A20DB" w:rsidRPr="006E567A">
        <w:rPr>
          <w:rFonts w:cstheme="minorHAnsi"/>
          <w:sz w:val="16"/>
          <w:szCs w:val="16"/>
        </w:rPr>
        <w:t>.</w:t>
      </w:r>
    </w:p>
  </w:footnote>
  <w:footnote w:id="30">
    <w:p w14:paraId="1A028A53" w14:textId="3CB928C2" w:rsidR="002A20DB" w:rsidRPr="006E567A" w:rsidRDefault="002A20DB" w:rsidP="00AA1A96">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w:t>
      </w:r>
      <w:r w:rsidRPr="006E567A">
        <w:rPr>
          <w:rFonts w:cstheme="minorHAnsi"/>
          <w:sz w:val="16"/>
          <w:szCs w:val="16"/>
          <w:lang w:val="en-US"/>
        </w:rPr>
        <w:t>PWDA notes that while we think that referencing the CRPD in legislation is a positive step, we do not think should be any qualifier such as ‘to the extent reasonably practicable’.</w:t>
      </w:r>
    </w:p>
  </w:footnote>
  <w:footnote w:id="31">
    <w:p w14:paraId="3DBAE68B" w14:textId="68EB91F7" w:rsidR="00AB331A" w:rsidRPr="006E567A" w:rsidRDefault="00AB331A" w:rsidP="009A0C50">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w:t>
      </w:r>
      <w:r w:rsidR="00B53343" w:rsidRPr="006E567A">
        <w:rPr>
          <w:rFonts w:cstheme="minorHAnsi"/>
          <w:i/>
          <w:iCs/>
          <w:sz w:val="16"/>
          <w:szCs w:val="16"/>
        </w:rPr>
        <w:t>Disability Inclusion Act 2014</w:t>
      </w:r>
      <w:r w:rsidR="00B53343" w:rsidRPr="006E567A">
        <w:rPr>
          <w:rFonts w:cstheme="minorHAnsi"/>
          <w:sz w:val="16"/>
          <w:szCs w:val="16"/>
        </w:rPr>
        <w:t xml:space="preserve"> (NSW) s</w:t>
      </w:r>
      <w:r w:rsidRPr="006E567A">
        <w:rPr>
          <w:rFonts w:cstheme="minorHAnsi"/>
          <w:sz w:val="16"/>
          <w:szCs w:val="16"/>
          <w:lang w:val="en-US"/>
        </w:rPr>
        <w:t xml:space="preserve"> 4(2)</w:t>
      </w:r>
      <w:r w:rsidR="00B53343" w:rsidRPr="006E567A">
        <w:rPr>
          <w:rFonts w:cstheme="minorHAnsi"/>
          <w:sz w:val="16"/>
          <w:szCs w:val="16"/>
          <w:lang w:val="en-US"/>
        </w:rPr>
        <w:t>.</w:t>
      </w:r>
    </w:p>
  </w:footnote>
  <w:footnote w:id="32">
    <w:p w14:paraId="47827E0E" w14:textId="0A41A699" w:rsidR="00AB331A" w:rsidRPr="006E567A" w:rsidRDefault="00AB331A" w:rsidP="009A0C50">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w:t>
      </w:r>
      <w:r w:rsidR="00B53343" w:rsidRPr="006E567A">
        <w:rPr>
          <w:rFonts w:cstheme="minorHAnsi"/>
          <w:sz w:val="16"/>
          <w:szCs w:val="16"/>
          <w:lang w:val="en-US"/>
        </w:rPr>
        <w:t>Ibid, s</w:t>
      </w:r>
      <w:r w:rsidRPr="006E567A">
        <w:rPr>
          <w:rFonts w:cstheme="minorHAnsi"/>
          <w:sz w:val="16"/>
          <w:szCs w:val="16"/>
          <w:lang w:val="en-US"/>
        </w:rPr>
        <w:t xml:space="preserve"> 4(9)</w:t>
      </w:r>
      <w:r w:rsidR="00B53343" w:rsidRPr="006E567A">
        <w:rPr>
          <w:rFonts w:cstheme="minorHAnsi"/>
          <w:sz w:val="16"/>
          <w:szCs w:val="16"/>
          <w:lang w:val="en-US"/>
        </w:rPr>
        <w:t>.</w:t>
      </w:r>
    </w:p>
  </w:footnote>
  <w:footnote w:id="33">
    <w:p w14:paraId="6F3B6559" w14:textId="37295262" w:rsidR="0072611E" w:rsidRPr="006E567A" w:rsidRDefault="0072611E" w:rsidP="004038C9">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w:t>
      </w:r>
      <w:r w:rsidR="004038C9" w:rsidRPr="006E567A">
        <w:rPr>
          <w:rFonts w:cstheme="minorHAnsi"/>
          <w:sz w:val="16"/>
          <w:szCs w:val="16"/>
          <w:lang w:val="en-US"/>
        </w:rPr>
        <w:t>Australian Human Rights Commission</w:t>
      </w:r>
      <w:r w:rsidR="00303604" w:rsidRPr="006E567A">
        <w:rPr>
          <w:rFonts w:cstheme="minorHAnsi"/>
          <w:sz w:val="16"/>
          <w:szCs w:val="16"/>
          <w:lang w:val="en-US"/>
        </w:rPr>
        <w:t xml:space="preserve"> (n </w:t>
      </w:r>
      <w:r w:rsidR="00B53343" w:rsidRPr="006E567A">
        <w:rPr>
          <w:rFonts w:cstheme="minorHAnsi"/>
          <w:sz w:val="16"/>
          <w:szCs w:val="16"/>
          <w:lang w:val="en-US"/>
        </w:rPr>
        <w:t>7</w:t>
      </w:r>
      <w:r w:rsidR="00303604" w:rsidRPr="006E567A">
        <w:rPr>
          <w:rFonts w:cstheme="minorHAnsi"/>
          <w:sz w:val="16"/>
          <w:szCs w:val="16"/>
          <w:lang w:val="en-US"/>
        </w:rPr>
        <w:t xml:space="preserve">) </w:t>
      </w:r>
      <w:r w:rsidR="00906093" w:rsidRPr="006E567A">
        <w:rPr>
          <w:rFonts w:eastAsia="Calibri" w:cstheme="minorHAnsi"/>
          <w:sz w:val="16"/>
          <w:szCs w:val="16"/>
          <w14:ligatures w14:val="standardContextual"/>
        </w:rPr>
        <w:t>25</w:t>
      </w:r>
      <w:r w:rsidR="00D43E4C" w:rsidRPr="006E567A">
        <w:rPr>
          <w:rFonts w:eastAsia="Calibri" w:cstheme="minorHAnsi"/>
          <w:sz w:val="16"/>
          <w:szCs w:val="16"/>
          <w14:ligatures w14:val="standardContextual"/>
        </w:rPr>
        <w:t>.</w:t>
      </w:r>
    </w:p>
  </w:footnote>
  <w:footnote w:id="34">
    <w:p w14:paraId="21E8878A" w14:textId="7650957D" w:rsidR="00D64A5F" w:rsidRPr="006E567A" w:rsidRDefault="00D64A5F" w:rsidP="00D64A5F">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Taylor</w:t>
      </w:r>
      <w:r w:rsidR="00175367">
        <w:rPr>
          <w:rFonts w:cstheme="minorHAnsi"/>
          <w:sz w:val="16"/>
          <w:szCs w:val="16"/>
        </w:rPr>
        <w:t xml:space="preserve"> (n 13) </w:t>
      </w:r>
      <w:r w:rsidRPr="006E567A">
        <w:rPr>
          <w:rFonts w:cstheme="minorHAnsi"/>
          <w:sz w:val="16"/>
          <w:szCs w:val="16"/>
        </w:rPr>
        <w:t>202</w:t>
      </w:r>
      <w:r w:rsidR="00D43E4C" w:rsidRPr="006E567A">
        <w:rPr>
          <w:rFonts w:cstheme="minorHAnsi"/>
          <w:sz w:val="16"/>
          <w:szCs w:val="16"/>
        </w:rPr>
        <w:t>.</w:t>
      </w:r>
    </w:p>
  </w:footnote>
  <w:footnote w:id="35">
    <w:p w14:paraId="60D18DFA" w14:textId="142643A3" w:rsidR="008A6F74" w:rsidRPr="006E567A" w:rsidRDefault="008A6F74" w:rsidP="00BF224C">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See </w:t>
      </w:r>
      <w:r w:rsidR="004038C9" w:rsidRPr="006E567A">
        <w:rPr>
          <w:rFonts w:cstheme="minorHAnsi"/>
          <w:sz w:val="16"/>
          <w:szCs w:val="16"/>
        </w:rPr>
        <w:t>eg</w:t>
      </w:r>
      <w:r w:rsidRPr="006E567A">
        <w:rPr>
          <w:rFonts w:cstheme="minorHAnsi"/>
          <w:sz w:val="16"/>
          <w:szCs w:val="16"/>
        </w:rPr>
        <w:t xml:space="preserve">, </w:t>
      </w:r>
      <w:r w:rsidRPr="006E567A">
        <w:rPr>
          <w:rFonts w:cstheme="minorHAnsi"/>
          <w:i/>
          <w:iCs/>
          <w:sz w:val="16"/>
          <w:szCs w:val="16"/>
          <w:lang w:val="en-US"/>
        </w:rPr>
        <w:t>Kruger v the Commonwealth</w:t>
      </w:r>
      <w:r w:rsidRPr="006E567A">
        <w:rPr>
          <w:rFonts w:cstheme="minorHAnsi"/>
          <w:sz w:val="16"/>
          <w:szCs w:val="16"/>
          <w:lang w:val="en-US"/>
        </w:rPr>
        <w:t xml:space="preserve"> (1997) 146 ALR 126 per Dawson J at 157-8.</w:t>
      </w:r>
    </w:p>
  </w:footnote>
  <w:footnote w:id="36">
    <w:p w14:paraId="55EF56C0" w14:textId="2001E3A3" w:rsidR="00A302A6" w:rsidRPr="006E567A" w:rsidRDefault="00A302A6" w:rsidP="009C3D50">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Committee on the Rights of Persons with Disabilities, </w:t>
      </w:r>
      <w:r w:rsidRPr="006E567A">
        <w:rPr>
          <w:rFonts w:cstheme="minorHAnsi"/>
          <w:i/>
          <w:iCs/>
          <w:sz w:val="16"/>
          <w:szCs w:val="16"/>
        </w:rPr>
        <w:t>General comment No. 6 (2018) Equality and non-discrimination</w:t>
      </w:r>
      <w:r w:rsidRPr="006E567A">
        <w:rPr>
          <w:rFonts w:cstheme="minorHAnsi"/>
          <w:sz w:val="16"/>
          <w:szCs w:val="16"/>
        </w:rPr>
        <w:t xml:space="preserve"> CRPD/C/GC/6 (26 April 2018) </w:t>
      </w:r>
      <w:r w:rsidR="00D43E4C" w:rsidRPr="006E567A">
        <w:rPr>
          <w:rFonts w:cstheme="minorHAnsi"/>
          <w:sz w:val="16"/>
          <w:szCs w:val="16"/>
        </w:rPr>
        <w:t>[</w:t>
      </w:r>
      <w:r w:rsidR="004038C9" w:rsidRPr="006E567A">
        <w:rPr>
          <w:rFonts w:cstheme="minorHAnsi"/>
          <w:sz w:val="16"/>
          <w:szCs w:val="16"/>
        </w:rPr>
        <w:t>10</w:t>
      </w:r>
      <w:r w:rsidR="00D43E4C" w:rsidRPr="006E567A">
        <w:rPr>
          <w:rFonts w:cstheme="minorHAnsi"/>
          <w:sz w:val="16"/>
          <w:szCs w:val="16"/>
        </w:rPr>
        <w:t>].</w:t>
      </w:r>
    </w:p>
  </w:footnote>
  <w:footnote w:id="37">
    <w:p w14:paraId="6A71E144" w14:textId="1C1BD844" w:rsidR="00752E46" w:rsidRPr="006E567A" w:rsidRDefault="00752E46" w:rsidP="00B771B3">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w:t>
      </w:r>
      <w:r w:rsidR="00D43E4C" w:rsidRPr="006E567A">
        <w:rPr>
          <w:rFonts w:cstheme="minorHAnsi"/>
          <w:sz w:val="16"/>
          <w:szCs w:val="16"/>
        </w:rPr>
        <w:t xml:space="preserve">Alice Taylor (n </w:t>
      </w:r>
      <w:r w:rsidR="00B3332D">
        <w:rPr>
          <w:rFonts w:cstheme="minorHAnsi"/>
          <w:sz w:val="16"/>
          <w:szCs w:val="16"/>
        </w:rPr>
        <w:t>13</w:t>
      </w:r>
      <w:r w:rsidR="00D43E4C" w:rsidRPr="006E567A">
        <w:rPr>
          <w:rFonts w:cstheme="minorHAnsi"/>
          <w:sz w:val="16"/>
          <w:szCs w:val="16"/>
        </w:rPr>
        <w:t>).</w:t>
      </w:r>
    </w:p>
  </w:footnote>
  <w:footnote w:id="38">
    <w:p w14:paraId="784B296F" w14:textId="77777777" w:rsidR="00325AA7" w:rsidRPr="006E567A" w:rsidRDefault="00325AA7" w:rsidP="00325AA7">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w:t>
      </w:r>
      <w:r w:rsidRPr="006E567A">
        <w:rPr>
          <w:rFonts w:cstheme="minorHAnsi"/>
          <w:i/>
          <w:iCs/>
          <w:sz w:val="16"/>
          <w:szCs w:val="16"/>
          <w:lang w:val="en-US"/>
        </w:rPr>
        <w:t>Gerhardy v Brown</w:t>
      </w:r>
      <w:r w:rsidRPr="006E567A">
        <w:rPr>
          <w:rFonts w:cstheme="minorHAnsi"/>
          <w:sz w:val="16"/>
          <w:szCs w:val="16"/>
          <w:lang w:val="en-US"/>
        </w:rPr>
        <w:t xml:space="preserve"> (1985) 159 CLR 70, 129.</w:t>
      </w:r>
    </w:p>
  </w:footnote>
  <w:footnote w:id="39">
    <w:p w14:paraId="4798EAE0" w14:textId="780C054F" w:rsidR="001D61FB" w:rsidRPr="006E567A" w:rsidRDefault="001D61FB" w:rsidP="009A0C50">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w:t>
      </w:r>
      <w:r w:rsidRPr="006E567A">
        <w:rPr>
          <w:rFonts w:cstheme="minorHAnsi"/>
          <w:i/>
          <w:iCs/>
          <w:sz w:val="16"/>
          <w:szCs w:val="16"/>
        </w:rPr>
        <w:t>Equal Opportunity Act 2010</w:t>
      </w:r>
      <w:r w:rsidRPr="006E567A">
        <w:rPr>
          <w:rFonts w:cstheme="minorHAnsi"/>
          <w:sz w:val="16"/>
          <w:szCs w:val="16"/>
        </w:rPr>
        <w:t xml:space="preserve"> (V</w:t>
      </w:r>
      <w:r w:rsidR="00AB331A" w:rsidRPr="006E567A">
        <w:rPr>
          <w:rFonts w:cstheme="minorHAnsi"/>
          <w:sz w:val="16"/>
          <w:szCs w:val="16"/>
        </w:rPr>
        <w:t>ic</w:t>
      </w:r>
      <w:r w:rsidRPr="006E567A">
        <w:rPr>
          <w:rFonts w:cstheme="minorHAnsi"/>
          <w:sz w:val="16"/>
          <w:szCs w:val="16"/>
        </w:rPr>
        <w:t>) s</w:t>
      </w:r>
      <w:r w:rsidR="00B53343" w:rsidRPr="006E567A">
        <w:rPr>
          <w:rFonts w:cstheme="minorHAnsi"/>
          <w:sz w:val="16"/>
          <w:szCs w:val="16"/>
        </w:rPr>
        <w:t xml:space="preserve">s </w:t>
      </w:r>
      <w:r w:rsidRPr="006E567A">
        <w:rPr>
          <w:rFonts w:cstheme="minorHAnsi"/>
          <w:sz w:val="16"/>
          <w:szCs w:val="16"/>
        </w:rPr>
        <w:t xml:space="preserve">3(a), (c), (d); </w:t>
      </w:r>
      <w:r w:rsidRPr="006E567A">
        <w:rPr>
          <w:rFonts w:cstheme="minorHAnsi"/>
          <w:i/>
          <w:iCs/>
          <w:sz w:val="16"/>
          <w:szCs w:val="16"/>
        </w:rPr>
        <w:t>Discrimination Act 1991</w:t>
      </w:r>
      <w:r w:rsidRPr="006E567A">
        <w:rPr>
          <w:rFonts w:cstheme="minorHAnsi"/>
          <w:sz w:val="16"/>
          <w:szCs w:val="16"/>
        </w:rPr>
        <w:t xml:space="preserve"> (ACT) s</w:t>
      </w:r>
      <w:r w:rsidR="00B53343" w:rsidRPr="006E567A">
        <w:rPr>
          <w:rFonts w:cstheme="minorHAnsi"/>
          <w:sz w:val="16"/>
          <w:szCs w:val="16"/>
        </w:rPr>
        <w:t>s</w:t>
      </w:r>
      <w:r w:rsidRPr="006E567A">
        <w:rPr>
          <w:rFonts w:cstheme="minorHAnsi"/>
          <w:sz w:val="16"/>
          <w:szCs w:val="16"/>
        </w:rPr>
        <w:t xml:space="preserve"> 4(a), (c), (d).</w:t>
      </w:r>
    </w:p>
  </w:footnote>
  <w:footnote w:id="40">
    <w:p w14:paraId="49025388" w14:textId="36ADA590" w:rsidR="001D61FB" w:rsidRPr="006E567A" w:rsidRDefault="001D61FB" w:rsidP="009A0C50">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w:t>
      </w:r>
      <w:r w:rsidRPr="006E567A">
        <w:rPr>
          <w:rFonts w:cstheme="minorHAnsi"/>
          <w:i/>
          <w:iCs/>
          <w:sz w:val="16"/>
          <w:szCs w:val="16"/>
        </w:rPr>
        <w:t>Equal Opportunity Act 2010</w:t>
      </w:r>
      <w:r w:rsidRPr="006E567A">
        <w:rPr>
          <w:rFonts w:cstheme="minorHAnsi"/>
          <w:sz w:val="16"/>
          <w:szCs w:val="16"/>
        </w:rPr>
        <w:t xml:space="preserve"> (V</w:t>
      </w:r>
      <w:r w:rsidR="00403837" w:rsidRPr="006E567A">
        <w:rPr>
          <w:rFonts w:cstheme="minorHAnsi"/>
          <w:sz w:val="16"/>
          <w:szCs w:val="16"/>
        </w:rPr>
        <w:t>ic</w:t>
      </w:r>
      <w:r w:rsidRPr="006E567A">
        <w:rPr>
          <w:rFonts w:cstheme="minorHAnsi"/>
          <w:sz w:val="16"/>
          <w:szCs w:val="16"/>
        </w:rPr>
        <w:t>) s</w:t>
      </w:r>
      <w:r w:rsidR="00B53343" w:rsidRPr="006E567A">
        <w:rPr>
          <w:rFonts w:cstheme="minorHAnsi"/>
          <w:sz w:val="16"/>
          <w:szCs w:val="16"/>
        </w:rPr>
        <w:t xml:space="preserve">s </w:t>
      </w:r>
      <w:r w:rsidRPr="006E567A">
        <w:rPr>
          <w:rFonts w:cstheme="minorHAnsi"/>
          <w:sz w:val="16"/>
          <w:szCs w:val="16"/>
        </w:rPr>
        <w:t xml:space="preserve">3(d)(i-iii); </w:t>
      </w:r>
      <w:r w:rsidRPr="006E567A">
        <w:rPr>
          <w:rFonts w:cstheme="minorHAnsi"/>
          <w:i/>
          <w:iCs/>
          <w:sz w:val="16"/>
          <w:szCs w:val="16"/>
        </w:rPr>
        <w:t>Discrimination Act 1991</w:t>
      </w:r>
      <w:r w:rsidRPr="006E567A">
        <w:rPr>
          <w:rFonts w:cstheme="minorHAnsi"/>
          <w:sz w:val="16"/>
          <w:szCs w:val="16"/>
        </w:rPr>
        <w:t xml:space="preserve"> (ACT) s</w:t>
      </w:r>
      <w:r w:rsidR="00B53343" w:rsidRPr="006E567A">
        <w:rPr>
          <w:rFonts w:cstheme="minorHAnsi"/>
          <w:sz w:val="16"/>
          <w:szCs w:val="16"/>
        </w:rPr>
        <w:t>s</w:t>
      </w:r>
      <w:r w:rsidRPr="006E567A">
        <w:rPr>
          <w:rFonts w:cstheme="minorHAnsi"/>
          <w:sz w:val="16"/>
          <w:szCs w:val="16"/>
        </w:rPr>
        <w:t xml:space="preserve"> 4(d)(i-iii).</w:t>
      </w:r>
    </w:p>
  </w:footnote>
  <w:footnote w:id="41">
    <w:p w14:paraId="279C0AEC" w14:textId="6F364346" w:rsidR="00312AC2" w:rsidRPr="006E567A" w:rsidRDefault="00312AC2" w:rsidP="00AA5C10">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w:t>
      </w:r>
      <w:r w:rsidR="00ED64B0" w:rsidRPr="004D6C8A">
        <w:rPr>
          <w:rFonts w:cstheme="minorHAnsi"/>
          <w:i/>
          <w:iCs/>
          <w:sz w:val="16"/>
          <w:szCs w:val="16"/>
        </w:rPr>
        <w:t>Equality Act 2010 (UK)</w:t>
      </w:r>
      <w:r w:rsidR="00ED64B0" w:rsidRPr="00ED64B0">
        <w:rPr>
          <w:rFonts w:cstheme="minorHAnsi"/>
          <w:sz w:val="16"/>
          <w:szCs w:val="16"/>
        </w:rPr>
        <w:t xml:space="preserve"> </w:t>
      </w:r>
      <w:r w:rsidRPr="006E567A">
        <w:rPr>
          <w:rFonts w:cstheme="minorHAnsi"/>
          <w:sz w:val="16"/>
          <w:szCs w:val="16"/>
        </w:rPr>
        <w:t xml:space="preserve"> </w:t>
      </w:r>
      <w:r w:rsidR="00342054" w:rsidRPr="006E567A">
        <w:rPr>
          <w:rFonts w:cstheme="minorHAnsi"/>
          <w:sz w:val="16"/>
          <w:szCs w:val="16"/>
        </w:rPr>
        <w:t>&lt;</w:t>
      </w:r>
      <w:hyperlink r:id="rId12" w:history="1">
        <w:r w:rsidR="00342054" w:rsidRPr="006E567A">
          <w:rPr>
            <w:rStyle w:val="Hyperlink"/>
            <w:rFonts w:cstheme="minorHAnsi"/>
            <w:sz w:val="16"/>
            <w:szCs w:val="16"/>
          </w:rPr>
          <w:t>https://www.legislation.gov.uk/ukpga/2010/15/introduction</w:t>
        </w:r>
      </w:hyperlink>
      <w:r w:rsidR="00342054" w:rsidRPr="006E567A">
        <w:rPr>
          <w:rFonts w:cstheme="minorHAnsi"/>
          <w:sz w:val="16"/>
          <w:szCs w:val="16"/>
        </w:rPr>
        <w:t>&gt;.</w:t>
      </w:r>
    </w:p>
  </w:footnote>
  <w:footnote w:id="42">
    <w:p w14:paraId="264DA050" w14:textId="18CC69F4" w:rsidR="00CC0A51" w:rsidRPr="006E567A" w:rsidRDefault="00CC0A51" w:rsidP="00CC0A51">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w:t>
      </w:r>
      <w:r w:rsidR="004038C9" w:rsidRPr="006E567A">
        <w:rPr>
          <w:rFonts w:cstheme="minorHAnsi"/>
          <w:sz w:val="16"/>
          <w:szCs w:val="16"/>
          <w:lang w:val="en-US"/>
        </w:rPr>
        <w:t>Australian Human Rights Commission</w:t>
      </w:r>
      <w:r w:rsidR="00D43E4C" w:rsidRPr="006E567A">
        <w:rPr>
          <w:rFonts w:cstheme="minorHAnsi"/>
          <w:sz w:val="16"/>
          <w:szCs w:val="16"/>
          <w:lang w:val="en-US"/>
        </w:rPr>
        <w:t xml:space="preserve"> </w:t>
      </w:r>
      <w:r w:rsidR="00303604" w:rsidRPr="006E567A">
        <w:rPr>
          <w:rFonts w:cstheme="minorHAnsi"/>
          <w:sz w:val="16"/>
          <w:szCs w:val="16"/>
          <w:lang w:val="en-US"/>
        </w:rPr>
        <w:t xml:space="preserve">(n </w:t>
      </w:r>
      <w:r w:rsidR="00B53343" w:rsidRPr="006E567A">
        <w:rPr>
          <w:rFonts w:cstheme="minorHAnsi"/>
          <w:sz w:val="16"/>
          <w:szCs w:val="16"/>
          <w:lang w:val="en-US"/>
        </w:rPr>
        <w:t>7</w:t>
      </w:r>
      <w:r w:rsidR="00303604" w:rsidRPr="006E567A">
        <w:rPr>
          <w:rFonts w:cstheme="minorHAnsi"/>
          <w:sz w:val="16"/>
          <w:szCs w:val="16"/>
          <w:lang w:val="en-US"/>
        </w:rPr>
        <w:t>)</w:t>
      </w:r>
      <w:r w:rsidR="004038C9" w:rsidRPr="006E567A">
        <w:rPr>
          <w:rFonts w:cstheme="minorHAnsi"/>
          <w:sz w:val="16"/>
          <w:szCs w:val="16"/>
          <w:lang w:val="en-US"/>
        </w:rPr>
        <w:t xml:space="preserve"> </w:t>
      </w:r>
      <w:r w:rsidRPr="006E567A">
        <w:rPr>
          <w:rFonts w:cstheme="minorHAnsi"/>
          <w:sz w:val="16"/>
          <w:szCs w:val="16"/>
        </w:rPr>
        <w:t>60</w:t>
      </w:r>
      <w:r w:rsidR="004038C9" w:rsidRPr="006E567A">
        <w:rPr>
          <w:rFonts w:cstheme="minorHAnsi"/>
          <w:sz w:val="16"/>
          <w:szCs w:val="16"/>
        </w:rPr>
        <w:t>.</w:t>
      </w:r>
    </w:p>
  </w:footnote>
  <w:footnote w:id="43">
    <w:p w14:paraId="0C3DB6D3" w14:textId="46890736" w:rsidR="00042B6E" w:rsidRPr="006E567A" w:rsidRDefault="00042B6E" w:rsidP="00042B6E">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w:t>
      </w:r>
      <w:r w:rsidR="004038C9" w:rsidRPr="006E567A">
        <w:rPr>
          <w:rFonts w:cstheme="minorHAnsi"/>
          <w:sz w:val="16"/>
          <w:szCs w:val="16"/>
          <w:lang w:val="en-US"/>
        </w:rPr>
        <w:t>Australian Human Rights Commission</w:t>
      </w:r>
      <w:r w:rsidR="00D43E4C" w:rsidRPr="006E567A">
        <w:rPr>
          <w:rFonts w:cstheme="minorHAnsi"/>
          <w:sz w:val="16"/>
          <w:szCs w:val="16"/>
          <w:lang w:val="en-US"/>
        </w:rPr>
        <w:t xml:space="preserve">, </w:t>
      </w:r>
      <w:r w:rsidR="004038C9" w:rsidRPr="006E567A">
        <w:rPr>
          <w:rFonts w:cstheme="minorHAnsi"/>
          <w:i/>
          <w:iCs/>
          <w:sz w:val="16"/>
          <w:szCs w:val="16"/>
          <w:lang w:val="en-US"/>
        </w:rPr>
        <w:t>Free and Equal. A reform agenda for federal discrimination laws</w:t>
      </w:r>
      <w:r w:rsidR="004038C9" w:rsidRPr="006E567A">
        <w:rPr>
          <w:rFonts w:cstheme="minorHAnsi"/>
          <w:sz w:val="16"/>
          <w:szCs w:val="16"/>
          <w:lang w:val="en-US"/>
        </w:rPr>
        <w:t xml:space="preserve">. </w:t>
      </w:r>
      <w:r w:rsidR="004038C9" w:rsidRPr="006E567A">
        <w:rPr>
          <w:rFonts w:cstheme="minorHAnsi"/>
          <w:i/>
          <w:iCs/>
          <w:sz w:val="16"/>
          <w:szCs w:val="16"/>
          <w:lang w:val="en-US"/>
        </w:rPr>
        <w:t>Summary Report</w:t>
      </w:r>
      <w:r w:rsidR="004038C9" w:rsidRPr="006E567A">
        <w:rPr>
          <w:rFonts w:cstheme="minorHAnsi"/>
          <w:sz w:val="16"/>
          <w:szCs w:val="16"/>
          <w:lang w:val="en-US"/>
        </w:rPr>
        <w:t xml:space="preserve"> </w:t>
      </w:r>
      <w:r w:rsidRPr="006E567A">
        <w:rPr>
          <w:rFonts w:cstheme="minorHAnsi"/>
          <w:sz w:val="16"/>
          <w:szCs w:val="16"/>
          <w:lang w:val="en-US"/>
        </w:rPr>
        <w:t>(2021)</w:t>
      </w:r>
      <w:r w:rsidR="00D43E4C" w:rsidRPr="006E567A">
        <w:rPr>
          <w:rFonts w:cstheme="minorHAnsi"/>
          <w:sz w:val="16"/>
          <w:szCs w:val="16"/>
          <w:lang w:val="en-US"/>
        </w:rPr>
        <w:t xml:space="preserve"> </w:t>
      </w:r>
      <w:r w:rsidRPr="006E567A">
        <w:rPr>
          <w:rFonts w:cstheme="minorHAnsi"/>
          <w:sz w:val="16"/>
          <w:szCs w:val="16"/>
          <w:lang w:val="en-US"/>
        </w:rPr>
        <w:t>11</w:t>
      </w:r>
      <w:r w:rsidR="004038C9" w:rsidRPr="006E567A">
        <w:rPr>
          <w:rFonts w:cstheme="minorHAnsi"/>
          <w:sz w:val="16"/>
          <w:szCs w:val="16"/>
          <w:lang w:val="en-US"/>
        </w:rPr>
        <w:t>.</w:t>
      </w:r>
    </w:p>
  </w:footnote>
  <w:footnote w:id="44">
    <w:p w14:paraId="7761E36F" w14:textId="6A7F4475" w:rsidR="00CD0162" w:rsidRPr="006E567A" w:rsidRDefault="00CD0162" w:rsidP="00CD0162">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w:t>
      </w:r>
      <w:r w:rsidRPr="006E567A">
        <w:rPr>
          <w:rFonts w:cstheme="minorHAnsi"/>
          <w:sz w:val="16"/>
          <w:szCs w:val="16"/>
          <w:lang w:val="en-US"/>
        </w:rPr>
        <w:t xml:space="preserve">See </w:t>
      </w:r>
      <w:r w:rsidR="004038C9" w:rsidRPr="006E567A">
        <w:rPr>
          <w:rFonts w:cstheme="minorHAnsi"/>
          <w:sz w:val="16"/>
          <w:szCs w:val="16"/>
          <w:lang w:val="en-US"/>
        </w:rPr>
        <w:t>eg,</w:t>
      </w:r>
      <w:r w:rsidRPr="006E567A">
        <w:rPr>
          <w:rFonts w:cstheme="minorHAnsi"/>
          <w:sz w:val="16"/>
          <w:szCs w:val="16"/>
          <w:lang w:val="en-US"/>
        </w:rPr>
        <w:t xml:space="preserve"> </w:t>
      </w:r>
      <w:r w:rsidR="004038C9" w:rsidRPr="006E567A">
        <w:rPr>
          <w:rFonts w:cstheme="minorHAnsi"/>
          <w:sz w:val="16"/>
          <w:szCs w:val="16"/>
          <w:lang w:val="en-US"/>
        </w:rPr>
        <w:t>Australian Human Rights Commission</w:t>
      </w:r>
      <w:r w:rsidR="00303604" w:rsidRPr="006E567A">
        <w:rPr>
          <w:rFonts w:cstheme="minorHAnsi"/>
          <w:sz w:val="16"/>
          <w:szCs w:val="16"/>
          <w:lang w:val="en-US"/>
        </w:rPr>
        <w:t xml:space="preserve"> (n </w:t>
      </w:r>
      <w:r w:rsidR="00B53343" w:rsidRPr="006E567A">
        <w:rPr>
          <w:rFonts w:cstheme="minorHAnsi"/>
          <w:sz w:val="16"/>
          <w:szCs w:val="16"/>
          <w:lang w:val="en-US"/>
        </w:rPr>
        <w:t>7</w:t>
      </w:r>
      <w:r w:rsidR="00303604" w:rsidRPr="006E567A">
        <w:rPr>
          <w:rFonts w:cstheme="minorHAnsi"/>
          <w:sz w:val="16"/>
          <w:szCs w:val="16"/>
          <w:lang w:val="en-US"/>
        </w:rPr>
        <w:t xml:space="preserve">) </w:t>
      </w:r>
      <w:r w:rsidR="00303604" w:rsidRPr="006E567A">
        <w:rPr>
          <w:rFonts w:cstheme="minorHAnsi"/>
          <w:sz w:val="16"/>
          <w:szCs w:val="16"/>
        </w:rPr>
        <w:t>Chapter 2</w:t>
      </w:r>
      <w:r w:rsidRPr="006E567A">
        <w:rPr>
          <w:rFonts w:cstheme="minorHAnsi"/>
          <w:sz w:val="16"/>
          <w:szCs w:val="16"/>
        </w:rPr>
        <w:t xml:space="preserve"> and </w:t>
      </w:r>
      <w:r w:rsidR="00303604" w:rsidRPr="006E567A">
        <w:rPr>
          <w:rFonts w:cstheme="minorHAnsi"/>
          <w:sz w:val="16"/>
          <w:szCs w:val="16"/>
        </w:rPr>
        <w:t xml:space="preserve">pp </w:t>
      </w:r>
      <w:r w:rsidRPr="006E567A">
        <w:rPr>
          <w:rFonts w:cstheme="minorHAnsi"/>
          <w:sz w:val="16"/>
          <w:szCs w:val="16"/>
        </w:rPr>
        <w:t>4, 25. Note that while the AHRC is referring largely to a need to reform Commonwealth anti-discrimination laws their insights, principles, and recommendations are relevant to discrimination law reform broadly, including the review of the ADA.</w:t>
      </w:r>
    </w:p>
  </w:footnote>
  <w:footnote w:id="45">
    <w:p w14:paraId="41268468" w14:textId="6D26EE2A" w:rsidR="001062A1" w:rsidRPr="006E567A" w:rsidRDefault="001062A1" w:rsidP="001062A1">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w:t>
      </w:r>
      <w:r w:rsidR="004038C9" w:rsidRPr="006E567A">
        <w:rPr>
          <w:rFonts w:cstheme="minorHAnsi"/>
          <w:sz w:val="16"/>
          <w:szCs w:val="16"/>
          <w:lang w:val="en-US"/>
        </w:rPr>
        <w:t>Australian Human Rights Commission</w:t>
      </w:r>
      <w:r w:rsidR="00303604" w:rsidRPr="006E567A">
        <w:rPr>
          <w:rFonts w:cstheme="minorHAnsi"/>
          <w:sz w:val="16"/>
          <w:szCs w:val="16"/>
          <w:lang w:val="en-US"/>
        </w:rPr>
        <w:t xml:space="preserve"> (n </w:t>
      </w:r>
      <w:r w:rsidR="00B53343" w:rsidRPr="006E567A">
        <w:rPr>
          <w:rFonts w:cstheme="minorHAnsi"/>
          <w:sz w:val="16"/>
          <w:szCs w:val="16"/>
          <w:lang w:val="en-US"/>
        </w:rPr>
        <w:t>7</w:t>
      </w:r>
      <w:r w:rsidR="00303604" w:rsidRPr="006E567A">
        <w:rPr>
          <w:rFonts w:cstheme="minorHAnsi"/>
          <w:sz w:val="16"/>
          <w:szCs w:val="16"/>
          <w:lang w:val="en-US"/>
        </w:rPr>
        <w:t xml:space="preserve">) </w:t>
      </w:r>
      <w:r w:rsidRPr="006E567A">
        <w:rPr>
          <w:rFonts w:cstheme="minorHAnsi"/>
          <w:sz w:val="16"/>
          <w:szCs w:val="16"/>
        </w:rPr>
        <w:t>56</w:t>
      </w:r>
      <w:r w:rsidR="00D43E4C" w:rsidRPr="006E567A">
        <w:rPr>
          <w:rFonts w:cstheme="minorHAnsi"/>
          <w:sz w:val="16"/>
          <w:szCs w:val="16"/>
        </w:rPr>
        <w:t>.</w:t>
      </w:r>
    </w:p>
  </w:footnote>
  <w:footnote w:id="46">
    <w:p w14:paraId="39EE17ED" w14:textId="2E038FEC" w:rsidR="00393F1B" w:rsidRPr="006E567A" w:rsidRDefault="00393F1B" w:rsidP="004B28E6">
      <w:pPr>
        <w:pStyle w:val="FootnoteText"/>
        <w:spacing w:before="0"/>
        <w:rPr>
          <w:rFonts w:cstheme="minorHAnsi"/>
          <w:sz w:val="16"/>
          <w:szCs w:val="16"/>
          <w:lang w:val="en-US"/>
        </w:rPr>
      </w:pPr>
      <w:r w:rsidRPr="006E567A">
        <w:rPr>
          <w:rStyle w:val="FootnoteReference"/>
          <w:rFonts w:cstheme="minorHAnsi"/>
          <w:sz w:val="16"/>
          <w:szCs w:val="16"/>
        </w:rPr>
        <w:footnoteRef/>
      </w:r>
      <w:r w:rsidR="00D43E4C" w:rsidRPr="006E567A">
        <w:rPr>
          <w:rFonts w:cstheme="minorHAnsi"/>
          <w:sz w:val="16"/>
          <w:szCs w:val="16"/>
          <w:lang w:val="en-US"/>
        </w:rPr>
        <w:t xml:space="preserve"> Ibid,</w:t>
      </w:r>
      <w:r w:rsidR="00D43E4C" w:rsidRPr="006E567A">
        <w:rPr>
          <w:rFonts w:cstheme="minorHAnsi"/>
          <w:sz w:val="16"/>
          <w:szCs w:val="16"/>
        </w:rPr>
        <w:t xml:space="preserve"> </w:t>
      </w:r>
      <w:r w:rsidRPr="006E567A">
        <w:rPr>
          <w:rFonts w:cstheme="minorHAnsi"/>
          <w:sz w:val="16"/>
          <w:szCs w:val="16"/>
        </w:rPr>
        <w:t>2</w:t>
      </w:r>
      <w:r w:rsidR="00682290" w:rsidRPr="006E567A">
        <w:rPr>
          <w:rFonts w:cstheme="minorHAnsi"/>
          <w:sz w:val="16"/>
          <w:szCs w:val="16"/>
        </w:rPr>
        <w:t>86</w:t>
      </w:r>
      <w:r w:rsidR="00D43E4C" w:rsidRPr="006E567A">
        <w:rPr>
          <w:rFonts w:cstheme="minorHAnsi"/>
          <w:sz w:val="16"/>
          <w:szCs w:val="16"/>
        </w:rPr>
        <w:t>.</w:t>
      </w:r>
      <w:r w:rsidR="00AA57EF" w:rsidRPr="006E567A">
        <w:rPr>
          <w:rFonts w:cstheme="minorHAnsi"/>
          <w:sz w:val="16"/>
          <w:szCs w:val="16"/>
        </w:rPr>
        <w:t xml:space="preserve"> See also Dominique Allen, ‘</w:t>
      </w:r>
      <w:r w:rsidR="00AA57EF" w:rsidRPr="006E567A">
        <w:rPr>
          <w:rFonts w:cstheme="minorHAnsi"/>
          <w:sz w:val="16"/>
          <w:szCs w:val="16"/>
          <w:lang w:val="en-US"/>
        </w:rPr>
        <w:t xml:space="preserve">Mechanisms Promoting Equality in the Equal Opportunity Act 2010 (VIC)’ (2020) 44(2) </w:t>
      </w:r>
      <w:r w:rsidR="00AA57EF" w:rsidRPr="006E567A">
        <w:rPr>
          <w:rFonts w:cstheme="minorHAnsi"/>
          <w:i/>
          <w:iCs/>
          <w:sz w:val="16"/>
          <w:szCs w:val="16"/>
          <w:lang w:val="en-US"/>
        </w:rPr>
        <w:t>Melbourne University Law Review</w:t>
      </w:r>
      <w:r w:rsidR="00AA57EF" w:rsidRPr="006E567A">
        <w:rPr>
          <w:rFonts w:cstheme="minorHAnsi"/>
          <w:sz w:val="16"/>
          <w:szCs w:val="16"/>
          <w:lang w:val="en-US"/>
        </w:rPr>
        <w:t xml:space="preserve"> 459, 469.</w:t>
      </w:r>
    </w:p>
  </w:footnote>
  <w:footnote w:id="47">
    <w:p w14:paraId="1D531DA6" w14:textId="719E043C" w:rsidR="00AA57EF" w:rsidRPr="006E567A" w:rsidRDefault="00AA57EF" w:rsidP="009A0C50">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w:t>
      </w:r>
      <w:r w:rsidR="009A0C50" w:rsidRPr="006E567A">
        <w:rPr>
          <w:rFonts w:cstheme="minorHAnsi"/>
          <w:i/>
          <w:iCs/>
          <w:sz w:val="16"/>
          <w:szCs w:val="16"/>
        </w:rPr>
        <w:t>Equality Act 2010</w:t>
      </w:r>
      <w:r w:rsidR="009A0C50" w:rsidRPr="006E567A">
        <w:rPr>
          <w:rFonts w:cstheme="minorHAnsi"/>
          <w:sz w:val="16"/>
          <w:szCs w:val="16"/>
        </w:rPr>
        <w:t xml:space="preserve"> (UK) </w:t>
      </w:r>
      <w:r w:rsidR="009A0C50" w:rsidRPr="006E567A">
        <w:rPr>
          <w:rFonts w:cstheme="minorHAnsi"/>
          <w:sz w:val="16"/>
          <w:szCs w:val="16"/>
          <w:lang w:val="en-US"/>
        </w:rPr>
        <w:t>s</w:t>
      </w:r>
      <w:r w:rsidRPr="006E567A">
        <w:rPr>
          <w:rFonts w:cstheme="minorHAnsi"/>
          <w:sz w:val="16"/>
          <w:szCs w:val="16"/>
          <w:lang w:val="en-US"/>
        </w:rPr>
        <w:t xml:space="preserve"> 1</w:t>
      </w:r>
      <w:r w:rsidR="009A0C50" w:rsidRPr="006E567A">
        <w:rPr>
          <w:rFonts w:cstheme="minorHAnsi"/>
          <w:sz w:val="16"/>
          <w:szCs w:val="16"/>
          <w:lang w:val="en-US"/>
        </w:rPr>
        <w:t>.</w:t>
      </w:r>
    </w:p>
  </w:footnote>
  <w:footnote w:id="48">
    <w:p w14:paraId="3B24B4BC" w14:textId="7285E9C8" w:rsidR="00AA57EF" w:rsidRPr="006E567A" w:rsidRDefault="00AA57EF" w:rsidP="009A0C50">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w:t>
      </w:r>
      <w:r w:rsidR="009A0C50" w:rsidRPr="006E567A">
        <w:rPr>
          <w:rFonts w:cstheme="minorHAnsi"/>
          <w:sz w:val="16"/>
          <w:szCs w:val="16"/>
        </w:rPr>
        <w:t xml:space="preserve">Ibid, </w:t>
      </w:r>
      <w:r w:rsidR="009A0C50" w:rsidRPr="006E567A">
        <w:rPr>
          <w:rFonts w:cstheme="minorHAnsi"/>
          <w:sz w:val="16"/>
          <w:szCs w:val="16"/>
          <w:lang w:val="en-US"/>
        </w:rPr>
        <w:t>s</w:t>
      </w:r>
      <w:r w:rsidRPr="006E567A">
        <w:rPr>
          <w:rFonts w:cstheme="minorHAnsi"/>
          <w:sz w:val="16"/>
          <w:szCs w:val="16"/>
          <w:lang w:val="en-US"/>
        </w:rPr>
        <w:t xml:space="preserve"> 149</w:t>
      </w:r>
      <w:r w:rsidR="009A0C50" w:rsidRPr="006E567A">
        <w:rPr>
          <w:rFonts w:cstheme="minorHAnsi"/>
          <w:sz w:val="16"/>
          <w:szCs w:val="16"/>
          <w:lang w:val="en-US"/>
        </w:rPr>
        <w:t>.</w:t>
      </w:r>
    </w:p>
  </w:footnote>
  <w:footnote w:id="49">
    <w:p w14:paraId="11E1F842" w14:textId="12C65951" w:rsidR="00AA57EF" w:rsidRPr="006E567A" w:rsidRDefault="00AA57EF" w:rsidP="009A0C50">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w:t>
      </w:r>
      <w:r w:rsidR="009A0C50" w:rsidRPr="006E567A">
        <w:rPr>
          <w:rFonts w:cstheme="minorHAnsi"/>
          <w:sz w:val="16"/>
          <w:szCs w:val="16"/>
        </w:rPr>
        <w:t xml:space="preserve">Ibid, </w:t>
      </w:r>
      <w:r w:rsidR="009A0C50" w:rsidRPr="006E567A">
        <w:rPr>
          <w:rFonts w:cstheme="minorHAnsi"/>
          <w:sz w:val="16"/>
          <w:szCs w:val="16"/>
          <w:lang w:val="en-US"/>
        </w:rPr>
        <w:t>s</w:t>
      </w:r>
      <w:r w:rsidRPr="006E567A">
        <w:rPr>
          <w:rFonts w:cstheme="minorHAnsi"/>
          <w:sz w:val="16"/>
          <w:szCs w:val="16"/>
          <w:lang w:val="en-US"/>
        </w:rPr>
        <w:t xml:space="preserve"> 1(1)</w:t>
      </w:r>
    </w:p>
  </w:footnote>
  <w:footnote w:id="50">
    <w:p w14:paraId="27FBB3E2" w14:textId="22D44FE4" w:rsidR="00AA57EF" w:rsidRPr="006E567A" w:rsidRDefault="00AA57EF" w:rsidP="009A0C50">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w:t>
      </w:r>
      <w:r w:rsidR="009A0C50" w:rsidRPr="006E567A">
        <w:rPr>
          <w:rFonts w:cstheme="minorHAnsi"/>
          <w:sz w:val="16"/>
          <w:szCs w:val="16"/>
          <w:lang w:val="en-US"/>
        </w:rPr>
        <w:t>Ibid, s</w:t>
      </w:r>
      <w:r w:rsidRPr="006E567A">
        <w:rPr>
          <w:rFonts w:cstheme="minorHAnsi"/>
          <w:sz w:val="16"/>
          <w:szCs w:val="16"/>
          <w:lang w:val="en-US"/>
        </w:rPr>
        <w:t xml:space="preserve"> 149(1)(a)</w:t>
      </w:r>
      <w:r w:rsidR="009A0C50" w:rsidRPr="006E567A">
        <w:rPr>
          <w:rFonts w:cstheme="minorHAnsi"/>
          <w:sz w:val="16"/>
          <w:szCs w:val="16"/>
          <w:lang w:val="en-US"/>
        </w:rPr>
        <w:t>.</w:t>
      </w:r>
    </w:p>
  </w:footnote>
  <w:footnote w:id="51">
    <w:p w14:paraId="69EA2986" w14:textId="62B36892" w:rsidR="00A0187A" w:rsidRPr="006E567A" w:rsidRDefault="00A0187A" w:rsidP="009A0C50">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w:t>
      </w:r>
      <w:r w:rsidR="009A0C50" w:rsidRPr="006E567A">
        <w:rPr>
          <w:rFonts w:cstheme="minorHAnsi"/>
          <w:sz w:val="16"/>
          <w:szCs w:val="16"/>
          <w:lang w:val="en-US"/>
        </w:rPr>
        <w:t xml:space="preserve">Ibid, s </w:t>
      </w:r>
      <w:r w:rsidRPr="006E567A">
        <w:rPr>
          <w:rFonts w:cstheme="minorHAnsi"/>
          <w:sz w:val="16"/>
          <w:szCs w:val="16"/>
          <w:lang w:val="en-US"/>
        </w:rPr>
        <w:t>149(1)(b)</w:t>
      </w:r>
      <w:r w:rsidR="009A0C50" w:rsidRPr="006E567A">
        <w:rPr>
          <w:rFonts w:cstheme="minorHAnsi"/>
          <w:sz w:val="16"/>
          <w:szCs w:val="16"/>
          <w:lang w:val="en-US"/>
        </w:rPr>
        <w:t>.</w:t>
      </w:r>
    </w:p>
  </w:footnote>
  <w:footnote w:id="52">
    <w:p w14:paraId="1E899FE5" w14:textId="677D5D45" w:rsidR="00A0187A" w:rsidRPr="006E567A" w:rsidRDefault="00A0187A" w:rsidP="009A0C50">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w:t>
      </w:r>
      <w:r w:rsidR="009A0C50" w:rsidRPr="006E567A">
        <w:rPr>
          <w:rFonts w:cstheme="minorHAnsi"/>
          <w:sz w:val="16"/>
          <w:szCs w:val="16"/>
          <w:lang w:val="en-US"/>
        </w:rPr>
        <w:t>Ibid, s</w:t>
      </w:r>
      <w:r w:rsidRPr="006E567A">
        <w:rPr>
          <w:rFonts w:cstheme="minorHAnsi"/>
          <w:sz w:val="16"/>
          <w:szCs w:val="16"/>
          <w:lang w:val="en-US"/>
        </w:rPr>
        <w:t xml:space="preserve"> 149(3)(c)</w:t>
      </w:r>
      <w:r w:rsidR="009A0C50" w:rsidRPr="006E567A">
        <w:rPr>
          <w:rFonts w:cstheme="minorHAnsi"/>
          <w:sz w:val="16"/>
          <w:szCs w:val="16"/>
          <w:lang w:val="en-US"/>
        </w:rPr>
        <w:t>.</w:t>
      </w:r>
    </w:p>
  </w:footnote>
  <w:footnote w:id="53">
    <w:p w14:paraId="23F3953B" w14:textId="71717F1F" w:rsidR="00A0187A" w:rsidRPr="006E567A" w:rsidRDefault="00A0187A" w:rsidP="009A0C50">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w:t>
      </w:r>
      <w:r w:rsidR="009A0C50" w:rsidRPr="006E567A">
        <w:rPr>
          <w:rFonts w:cstheme="minorHAnsi"/>
          <w:sz w:val="16"/>
          <w:szCs w:val="16"/>
          <w:lang w:val="en-US"/>
        </w:rPr>
        <w:t xml:space="preserve">Ibid, </w:t>
      </w:r>
      <w:r w:rsidRPr="006E567A">
        <w:rPr>
          <w:rFonts w:cstheme="minorHAnsi"/>
          <w:sz w:val="16"/>
          <w:szCs w:val="16"/>
          <w:lang w:val="en-US"/>
        </w:rPr>
        <w:t>149(3)</w:t>
      </w:r>
      <w:r w:rsidR="009A0C50" w:rsidRPr="006E567A">
        <w:rPr>
          <w:rFonts w:cstheme="minorHAnsi"/>
          <w:sz w:val="16"/>
          <w:szCs w:val="16"/>
          <w:lang w:val="en-US"/>
        </w:rPr>
        <w:t>.</w:t>
      </w:r>
    </w:p>
  </w:footnote>
  <w:footnote w:id="54">
    <w:p w14:paraId="7FC8746D" w14:textId="4A350F21" w:rsidR="00A0187A" w:rsidRPr="006E567A" w:rsidRDefault="00A0187A" w:rsidP="009A0C50">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w:t>
      </w:r>
      <w:r w:rsidR="009A0C50" w:rsidRPr="006E567A">
        <w:rPr>
          <w:rFonts w:cstheme="minorHAnsi"/>
          <w:i/>
          <w:iCs/>
          <w:sz w:val="16"/>
          <w:szCs w:val="16"/>
        </w:rPr>
        <w:t>Equal Opportunity Act 2010</w:t>
      </w:r>
      <w:r w:rsidR="009A0C50" w:rsidRPr="006E567A">
        <w:rPr>
          <w:rFonts w:cstheme="minorHAnsi"/>
          <w:sz w:val="16"/>
          <w:szCs w:val="16"/>
        </w:rPr>
        <w:t xml:space="preserve"> (Vic) </w:t>
      </w:r>
      <w:r w:rsidR="009A0C50" w:rsidRPr="006E567A">
        <w:rPr>
          <w:rFonts w:cstheme="minorHAnsi"/>
          <w:sz w:val="16"/>
          <w:szCs w:val="16"/>
          <w:lang w:val="en-US"/>
        </w:rPr>
        <w:t>s</w:t>
      </w:r>
      <w:r w:rsidRPr="006E567A">
        <w:rPr>
          <w:rFonts w:cstheme="minorHAnsi"/>
          <w:sz w:val="16"/>
          <w:szCs w:val="16"/>
          <w:lang w:val="en-US"/>
        </w:rPr>
        <w:t xml:space="preserve"> 15(1)</w:t>
      </w:r>
      <w:r w:rsidR="009A0C50" w:rsidRPr="006E567A">
        <w:rPr>
          <w:rFonts w:cstheme="minorHAnsi"/>
          <w:sz w:val="16"/>
          <w:szCs w:val="16"/>
          <w:lang w:val="en-US"/>
        </w:rPr>
        <w:t>.</w:t>
      </w:r>
    </w:p>
  </w:footnote>
  <w:footnote w:id="55">
    <w:p w14:paraId="604C978C" w14:textId="2D1BF8EE" w:rsidR="00A0187A" w:rsidRPr="006E567A" w:rsidRDefault="00A0187A" w:rsidP="009A0C50">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w:t>
      </w:r>
      <w:r w:rsidR="009A0C50" w:rsidRPr="006E567A">
        <w:rPr>
          <w:rFonts w:cstheme="minorHAnsi"/>
          <w:sz w:val="16"/>
          <w:szCs w:val="16"/>
          <w:lang w:val="en-US"/>
        </w:rPr>
        <w:t>Ibid, s</w:t>
      </w:r>
      <w:r w:rsidRPr="006E567A">
        <w:rPr>
          <w:rFonts w:cstheme="minorHAnsi"/>
          <w:sz w:val="16"/>
          <w:szCs w:val="16"/>
          <w:lang w:val="en-US"/>
        </w:rPr>
        <w:t xml:space="preserve"> 15(2)</w:t>
      </w:r>
      <w:r w:rsidR="009A0C50" w:rsidRPr="006E567A">
        <w:rPr>
          <w:rFonts w:cstheme="minorHAnsi"/>
          <w:sz w:val="16"/>
          <w:szCs w:val="16"/>
          <w:lang w:val="en-US"/>
        </w:rPr>
        <w:t>.</w:t>
      </w:r>
    </w:p>
  </w:footnote>
  <w:footnote w:id="56">
    <w:p w14:paraId="4C2146B5" w14:textId="6A95FE63" w:rsidR="004B28E6" w:rsidRPr="006E567A" w:rsidRDefault="004B28E6" w:rsidP="00AA5C10">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w:t>
      </w:r>
      <w:r w:rsidR="009A0C50" w:rsidRPr="006E567A">
        <w:rPr>
          <w:rFonts w:cstheme="minorHAnsi"/>
          <w:sz w:val="16"/>
          <w:szCs w:val="16"/>
        </w:rPr>
        <w:t>Allen</w:t>
      </w:r>
      <w:r w:rsidR="00B3332D">
        <w:rPr>
          <w:rFonts w:cstheme="minorHAnsi"/>
          <w:sz w:val="16"/>
          <w:szCs w:val="16"/>
        </w:rPr>
        <w:t xml:space="preserve"> (n 45) </w:t>
      </w:r>
      <w:r w:rsidRPr="006E567A">
        <w:rPr>
          <w:rFonts w:cstheme="minorHAnsi"/>
          <w:sz w:val="16"/>
          <w:szCs w:val="16"/>
          <w:lang w:val="en-US"/>
        </w:rPr>
        <w:t>499.</w:t>
      </w:r>
    </w:p>
  </w:footnote>
  <w:footnote w:id="57">
    <w:p w14:paraId="32740D19" w14:textId="581D90EF" w:rsidR="00DF1FB4" w:rsidRPr="006E567A" w:rsidRDefault="00DF1FB4" w:rsidP="00E12ED4">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w:t>
      </w:r>
      <w:r w:rsidR="00303604" w:rsidRPr="006E567A">
        <w:rPr>
          <w:rFonts w:cstheme="minorHAnsi"/>
          <w:sz w:val="16"/>
          <w:szCs w:val="16"/>
        </w:rPr>
        <w:t>Ibid,</w:t>
      </w:r>
      <w:r w:rsidRPr="006E567A">
        <w:rPr>
          <w:rFonts w:cstheme="minorHAnsi"/>
          <w:sz w:val="16"/>
          <w:szCs w:val="16"/>
          <w:lang w:val="en-US"/>
        </w:rPr>
        <w:t xml:space="preserve"> 4</w:t>
      </w:r>
      <w:r w:rsidR="00E12ED4" w:rsidRPr="006E567A">
        <w:rPr>
          <w:rFonts w:cstheme="minorHAnsi"/>
          <w:sz w:val="16"/>
          <w:szCs w:val="16"/>
          <w:lang w:val="en-US"/>
        </w:rPr>
        <w:t>88-489.</w:t>
      </w:r>
    </w:p>
  </w:footnote>
  <w:footnote w:id="58">
    <w:p w14:paraId="41D05045" w14:textId="3D532D69" w:rsidR="00CD59B7" w:rsidRPr="006E567A" w:rsidRDefault="00CD59B7" w:rsidP="00CD59B7">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w:t>
      </w:r>
      <w:r w:rsidRPr="006E567A">
        <w:rPr>
          <w:rFonts w:cstheme="minorHAnsi"/>
          <w:sz w:val="16"/>
          <w:szCs w:val="16"/>
          <w:lang w:val="en-US"/>
        </w:rPr>
        <w:t xml:space="preserve">A recognition of supported decision-making has begun to be incorporated most notably in guardianship legislation thus far. See for example </w:t>
      </w:r>
      <w:r w:rsidRPr="006E567A">
        <w:rPr>
          <w:rFonts w:cstheme="minorHAnsi"/>
          <w:i/>
          <w:iCs/>
          <w:sz w:val="16"/>
          <w:szCs w:val="16"/>
          <w:lang w:val="en-US"/>
        </w:rPr>
        <w:t>Guardianship and Administration Act 2019</w:t>
      </w:r>
      <w:r w:rsidRPr="006E567A">
        <w:rPr>
          <w:rFonts w:cstheme="minorHAnsi"/>
          <w:sz w:val="16"/>
          <w:szCs w:val="16"/>
          <w:lang w:val="en-US"/>
        </w:rPr>
        <w:t xml:space="preserve"> (V</w:t>
      </w:r>
      <w:r w:rsidR="009A0C50" w:rsidRPr="006E567A">
        <w:rPr>
          <w:rFonts w:cstheme="minorHAnsi"/>
          <w:sz w:val="16"/>
          <w:szCs w:val="16"/>
          <w:lang w:val="en-US"/>
        </w:rPr>
        <w:t>ic</w:t>
      </w:r>
      <w:r w:rsidRPr="006E567A">
        <w:rPr>
          <w:rFonts w:cstheme="minorHAnsi"/>
          <w:sz w:val="16"/>
          <w:szCs w:val="16"/>
          <w:lang w:val="en-US"/>
        </w:rPr>
        <w:t xml:space="preserve">) ss 7(1)(a), 8(1)(a); </w:t>
      </w:r>
      <w:r w:rsidRPr="006E567A">
        <w:rPr>
          <w:rFonts w:cstheme="minorHAnsi"/>
          <w:i/>
          <w:iCs/>
          <w:sz w:val="16"/>
          <w:szCs w:val="16"/>
          <w:lang w:val="en-US"/>
        </w:rPr>
        <w:t>Guardianship and Administration Act 2000</w:t>
      </w:r>
      <w:r w:rsidRPr="006E567A">
        <w:rPr>
          <w:rFonts w:cstheme="minorHAnsi"/>
          <w:sz w:val="16"/>
          <w:szCs w:val="16"/>
          <w:lang w:val="en-US"/>
        </w:rPr>
        <w:t xml:space="preserve"> (Q</w:t>
      </w:r>
      <w:r w:rsidR="009A0C50" w:rsidRPr="006E567A">
        <w:rPr>
          <w:rFonts w:cstheme="minorHAnsi"/>
          <w:sz w:val="16"/>
          <w:szCs w:val="16"/>
          <w:lang w:val="en-US"/>
        </w:rPr>
        <w:t>ld</w:t>
      </w:r>
      <w:r w:rsidRPr="006E567A">
        <w:rPr>
          <w:rFonts w:cstheme="minorHAnsi"/>
          <w:sz w:val="16"/>
          <w:szCs w:val="16"/>
          <w:lang w:val="en-US"/>
        </w:rPr>
        <w:t>) ss 8(2)-(3). Both these Acts for example have sought to embed key human rights principles, including from the CRPD to guide decision-makers. Note the presumption of decision-making capacity in both Acts.</w:t>
      </w:r>
    </w:p>
  </w:footnote>
  <w:footnote w:id="59">
    <w:p w14:paraId="0FDADE77" w14:textId="77777777" w:rsidR="00DF7B9A" w:rsidRPr="006E567A" w:rsidRDefault="00DF7B9A" w:rsidP="00DF7B9A">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Kayess and Sands (n 3); Australian Bureau of Statistics (n 1) 19.</w:t>
      </w:r>
    </w:p>
  </w:footnote>
  <w:footnote w:id="60">
    <w:p w14:paraId="5A9539B8" w14:textId="77777777" w:rsidR="00DF7B9A" w:rsidRPr="006E567A" w:rsidRDefault="00DF7B9A" w:rsidP="00DF7B9A">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w:t>
      </w:r>
      <w:r w:rsidRPr="006E567A">
        <w:rPr>
          <w:rFonts w:cstheme="minorHAnsi"/>
          <w:i/>
          <w:iCs/>
          <w:sz w:val="16"/>
          <w:szCs w:val="16"/>
          <w:lang w:val="en-US"/>
        </w:rPr>
        <w:t>Convention on the Rights of Persons with Disability</w:t>
      </w:r>
      <w:r w:rsidRPr="006E567A">
        <w:rPr>
          <w:rFonts w:cstheme="minorHAnsi"/>
          <w:sz w:val="16"/>
          <w:szCs w:val="16"/>
          <w:lang w:val="en-US"/>
        </w:rPr>
        <w:t xml:space="preserve">, article 3(a). </w:t>
      </w:r>
    </w:p>
  </w:footnote>
  <w:footnote w:id="61">
    <w:p w14:paraId="6246B866" w14:textId="403D247B" w:rsidR="0028463D" w:rsidRPr="006E567A" w:rsidRDefault="0028463D" w:rsidP="0028463D">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w:t>
      </w:r>
      <w:r w:rsidRPr="006E567A">
        <w:rPr>
          <w:rFonts w:cstheme="minorHAnsi"/>
          <w:i/>
          <w:iCs/>
          <w:sz w:val="16"/>
          <w:szCs w:val="16"/>
          <w:lang w:val="en-US"/>
        </w:rPr>
        <w:t>Anti-Discrimination Act 1977</w:t>
      </w:r>
      <w:r w:rsidRPr="006E567A">
        <w:rPr>
          <w:rFonts w:cstheme="minorHAnsi"/>
          <w:sz w:val="16"/>
          <w:szCs w:val="16"/>
          <w:lang w:val="en-US"/>
        </w:rPr>
        <w:t xml:space="preserve"> (NSW) s 119(1).</w:t>
      </w:r>
    </w:p>
  </w:footnote>
  <w:footnote w:id="62">
    <w:p w14:paraId="68DE7657" w14:textId="2AA39616" w:rsidR="0028463D" w:rsidRPr="006E567A" w:rsidRDefault="0028463D" w:rsidP="0029355E">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w:t>
      </w:r>
      <w:r w:rsidRPr="006E567A">
        <w:rPr>
          <w:rFonts w:cstheme="minorHAnsi"/>
          <w:i/>
          <w:iCs/>
          <w:sz w:val="16"/>
          <w:szCs w:val="16"/>
          <w:lang w:val="en-US"/>
        </w:rPr>
        <w:t>Anti-Discrimination Act 1977</w:t>
      </w:r>
      <w:r w:rsidRPr="006E567A">
        <w:rPr>
          <w:rFonts w:cstheme="minorHAnsi"/>
          <w:sz w:val="16"/>
          <w:szCs w:val="16"/>
          <w:lang w:val="en-US"/>
        </w:rPr>
        <w:t xml:space="preserve"> (NSW) s 119(1)(a).</w:t>
      </w:r>
    </w:p>
  </w:footnote>
  <w:footnote w:id="63">
    <w:p w14:paraId="64357A68" w14:textId="6C33479E" w:rsidR="0029355E" w:rsidRPr="006E567A" w:rsidRDefault="0029355E" w:rsidP="0029355E">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w:t>
      </w:r>
      <w:r w:rsidRPr="006E567A">
        <w:rPr>
          <w:rFonts w:cstheme="minorHAnsi"/>
          <w:i/>
          <w:iCs/>
          <w:sz w:val="16"/>
          <w:szCs w:val="16"/>
          <w:lang w:val="en-US"/>
        </w:rPr>
        <w:t>Anti-Discrimination Act 1977</w:t>
      </w:r>
      <w:r w:rsidRPr="006E567A">
        <w:rPr>
          <w:rFonts w:cstheme="minorHAnsi"/>
          <w:sz w:val="16"/>
          <w:szCs w:val="16"/>
          <w:lang w:val="en-US"/>
        </w:rPr>
        <w:t xml:space="preserve"> (NSW) s 95.</w:t>
      </w:r>
    </w:p>
  </w:footnote>
  <w:footnote w:id="64">
    <w:p w14:paraId="28C51211" w14:textId="6D5CD5AE" w:rsidR="00487EA9" w:rsidRPr="009A0C50" w:rsidRDefault="00487EA9" w:rsidP="00E60519">
      <w:pPr>
        <w:pStyle w:val="FootnoteText"/>
        <w:spacing w:before="0"/>
        <w:rPr>
          <w:rFonts w:cstheme="minorHAnsi"/>
          <w:sz w:val="16"/>
          <w:szCs w:val="16"/>
          <w:lang w:val="en-US"/>
        </w:rPr>
      </w:pPr>
      <w:r w:rsidRPr="006E567A">
        <w:rPr>
          <w:rStyle w:val="FootnoteReference"/>
          <w:rFonts w:cstheme="minorHAnsi"/>
          <w:sz w:val="16"/>
          <w:szCs w:val="16"/>
        </w:rPr>
        <w:footnoteRef/>
      </w:r>
      <w:r w:rsidRPr="006E567A">
        <w:rPr>
          <w:rFonts w:cstheme="minorHAnsi"/>
          <w:sz w:val="16"/>
          <w:szCs w:val="16"/>
        </w:rPr>
        <w:t xml:space="preserve"> </w:t>
      </w:r>
      <w:r w:rsidR="00E60519" w:rsidRPr="006E567A">
        <w:rPr>
          <w:rFonts w:cstheme="minorHAnsi"/>
          <w:sz w:val="16"/>
          <w:szCs w:val="16"/>
        </w:rPr>
        <w:t xml:space="preserve">See </w:t>
      </w:r>
      <w:r w:rsidR="00C30F2F" w:rsidRPr="006E567A">
        <w:rPr>
          <w:rFonts w:cstheme="minorHAnsi"/>
          <w:sz w:val="16"/>
          <w:szCs w:val="16"/>
        </w:rPr>
        <w:t>eg</w:t>
      </w:r>
      <w:r w:rsidR="00E60519" w:rsidRPr="006E567A">
        <w:rPr>
          <w:rFonts w:cstheme="minorHAnsi"/>
          <w:sz w:val="16"/>
          <w:szCs w:val="16"/>
        </w:rPr>
        <w:t xml:space="preserve">, </w:t>
      </w:r>
      <w:r w:rsidR="00E60519" w:rsidRPr="006E567A">
        <w:rPr>
          <w:rFonts w:cstheme="minorHAnsi"/>
          <w:sz w:val="16"/>
          <w:szCs w:val="16"/>
          <w:lang w:val="en-US"/>
        </w:rPr>
        <w:t xml:space="preserve">Simon Rice, ‘NSW’s anti-discrimination law is confusing and outdated. Why is it lagging behind the country on reform?’, </w:t>
      </w:r>
      <w:r w:rsidR="00E60519" w:rsidRPr="006E567A">
        <w:rPr>
          <w:rFonts w:cstheme="minorHAnsi"/>
          <w:i/>
          <w:iCs/>
          <w:sz w:val="16"/>
          <w:szCs w:val="16"/>
          <w:lang w:val="en-US"/>
        </w:rPr>
        <w:t>The Conversation</w:t>
      </w:r>
      <w:r w:rsidR="00E60519" w:rsidRPr="006E567A">
        <w:rPr>
          <w:rFonts w:cstheme="minorHAnsi"/>
          <w:sz w:val="16"/>
          <w:szCs w:val="16"/>
          <w:lang w:val="en-US"/>
        </w:rPr>
        <w:t xml:space="preserve"> (online, 3 September 2021) &lt;</w:t>
      </w:r>
      <w:hyperlink r:id="rId13" w:history="1">
        <w:r w:rsidR="00342054" w:rsidRPr="006E567A">
          <w:rPr>
            <w:rStyle w:val="Hyperlink"/>
            <w:rFonts w:cstheme="minorHAnsi"/>
            <w:sz w:val="16"/>
            <w:szCs w:val="16"/>
            <w:lang w:val="en-US"/>
          </w:rPr>
          <w:t>https://theconversation.com/nsws-anti-discrimination-law-is-confusing-and-outdated-why-is-it-lagging-behind-the-country-on-reform-166753</w:t>
        </w:r>
      </w:hyperlink>
      <w:r w:rsidR="00E60519" w:rsidRPr="006E567A">
        <w:rPr>
          <w:rFonts w:cstheme="minorHAnsi"/>
          <w:sz w:val="16"/>
          <w:szCs w:val="16"/>
          <w:lang w:val="en-US"/>
        </w:rPr>
        <w:t>&gt;.</w:t>
      </w:r>
      <w:r w:rsidR="00E60519" w:rsidRPr="009A0C50">
        <w:rPr>
          <w:rFonts w:cstheme="minorHAnsi"/>
          <w:sz w:val="16"/>
          <w:szCs w:val="16"/>
          <w:lang w:val="en-US"/>
        </w:rPr>
        <w:t xml:space="preserve"> </w:t>
      </w:r>
    </w:p>
  </w:footnote>
  <w:footnote w:id="65">
    <w:p w14:paraId="440D215B" w14:textId="738172D6" w:rsidR="001D39FA" w:rsidRPr="009A0C50" w:rsidRDefault="001D39FA" w:rsidP="004B28E6">
      <w:pPr>
        <w:pStyle w:val="FootnoteText"/>
        <w:spacing w:before="0"/>
        <w:rPr>
          <w:rFonts w:cstheme="minorHAnsi"/>
          <w:sz w:val="16"/>
          <w:szCs w:val="16"/>
          <w:lang w:val="en-US"/>
        </w:rPr>
      </w:pPr>
      <w:r w:rsidRPr="009A0C50">
        <w:rPr>
          <w:rStyle w:val="FootnoteReference"/>
          <w:rFonts w:cstheme="minorHAnsi"/>
          <w:sz w:val="16"/>
          <w:szCs w:val="16"/>
        </w:rPr>
        <w:footnoteRef/>
      </w:r>
      <w:r w:rsidRPr="009A0C50">
        <w:rPr>
          <w:rFonts w:cstheme="minorHAnsi"/>
          <w:sz w:val="16"/>
          <w:szCs w:val="16"/>
        </w:rPr>
        <w:t xml:space="preserve"> </w:t>
      </w:r>
      <w:r w:rsidR="00623622" w:rsidRPr="009A0C50">
        <w:rPr>
          <w:rFonts w:cstheme="minorHAnsi"/>
          <w:sz w:val="16"/>
          <w:szCs w:val="16"/>
          <w:lang w:val="en-US"/>
        </w:rPr>
        <w:t>Australian Human Rights Commission</w:t>
      </w:r>
      <w:r w:rsidR="00785342" w:rsidRPr="009A0C50">
        <w:rPr>
          <w:rFonts w:cstheme="minorHAnsi"/>
          <w:sz w:val="16"/>
          <w:szCs w:val="16"/>
          <w:lang w:val="en-US"/>
        </w:rPr>
        <w:t xml:space="preserve"> (n </w:t>
      </w:r>
      <w:r w:rsidR="00B53343">
        <w:rPr>
          <w:rFonts w:cstheme="minorHAnsi"/>
          <w:sz w:val="16"/>
          <w:szCs w:val="16"/>
          <w:lang w:val="en-US"/>
        </w:rPr>
        <w:t>7</w:t>
      </w:r>
      <w:r w:rsidR="00785342" w:rsidRPr="009A0C50">
        <w:rPr>
          <w:rFonts w:cstheme="minorHAnsi"/>
          <w:sz w:val="16"/>
          <w:szCs w:val="16"/>
          <w:lang w:val="en-US"/>
        </w:rPr>
        <w:t xml:space="preserve">) </w:t>
      </w:r>
      <w:r w:rsidRPr="009A0C50">
        <w:rPr>
          <w:rFonts w:cstheme="minorHAnsi"/>
          <w:sz w:val="16"/>
          <w:szCs w:val="16"/>
        </w:rPr>
        <w:t>34</w:t>
      </w:r>
      <w:r w:rsidR="00303604" w:rsidRPr="009A0C50">
        <w:rPr>
          <w:rFonts w:cstheme="minorHAnsi"/>
          <w:sz w:val="16"/>
          <w:szCs w:val="16"/>
        </w:rPr>
        <w:t>.</w:t>
      </w:r>
    </w:p>
    <w:p w14:paraId="5B171066" w14:textId="46C566F1" w:rsidR="001D39FA" w:rsidRPr="009A0C50" w:rsidRDefault="001D39FA">
      <w:pPr>
        <w:pStyle w:val="FootnoteText"/>
        <w:rPr>
          <w:rFonts w:cstheme="minorHAnsi"/>
          <w:sz w:val="16"/>
          <w:szCs w:val="16"/>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C3ED" w14:textId="77777777" w:rsidR="00AF4139" w:rsidRDefault="00AF4139" w:rsidP="00C02BFC">
    <w:pPr>
      <w:pStyle w:val="Header"/>
    </w:pPr>
  </w:p>
  <w:p w14:paraId="272C4E1D" w14:textId="77777777" w:rsidR="00AF4139" w:rsidRDefault="00AF4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446"/>
    <w:multiLevelType w:val="hybridMultilevel"/>
    <w:tmpl w:val="D80E2D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 w15:restartNumberingAfterBreak="0">
    <w:nsid w:val="0B894B5E"/>
    <w:multiLevelType w:val="hybridMultilevel"/>
    <w:tmpl w:val="09A8D6C4"/>
    <w:lvl w:ilvl="0" w:tplc="71BE14EA">
      <w:start w:val="1"/>
      <w:numFmt w:val="lowerRoman"/>
      <w:lvlText w:val="(%1)"/>
      <w:lvlJc w:val="left"/>
      <w:pPr>
        <w:ind w:left="2154" w:hanging="720"/>
      </w:pPr>
      <w:rPr>
        <w:rFonts w:hint="default"/>
      </w:rPr>
    </w:lvl>
    <w:lvl w:ilvl="1" w:tplc="0C090019">
      <w:start w:val="1"/>
      <w:numFmt w:val="lowerLetter"/>
      <w:lvlText w:val="%2."/>
      <w:lvlJc w:val="left"/>
      <w:pPr>
        <w:ind w:left="2514" w:hanging="360"/>
      </w:pPr>
    </w:lvl>
    <w:lvl w:ilvl="2" w:tplc="0C09001B" w:tentative="1">
      <w:start w:val="1"/>
      <w:numFmt w:val="lowerRoman"/>
      <w:lvlText w:val="%3."/>
      <w:lvlJc w:val="right"/>
      <w:pPr>
        <w:ind w:left="3234" w:hanging="180"/>
      </w:pPr>
    </w:lvl>
    <w:lvl w:ilvl="3" w:tplc="0C09000F" w:tentative="1">
      <w:start w:val="1"/>
      <w:numFmt w:val="decimal"/>
      <w:lvlText w:val="%4."/>
      <w:lvlJc w:val="left"/>
      <w:pPr>
        <w:ind w:left="3954" w:hanging="360"/>
      </w:pPr>
    </w:lvl>
    <w:lvl w:ilvl="4" w:tplc="0C090019" w:tentative="1">
      <w:start w:val="1"/>
      <w:numFmt w:val="lowerLetter"/>
      <w:lvlText w:val="%5."/>
      <w:lvlJc w:val="left"/>
      <w:pPr>
        <w:ind w:left="4674" w:hanging="360"/>
      </w:pPr>
    </w:lvl>
    <w:lvl w:ilvl="5" w:tplc="0C09001B" w:tentative="1">
      <w:start w:val="1"/>
      <w:numFmt w:val="lowerRoman"/>
      <w:lvlText w:val="%6."/>
      <w:lvlJc w:val="right"/>
      <w:pPr>
        <w:ind w:left="5394" w:hanging="180"/>
      </w:pPr>
    </w:lvl>
    <w:lvl w:ilvl="6" w:tplc="0C09000F" w:tentative="1">
      <w:start w:val="1"/>
      <w:numFmt w:val="decimal"/>
      <w:lvlText w:val="%7."/>
      <w:lvlJc w:val="left"/>
      <w:pPr>
        <w:ind w:left="6114" w:hanging="360"/>
      </w:pPr>
    </w:lvl>
    <w:lvl w:ilvl="7" w:tplc="0C090019" w:tentative="1">
      <w:start w:val="1"/>
      <w:numFmt w:val="lowerLetter"/>
      <w:lvlText w:val="%8."/>
      <w:lvlJc w:val="left"/>
      <w:pPr>
        <w:ind w:left="6834" w:hanging="360"/>
      </w:pPr>
    </w:lvl>
    <w:lvl w:ilvl="8" w:tplc="0C09001B" w:tentative="1">
      <w:start w:val="1"/>
      <w:numFmt w:val="lowerRoman"/>
      <w:lvlText w:val="%9."/>
      <w:lvlJc w:val="right"/>
      <w:pPr>
        <w:ind w:left="7554" w:hanging="180"/>
      </w:pPr>
    </w:lvl>
  </w:abstractNum>
  <w:abstractNum w:abstractNumId="3" w15:restartNumberingAfterBreak="0">
    <w:nsid w:val="123F24BF"/>
    <w:multiLevelType w:val="hybridMultilevel"/>
    <w:tmpl w:val="251C191E"/>
    <w:lvl w:ilvl="0" w:tplc="0680B70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36B26DF"/>
    <w:multiLevelType w:val="hybridMultilevel"/>
    <w:tmpl w:val="A1AE03B6"/>
    <w:lvl w:ilvl="0" w:tplc="BD04C85A">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BD5E95"/>
    <w:multiLevelType w:val="hybridMultilevel"/>
    <w:tmpl w:val="98EC0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814C9B"/>
    <w:multiLevelType w:val="hybridMultilevel"/>
    <w:tmpl w:val="2794D50A"/>
    <w:lvl w:ilvl="0" w:tplc="0C09000F">
      <w:start w:val="1"/>
      <w:numFmt w:val="decimal"/>
      <w:lvlText w:val="%1."/>
      <w:lvlJc w:val="left"/>
      <w:pPr>
        <w:ind w:left="792" w:hanging="360"/>
      </w:p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7" w15:restartNumberingAfterBreak="0">
    <w:nsid w:val="1A2234C5"/>
    <w:multiLevelType w:val="hybridMultilevel"/>
    <w:tmpl w:val="39480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873497"/>
    <w:multiLevelType w:val="multilevel"/>
    <w:tmpl w:val="3F002D38"/>
    <w:name w:val="PWDA_Bullets2"/>
    <w:numStyleLink w:val="PWDABullets"/>
  </w:abstractNum>
  <w:abstractNum w:abstractNumId="9" w15:restartNumberingAfterBreak="0">
    <w:nsid w:val="1BED1B3A"/>
    <w:multiLevelType w:val="hybridMultilevel"/>
    <w:tmpl w:val="9A2E7A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C85F35"/>
    <w:multiLevelType w:val="hybridMultilevel"/>
    <w:tmpl w:val="977A9A10"/>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1" w15:restartNumberingAfterBreak="0">
    <w:nsid w:val="1FE3006F"/>
    <w:multiLevelType w:val="hybridMultilevel"/>
    <w:tmpl w:val="04F21AA2"/>
    <w:lvl w:ilvl="0" w:tplc="0C09000F">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20812844"/>
    <w:multiLevelType w:val="hybridMultilevel"/>
    <w:tmpl w:val="06182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C26EDE"/>
    <w:multiLevelType w:val="multilevel"/>
    <w:tmpl w:val="3F002D38"/>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4" w15:restartNumberingAfterBreak="0">
    <w:nsid w:val="26B40CCD"/>
    <w:multiLevelType w:val="hybridMultilevel"/>
    <w:tmpl w:val="7BC6D5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60705F"/>
    <w:multiLevelType w:val="hybridMultilevel"/>
    <w:tmpl w:val="8A86A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3E6C4B"/>
    <w:multiLevelType w:val="hybridMultilevel"/>
    <w:tmpl w:val="78827CA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DE06E76"/>
    <w:multiLevelType w:val="hybridMultilevel"/>
    <w:tmpl w:val="FB5CAF68"/>
    <w:lvl w:ilvl="0" w:tplc="0C09000F">
      <w:start w:val="1"/>
      <w:numFmt w:val="decimal"/>
      <w:lvlText w:val="%1."/>
      <w:lvlJc w:val="left"/>
      <w:pPr>
        <w:ind w:left="792" w:hanging="360"/>
      </w:p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18" w15:restartNumberingAfterBreak="0">
    <w:nsid w:val="4E5B40C1"/>
    <w:multiLevelType w:val="hybridMultilevel"/>
    <w:tmpl w:val="65E6A81E"/>
    <w:lvl w:ilvl="0" w:tplc="E6306D94">
      <w:start w:val="1"/>
      <w:numFmt w:val="lowerLetter"/>
      <w:lvlText w:val="(%1)"/>
      <w:lvlJc w:val="left"/>
      <w:pPr>
        <w:ind w:left="1074" w:hanging="360"/>
      </w:pPr>
      <w:rPr>
        <w:rFonts w:hint="default"/>
      </w:rPr>
    </w:lvl>
    <w:lvl w:ilvl="1" w:tplc="0C090019">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19" w15:restartNumberingAfterBreak="0">
    <w:nsid w:val="519D282B"/>
    <w:multiLevelType w:val="hybridMultilevel"/>
    <w:tmpl w:val="B93263B4"/>
    <w:lvl w:ilvl="0" w:tplc="9A368970">
      <w:start w:val="1"/>
      <w:numFmt w:val="lowerRoman"/>
      <w:lvlText w:val="(%1)"/>
      <w:lvlJc w:val="left"/>
      <w:pPr>
        <w:ind w:left="2154" w:hanging="720"/>
      </w:pPr>
      <w:rPr>
        <w:rFonts w:hint="default"/>
      </w:rPr>
    </w:lvl>
    <w:lvl w:ilvl="1" w:tplc="0C090019" w:tentative="1">
      <w:start w:val="1"/>
      <w:numFmt w:val="lowerLetter"/>
      <w:lvlText w:val="%2."/>
      <w:lvlJc w:val="left"/>
      <w:pPr>
        <w:ind w:left="2514" w:hanging="360"/>
      </w:pPr>
    </w:lvl>
    <w:lvl w:ilvl="2" w:tplc="0C09001B" w:tentative="1">
      <w:start w:val="1"/>
      <w:numFmt w:val="lowerRoman"/>
      <w:lvlText w:val="%3."/>
      <w:lvlJc w:val="right"/>
      <w:pPr>
        <w:ind w:left="3234" w:hanging="180"/>
      </w:pPr>
    </w:lvl>
    <w:lvl w:ilvl="3" w:tplc="0C09000F" w:tentative="1">
      <w:start w:val="1"/>
      <w:numFmt w:val="decimal"/>
      <w:lvlText w:val="%4."/>
      <w:lvlJc w:val="left"/>
      <w:pPr>
        <w:ind w:left="3954" w:hanging="360"/>
      </w:pPr>
    </w:lvl>
    <w:lvl w:ilvl="4" w:tplc="0C090019" w:tentative="1">
      <w:start w:val="1"/>
      <w:numFmt w:val="lowerLetter"/>
      <w:lvlText w:val="%5."/>
      <w:lvlJc w:val="left"/>
      <w:pPr>
        <w:ind w:left="4674" w:hanging="360"/>
      </w:pPr>
    </w:lvl>
    <w:lvl w:ilvl="5" w:tplc="0C09001B" w:tentative="1">
      <w:start w:val="1"/>
      <w:numFmt w:val="lowerRoman"/>
      <w:lvlText w:val="%6."/>
      <w:lvlJc w:val="right"/>
      <w:pPr>
        <w:ind w:left="5394" w:hanging="180"/>
      </w:pPr>
    </w:lvl>
    <w:lvl w:ilvl="6" w:tplc="0C09000F" w:tentative="1">
      <w:start w:val="1"/>
      <w:numFmt w:val="decimal"/>
      <w:lvlText w:val="%7."/>
      <w:lvlJc w:val="left"/>
      <w:pPr>
        <w:ind w:left="6114" w:hanging="360"/>
      </w:pPr>
    </w:lvl>
    <w:lvl w:ilvl="7" w:tplc="0C090019" w:tentative="1">
      <w:start w:val="1"/>
      <w:numFmt w:val="lowerLetter"/>
      <w:lvlText w:val="%8."/>
      <w:lvlJc w:val="left"/>
      <w:pPr>
        <w:ind w:left="6834" w:hanging="360"/>
      </w:pPr>
    </w:lvl>
    <w:lvl w:ilvl="8" w:tplc="0C09001B" w:tentative="1">
      <w:start w:val="1"/>
      <w:numFmt w:val="lowerRoman"/>
      <w:lvlText w:val="%9."/>
      <w:lvlJc w:val="right"/>
      <w:pPr>
        <w:ind w:left="7554" w:hanging="180"/>
      </w:pPr>
    </w:lvl>
  </w:abstractNum>
  <w:abstractNum w:abstractNumId="20" w15:restartNumberingAfterBreak="0">
    <w:nsid w:val="53274D87"/>
    <w:multiLevelType w:val="hybridMultilevel"/>
    <w:tmpl w:val="FD88E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2F075C"/>
    <w:multiLevelType w:val="hybridMultilevel"/>
    <w:tmpl w:val="15CC8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AA1B93"/>
    <w:multiLevelType w:val="hybridMultilevel"/>
    <w:tmpl w:val="0CE88F8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70A5FAA"/>
    <w:multiLevelType w:val="hybridMultilevel"/>
    <w:tmpl w:val="83A48CD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5963007D"/>
    <w:multiLevelType w:val="hybridMultilevel"/>
    <w:tmpl w:val="D3785A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B43543F"/>
    <w:multiLevelType w:val="hybridMultilevel"/>
    <w:tmpl w:val="6D4C6C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E6D4D2A"/>
    <w:multiLevelType w:val="hybridMultilevel"/>
    <w:tmpl w:val="7E561904"/>
    <w:lvl w:ilvl="0" w:tplc="48266E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29242EB"/>
    <w:multiLevelType w:val="hybridMultilevel"/>
    <w:tmpl w:val="06EC0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981D06"/>
    <w:multiLevelType w:val="hybridMultilevel"/>
    <w:tmpl w:val="43B27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DB710C"/>
    <w:multiLevelType w:val="hybridMultilevel"/>
    <w:tmpl w:val="5F3C1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90409E"/>
    <w:multiLevelType w:val="hybridMultilevel"/>
    <w:tmpl w:val="3AA67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033A6B"/>
    <w:multiLevelType w:val="hybridMultilevel"/>
    <w:tmpl w:val="CD467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FC1AA6"/>
    <w:multiLevelType w:val="hybridMultilevel"/>
    <w:tmpl w:val="25F23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E915DB"/>
    <w:multiLevelType w:val="hybridMultilevel"/>
    <w:tmpl w:val="00AAF004"/>
    <w:lvl w:ilvl="0" w:tplc="84D8CAFE">
      <w:start w:val="1"/>
      <w:numFmt w:val="decimal"/>
      <w:pStyle w:val="ListParagraph"/>
      <w:lvlText w:val="%1."/>
      <w:lvlJc w:val="left"/>
      <w:pPr>
        <w:ind w:left="1077" w:hanging="360"/>
      </w:p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16cid:durableId="2043167323">
    <w:abstractNumId w:val="13"/>
  </w:num>
  <w:num w:numId="2" w16cid:durableId="1383677892">
    <w:abstractNumId w:val="1"/>
  </w:num>
  <w:num w:numId="3" w16cid:durableId="1588730485">
    <w:abstractNumId w:val="4"/>
  </w:num>
  <w:num w:numId="4" w16cid:durableId="1461730697">
    <w:abstractNumId w:val="33"/>
  </w:num>
  <w:num w:numId="5" w16cid:durableId="1070887488">
    <w:abstractNumId w:val="22"/>
  </w:num>
  <w:num w:numId="6" w16cid:durableId="578174227">
    <w:abstractNumId w:val="16"/>
  </w:num>
  <w:num w:numId="7" w16cid:durableId="1083335205">
    <w:abstractNumId w:val="18"/>
  </w:num>
  <w:num w:numId="8" w16cid:durableId="24601174">
    <w:abstractNumId w:val="2"/>
  </w:num>
  <w:num w:numId="9" w16cid:durableId="1460226381">
    <w:abstractNumId w:val="19"/>
  </w:num>
  <w:num w:numId="10" w16cid:durableId="954095847">
    <w:abstractNumId w:val="9"/>
  </w:num>
  <w:num w:numId="11" w16cid:durableId="1328434488">
    <w:abstractNumId w:val="26"/>
  </w:num>
  <w:num w:numId="12" w16cid:durableId="1777484728">
    <w:abstractNumId w:val="0"/>
  </w:num>
  <w:num w:numId="13" w16cid:durableId="1619290186">
    <w:abstractNumId w:val="11"/>
  </w:num>
  <w:num w:numId="14" w16cid:durableId="1490247051">
    <w:abstractNumId w:val="25"/>
  </w:num>
  <w:num w:numId="15" w16cid:durableId="1543519755">
    <w:abstractNumId w:val="28"/>
  </w:num>
  <w:num w:numId="16" w16cid:durableId="2065642673">
    <w:abstractNumId w:val="7"/>
  </w:num>
  <w:num w:numId="17" w16cid:durableId="960109042">
    <w:abstractNumId w:val="3"/>
  </w:num>
  <w:num w:numId="18" w16cid:durableId="547648822">
    <w:abstractNumId w:val="30"/>
  </w:num>
  <w:num w:numId="19" w16cid:durableId="84957844">
    <w:abstractNumId w:val="6"/>
  </w:num>
  <w:num w:numId="20" w16cid:durableId="205723360">
    <w:abstractNumId w:val="31"/>
  </w:num>
  <w:num w:numId="21" w16cid:durableId="840313530">
    <w:abstractNumId w:val="24"/>
  </w:num>
  <w:num w:numId="22" w16cid:durableId="2044749336">
    <w:abstractNumId w:val="29"/>
  </w:num>
  <w:num w:numId="23" w16cid:durableId="1292714433">
    <w:abstractNumId w:val="17"/>
  </w:num>
  <w:num w:numId="24" w16cid:durableId="1932203423">
    <w:abstractNumId w:val="14"/>
  </w:num>
  <w:num w:numId="25" w16cid:durableId="317806204">
    <w:abstractNumId w:val="10"/>
  </w:num>
  <w:num w:numId="26" w16cid:durableId="879710264">
    <w:abstractNumId w:val="15"/>
  </w:num>
  <w:num w:numId="27" w16cid:durableId="882793259">
    <w:abstractNumId w:val="20"/>
  </w:num>
  <w:num w:numId="28" w16cid:durableId="784349199">
    <w:abstractNumId w:val="21"/>
  </w:num>
  <w:num w:numId="29" w16cid:durableId="271473943">
    <w:abstractNumId w:val="5"/>
  </w:num>
  <w:num w:numId="30" w16cid:durableId="1990818344">
    <w:abstractNumId w:val="12"/>
  </w:num>
  <w:num w:numId="31" w16cid:durableId="647247236">
    <w:abstractNumId w:val="23"/>
  </w:num>
  <w:num w:numId="32" w16cid:durableId="1315184874">
    <w:abstractNumId w:val="27"/>
  </w:num>
  <w:num w:numId="33" w16cid:durableId="1598710069">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zSyMDCyMDQ0NzZT0lEKTi0uzszPAykwNK4FAMG3mG0tAAAA"/>
  </w:docVars>
  <w:rsids>
    <w:rsidRoot w:val="00D402C8"/>
    <w:rsid w:val="000006FE"/>
    <w:rsid w:val="00000E32"/>
    <w:rsid w:val="0000145B"/>
    <w:rsid w:val="00003077"/>
    <w:rsid w:val="00003112"/>
    <w:rsid w:val="000037B8"/>
    <w:rsid w:val="00003A55"/>
    <w:rsid w:val="00003DD0"/>
    <w:rsid w:val="0000457A"/>
    <w:rsid w:val="000045E9"/>
    <w:rsid w:val="0000635E"/>
    <w:rsid w:val="0000661F"/>
    <w:rsid w:val="00006C78"/>
    <w:rsid w:val="00007A0D"/>
    <w:rsid w:val="000107EE"/>
    <w:rsid w:val="00010F15"/>
    <w:rsid w:val="00011B59"/>
    <w:rsid w:val="00012D31"/>
    <w:rsid w:val="00013C30"/>
    <w:rsid w:val="00014092"/>
    <w:rsid w:val="00014E80"/>
    <w:rsid w:val="00015058"/>
    <w:rsid w:val="000152EF"/>
    <w:rsid w:val="0001574C"/>
    <w:rsid w:val="000163CD"/>
    <w:rsid w:val="000171EA"/>
    <w:rsid w:val="00017285"/>
    <w:rsid w:val="00017E0B"/>
    <w:rsid w:val="00020182"/>
    <w:rsid w:val="000205BC"/>
    <w:rsid w:val="0002294E"/>
    <w:rsid w:val="00022B9F"/>
    <w:rsid w:val="00022E6B"/>
    <w:rsid w:val="00023001"/>
    <w:rsid w:val="00023215"/>
    <w:rsid w:val="0002393D"/>
    <w:rsid w:val="00023ACE"/>
    <w:rsid w:val="00024EFE"/>
    <w:rsid w:val="000254A2"/>
    <w:rsid w:val="00025B30"/>
    <w:rsid w:val="00025D07"/>
    <w:rsid w:val="000261ED"/>
    <w:rsid w:val="00026B7F"/>
    <w:rsid w:val="00027EEB"/>
    <w:rsid w:val="0003018A"/>
    <w:rsid w:val="000301F8"/>
    <w:rsid w:val="00030551"/>
    <w:rsid w:val="000305F7"/>
    <w:rsid w:val="00030E4A"/>
    <w:rsid w:val="000312E9"/>
    <w:rsid w:val="00033909"/>
    <w:rsid w:val="00033B8D"/>
    <w:rsid w:val="00034185"/>
    <w:rsid w:val="00035F4A"/>
    <w:rsid w:val="0003619C"/>
    <w:rsid w:val="0003779A"/>
    <w:rsid w:val="0004055B"/>
    <w:rsid w:val="00041A17"/>
    <w:rsid w:val="00041E00"/>
    <w:rsid w:val="00041EB7"/>
    <w:rsid w:val="000427D2"/>
    <w:rsid w:val="00042A20"/>
    <w:rsid w:val="00042B6E"/>
    <w:rsid w:val="00042C20"/>
    <w:rsid w:val="00043E96"/>
    <w:rsid w:val="00044041"/>
    <w:rsid w:val="00044916"/>
    <w:rsid w:val="00045BF3"/>
    <w:rsid w:val="000470F4"/>
    <w:rsid w:val="00051330"/>
    <w:rsid w:val="00052003"/>
    <w:rsid w:val="00052035"/>
    <w:rsid w:val="0005232A"/>
    <w:rsid w:val="00052779"/>
    <w:rsid w:val="000529ED"/>
    <w:rsid w:val="000537AD"/>
    <w:rsid w:val="00053D40"/>
    <w:rsid w:val="00055A0A"/>
    <w:rsid w:val="00057179"/>
    <w:rsid w:val="000574B0"/>
    <w:rsid w:val="00057E44"/>
    <w:rsid w:val="00060182"/>
    <w:rsid w:val="00060AC5"/>
    <w:rsid w:val="00060D99"/>
    <w:rsid w:val="000610B9"/>
    <w:rsid w:val="000623B8"/>
    <w:rsid w:val="00062A74"/>
    <w:rsid w:val="00063604"/>
    <w:rsid w:val="000653AC"/>
    <w:rsid w:val="00065454"/>
    <w:rsid w:val="00065E83"/>
    <w:rsid w:val="00066521"/>
    <w:rsid w:val="00067117"/>
    <w:rsid w:val="00067167"/>
    <w:rsid w:val="00067E9A"/>
    <w:rsid w:val="0007180E"/>
    <w:rsid w:val="00072059"/>
    <w:rsid w:val="000720F7"/>
    <w:rsid w:val="000721E2"/>
    <w:rsid w:val="00072238"/>
    <w:rsid w:val="000722D4"/>
    <w:rsid w:val="00073425"/>
    <w:rsid w:val="00073BED"/>
    <w:rsid w:val="00074417"/>
    <w:rsid w:val="000761B7"/>
    <w:rsid w:val="000761C2"/>
    <w:rsid w:val="00077001"/>
    <w:rsid w:val="000776F9"/>
    <w:rsid w:val="0008001A"/>
    <w:rsid w:val="0008011D"/>
    <w:rsid w:val="0008014F"/>
    <w:rsid w:val="000808F3"/>
    <w:rsid w:val="00085087"/>
    <w:rsid w:val="000854A6"/>
    <w:rsid w:val="0008589B"/>
    <w:rsid w:val="00086537"/>
    <w:rsid w:val="00087107"/>
    <w:rsid w:val="00090388"/>
    <w:rsid w:val="0009040B"/>
    <w:rsid w:val="000908CC"/>
    <w:rsid w:val="00090B99"/>
    <w:rsid w:val="00090F8C"/>
    <w:rsid w:val="00091567"/>
    <w:rsid w:val="00091A63"/>
    <w:rsid w:val="0009359A"/>
    <w:rsid w:val="000952BC"/>
    <w:rsid w:val="0009533C"/>
    <w:rsid w:val="00096769"/>
    <w:rsid w:val="00096912"/>
    <w:rsid w:val="00096E73"/>
    <w:rsid w:val="00097197"/>
    <w:rsid w:val="000971CC"/>
    <w:rsid w:val="00097261"/>
    <w:rsid w:val="000A0030"/>
    <w:rsid w:val="000A128B"/>
    <w:rsid w:val="000A28CA"/>
    <w:rsid w:val="000A3A77"/>
    <w:rsid w:val="000A3EA3"/>
    <w:rsid w:val="000A4B6F"/>
    <w:rsid w:val="000A5BF6"/>
    <w:rsid w:val="000A6247"/>
    <w:rsid w:val="000A6288"/>
    <w:rsid w:val="000A649C"/>
    <w:rsid w:val="000A6A7B"/>
    <w:rsid w:val="000B13EC"/>
    <w:rsid w:val="000B16E6"/>
    <w:rsid w:val="000B1703"/>
    <w:rsid w:val="000B2AD2"/>
    <w:rsid w:val="000B326F"/>
    <w:rsid w:val="000B4373"/>
    <w:rsid w:val="000B5D63"/>
    <w:rsid w:val="000B603E"/>
    <w:rsid w:val="000B7051"/>
    <w:rsid w:val="000B7CA1"/>
    <w:rsid w:val="000B7E7D"/>
    <w:rsid w:val="000C020F"/>
    <w:rsid w:val="000C147C"/>
    <w:rsid w:val="000C1F63"/>
    <w:rsid w:val="000C20F4"/>
    <w:rsid w:val="000C36D0"/>
    <w:rsid w:val="000C47EF"/>
    <w:rsid w:val="000C564A"/>
    <w:rsid w:val="000C580A"/>
    <w:rsid w:val="000C6881"/>
    <w:rsid w:val="000C7C2F"/>
    <w:rsid w:val="000D05D9"/>
    <w:rsid w:val="000D07C9"/>
    <w:rsid w:val="000D0D91"/>
    <w:rsid w:val="000D12DE"/>
    <w:rsid w:val="000D1480"/>
    <w:rsid w:val="000D25AD"/>
    <w:rsid w:val="000D525D"/>
    <w:rsid w:val="000D7181"/>
    <w:rsid w:val="000E07A7"/>
    <w:rsid w:val="000E0BB7"/>
    <w:rsid w:val="000E12B5"/>
    <w:rsid w:val="000E1F09"/>
    <w:rsid w:val="000E2282"/>
    <w:rsid w:val="000E296B"/>
    <w:rsid w:val="000E393A"/>
    <w:rsid w:val="000E3CEE"/>
    <w:rsid w:val="000E40FA"/>
    <w:rsid w:val="000E4608"/>
    <w:rsid w:val="000E54DC"/>
    <w:rsid w:val="000E5545"/>
    <w:rsid w:val="000E5820"/>
    <w:rsid w:val="000E6AB0"/>
    <w:rsid w:val="000E7158"/>
    <w:rsid w:val="000E721A"/>
    <w:rsid w:val="000E74E4"/>
    <w:rsid w:val="000E75F5"/>
    <w:rsid w:val="000E7B96"/>
    <w:rsid w:val="000F029B"/>
    <w:rsid w:val="000F08F3"/>
    <w:rsid w:val="000F10EF"/>
    <w:rsid w:val="000F1388"/>
    <w:rsid w:val="000F1412"/>
    <w:rsid w:val="000F165B"/>
    <w:rsid w:val="000F1694"/>
    <w:rsid w:val="000F195D"/>
    <w:rsid w:val="000F2DB7"/>
    <w:rsid w:val="000F5B34"/>
    <w:rsid w:val="000F5E47"/>
    <w:rsid w:val="000F6577"/>
    <w:rsid w:val="000F6ED1"/>
    <w:rsid w:val="000F74F3"/>
    <w:rsid w:val="000F798D"/>
    <w:rsid w:val="00100939"/>
    <w:rsid w:val="00100AF7"/>
    <w:rsid w:val="00100F27"/>
    <w:rsid w:val="0010226F"/>
    <w:rsid w:val="001025AE"/>
    <w:rsid w:val="00102992"/>
    <w:rsid w:val="00102EE4"/>
    <w:rsid w:val="00103300"/>
    <w:rsid w:val="00103D64"/>
    <w:rsid w:val="001048F2"/>
    <w:rsid w:val="00104DC5"/>
    <w:rsid w:val="001062A1"/>
    <w:rsid w:val="00106472"/>
    <w:rsid w:val="00107201"/>
    <w:rsid w:val="00107512"/>
    <w:rsid w:val="00107771"/>
    <w:rsid w:val="0011098F"/>
    <w:rsid w:val="00110BD2"/>
    <w:rsid w:val="00111254"/>
    <w:rsid w:val="00111580"/>
    <w:rsid w:val="00111A56"/>
    <w:rsid w:val="00112997"/>
    <w:rsid w:val="00113059"/>
    <w:rsid w:val="00113E7C"/>
    <w:rsid w:val="001141C2"/>
    <w:rsid w:val="0011450F"/>
    <w:rsid w:val="00114AC8"/>
    <w:rsid w:val="00114CF2"/>
    <w:rsid w:val="00116CB0"/>
    <w:rsid w:val="001172A8"/>
    <w:rsid w:val="001173B3"/>
    <w:rsid w:val="00120A98"/>
    <w:rsid w:val="0012251F"/>
    <w:rsid w:val="001226E3"/>
    <w:rsid w:val="00122DB1"/>
    <w:rsid w:val="001230DF"/>
    <w:rsid w:val="0012328C"/>
    <w:rsid w:val="001234CE"/>
    <w:rsid w:val="00123976"/>
    <w:rsid w:val="00123F5D"/>
    <w:rsid w:val="0012411B"/>
    <w:rsid w:val="00125281"/>
    <w:rsid w:val="00125572"/>
    <w:rsid w:val="00126FA2"/>
    <w:rsid w:val="00130422"/>
    <w:rsid w:val="00130813"/>
    <w:rsid w:val="00130DFB"/>
    <w:rsid w:val="00131C60"/>
    <w:rsid w:val="00131EBE"/>
    <w:rsid w:val="00133C7C"/>
    <w:rsid w:val="0013478A"/>
    <w:rsid w:val="0013505B"/>
    <w:rsid w:val="00135AD0"/>
    <w:rsid w:val="00136441"/>
    <w:rsid w:val="001369F1"/>
    <w:rsid w:val="00136BC9"/>
    <w:rsid w:val="00137CF4"/>
    <w:rsid w:val="00140561"/>
    <w:rsid w:val="001411B9"/>
    <w:rsid w:val="00142071"/>
    <w:rsid w:val="001421EA"/>
    <w:rsid w:val="0014221D"/>
    <w:rsid w:val="00142358"/>
    <w:rsid w:val="001429DB"/>
    <w:rsid w:val="00143D23"/>
    <w:rsid w:val="00144826"/>
    <w:rsid w:val="00144F01"/>
    <w:rsid w:val="001455A3"/>
    <w:rsid w:val="00146C80"/>
    <w:rsid w:val="0015041C"/>
    <w:rsid w:val="001508ED"/>
    <w:rsid w:val="00151F96"/>
    <w:rsid w:val="00152131"/>
    <w:rsid w:val="001522AD"/>
    <w:rsid w:val="00153092"/>
    <w:rsid w:val="001530DE"/>
    <w:rsid w:val="00154047"/>
    <w:rsid w:val="00155D49"/>
    <w:rsid w:val="001564EF"/>
    <w:rsid w:val="00157132"/>
    <w:rsid w:val="00157165"/>
    <w:rsid w:val="00157757"/>
    <w:rsid w:val="00157BFE"/>
    <w:rsid w:val="00160105"/>
    <w:rsid w:val="00160A09"/>
    <w:rsid w:val="00160A2A"/>
    <w:rsid w:val="00161179"/>
    <w:rsid w:val="00162050"/>
    <w:rsid w:val="0016209B"/>
    <w:rsid w:val="00162E53"/>
    <w:rsid w:val="00163B21"/>
    <w:rsid w:val="0016427C"/>
    <w:rsid w:val="001654F9"/>
    <w:rsid w:val="00166927"/>
    <w:rsid w:val="00166BF7"/>
    <w:rsid w:val="00167E58"/>
    <w:rsid w:val="0017280A"/>
    <w:rsid w:val="00173437"/>
    <w:rsid w:val="0017439A"/>
    <w:rsid w:val="00175367"/>
    <w:rsid w:val="001756C0"/>
    <w:rsid w:val="00176DD5"/>
    <w:rsid w:val="001800F1"/>
    <w:rsid w:val="00180168"/>
    <w:rsid w:val="001802A0"/>
    <w:rsid w:val="001805F9"/>
    <w:rsid w:val="0018071F"/>
    <w:rsid w:val="001818A8"/>
    <w:rsid w:val="00182010"/>
    <w:rsid w:val="00182618"/>
    <w:rsid w:val="00183FAD"/>
    <w:rsid w:val="001844AB"/>
    <w:rsid w:val="00184C99"/>
    <w:rsid w:val="00185075"/>
    <w:rsid w:val="00185435"/>
    <w:rsid w:val="00185BD1"/>
    <w:rsid w:val="00186551"/>
    <w:rsid w:val="0018657F"/>
    <w:rsid w:val="001926DC"/>
    <w:rsid w:val="00192B0A"/>
    <w:rsid w:val="00192BFE"/>
    <w:rsid w:val="001931C1"/>
    <w:rsid w:val="0019531B"/>
    <w:rsid w:val="00195CF6"/>
    <w:rsid w:val="00196BDD"/>
    <w:rsid w:val="0019713F"/>
    <w:rsid w:val="001973D2"/>
    <w:rsid w:val="00197440"/>
    <w:rsid w:val="001A0136"/>
    <w:rsid w:val="001A0B8F"/>
    <w:rsid w:val="001A1057"/>
    <w:rsid w:val="001A151F"/>
    <w:rsid w:val="001A234B"/>
    <w:rsid w:val="001A32D3"/>
    <w:rsid w:val="001A397A"/>
    <w:rsid w:val="001A3A94"/>
    <w:rsid w:val="001A3EC5"/>
    <w:rsid w:val="001A3EF0"/>
    <w:rsid w:val="001A4D38"/>
    <w:rsid w:val="001A5C7A"/>
    <w:rsid w:val="001A5E17"/>
    <w:rsid w:val="001A60E3"/>
    <w:rsid w:val="001A6198"/>
    <w:rsid w:val="001A67EB"/>
    <w:rsid w:val="001A6854"/>
    <w:rsid w:val="001A78CE"/>
    <w:rsid w:val="001A78F7"/>
    <w:rsid w:val="001A794A"/>
    <w:rsid w:val="001B0509"/>
    <w:rsid w:val="001B0A96"/>
    <w:rsid w:val="001B1BC1"/>
    <w:rsid w:val="001B1F8B"/>
    <w:rsid w:val="001B2080"/>
    <w:rsid w:val="001B2422"/>
    <w:rsid w:val="001B2A5D"/>
    <w:rsid w:val="001B3520"/>
    <w:rsid w:val="001B3611"/>
    <w:rsid w:val="001B3657"/>
    <w:rsid w:val="001B45EE"/>
    <w:rsid w:val="001B4FAA"/>
    <w:rsid w:val="001B63D5"/>
    <w:rsid w:val="001B6657"/>
    <w:rsid w:val="001B6AAA"/>
    <w:rsid w:val="001B792A"/>
    <w:rsid w:val="001C0669"/>
    <w:rsid w:val="001C07CA"/>
    <w:rsid w:val="001C2CAD"/>
    <w:rsid w:val="001C2FF0"/>
    <w:rsid w:val="001C42BB"/>
    <w:rsid w:val="001C5BAD"/>
    <w:rsid w:val="001C6892"/>
    <w:rsid w:val="001C6D20"/>
    <w:rsid w:val="001C7979"/>
    <w:rsid w:val="001C7BEF"/>
    <w:rsid w:val="001D037F"/>
    <w:rsid w:val="001D0EFF"/>
    <w:rsid w:val="001D1DBA"/>
    <w:rsid w:val="001D1F91"/>
    <w:rsid w:val="001D23A0"/>
    <w:rsid w:val="001D363A"/>
    <w:rsid w:val="001D39FA"/>
    <w:rsid w:val="001D4153"/>
    <w:rsid w:val="001D418B"/>
    <w:rsid w:val="001D4E77"/>
    <w:rsid w:val="001D51B8"/>
    <w:rsid w:val="001D5350"/>
    <w:rsid w:val="001D61FB"/>
    <w:rsid w:val="001D77F3"/>
    <w:rsid w:val="001D7D1D"/>
    <w:rsid w:val="001E0ABC"/>
    <w:rsid w:val="001E1948"/>
    <w:rsid w:val="001E1C7B"/>
    <w:rsid w:val="001E2045"/>
    <w:rsid w:val="001E22E7"/>
    <w:rsid w:val="001E24DE"/>
    <w:rsid w:val="001E2CCE"/>
    <w:rsid w:val="001E2D73"/>
    <w:rsid w:val="001E3286"/>
    <w:rsid w:val="001E3584"/>
    <w:rsid w:val="001E3753"/>
    <w:rsid w:val="001E3F17"/>
    <w:rsid w:val="001E40A5"/>
    <w:rsid w:val="001E46E8"/>
    <w:rsid w:val="001E4ED3"/>
    <w:rsid w:val="001E5741"/>
    <w:rsid w:val="001E6248"/>
    <w:rsid w:val="001E6834"/>
    <w:rsid w:val="001E6C2F"/>
    <w:rsid w:val="001F0DAD"/>
    <w:rsid w:val="001F108D"/>
    <w:rsid w:val="001F1378"/>
    <w:rsid w:val="001F159A"/>
    <w:rsid w:val="001F17EC"/>
    <w:rsid w:val="001F2675"/>
    <w:rsid w:val="001F322E"/>
    <w:rsid w:val="001F32A8"/>
    <w:rsid w:val="001F3602"/>
    <w:rsid w:val="001F4F13"/>
    <w:rsid w:val="001F522A"/>
    <w:rsid w:val="001F5464"/>
    <w:rsid w:val="001F558C"/>
    <w:rsid w:val="001F5632"/>
    <w:rsid w:val="001F7002"/>
    <w:rsid w:val="001F7BF2"/>
    <w:rsid w:val="0020046E"/>
    <w:rsid w:val="00200965"/>
    <w:rsid w:val="00200E75"/>
    <w:rsid w:val="00201A09"/>
    <w:rsid w:val="00201AC6"/>
    <w:rsid w:val="00201AD8"/>
    <w:rsid w:val="002023A6"/>
    <w:rsid w:val="002033A1"/>
    <w:rsid w:val="0020441A"/>
    <w:rsid w:val="00204A85"/>
    <w:rsid w:val="00204E12"/>
    <w:rsid w:val="002102DC"/>
    <w:rsid w:val="002106BB"/>
    <w:rsid w:val="002108A3"/>
    <w:rsid w:val="00210C29"/>
    <w:rsid w:val="00211EB3"/>
    <w:rsid w:val="00212D5B"/>
    <w:rsid w:val="00213494"/>
    <w:rsid w:val="00214BC1"/>
    <w:rsid w:val="00215411"/>
    <w:rsid w:val="002154EA"/>
    <w:rsid w:val="00215754"/>
    <w:rsid w:val="0021583F"/>
    <w:rsid w:val="002162A5"/>
    <w:rsid w:val="002162FA"/>
    <w:rsid w:val="002163B4"/>
    <w:rsid w:val="00216952"/>
    <w:rsid w:val="00220053"/>
    <w:rsid w:val="002205F9"/>
    <w:rsid w:val="002211C3"/>
    <w:rsid w:val="00221FA0"/>
    <w:rsid w:val="00222028"/>
    <w:rsid w:val="002230C2"/>
    <w:rsid w:val="00223A5B"/>
    <w:rsid w:val="002247B2"/>
    <w:rsid w:val="00224E16"/>
    <w:rsid w:val="00225EE4"/>
    <w:rsid w:val="00226ACA"/>
    <w:rsid w:val="002276CB"/>
    <w:rsid w:val="002310F7"/>
    <w:rsid w:val="00231147"/>
    <w:rsid w:val="0023184B"/>
    <w:rsid w:val="00231AA4"/>
    <w:rsid w:val="00231BF5"/>
    <w:rsid w:val="002324CA"/>
    <w:rsid w:val="00232893"/>
    <w:rsid w:val="00233AE9"/>
    <w:rsid w:val="00233EE4"/>
    <w:rsid w:val="00234006"/>
    <w:rsid w:val="00234768"/>
    <w:rsid w:val="002352F0"/>
    <w:rsid w:val="002363D9"/>
    <w:rsid w:val="00240875"/>
    <w:rsid w:val="00241BB5"/>
    <w:rsid w:val="0024256B"/>
    <w:rsid w:val="00242F7D"/>
    <w:rsid w:val="0024302F"/>
    <w:rsid w:val="00243342"/>
    <w:rsid w:val="00243E7F"/>
    <w:rsid w:val="002446AA"/>
    <w:rsid w:val="00244D9D"/>
    <w:rsid w:val="00245028"/>
    <w:rsid w:val="00245152"/>
    <w:rsid w:val="0024528A"/>
    <w:rsid w:val="00245331"/>
    <w:rsid w:val="00245503"/>
    <w:rsid w:val="002455EA"/>
    <w:rsid w:val="00245853"/>
    <w:rsid w:val="00245BC5"/>
    <w:rsid w:val="002463FA"/>
    <w:rsid w:val="0024683F"/>
    <w:rsid w:val="002510E2"/>
    <w:rsid w:val="00251283"/>
    <w:rsid w:val="00251B88"/>
    <w:rsid w:val="00252D00"/>
    <w:rsid w:val="002552A6"/>
    <w:rsid w:val="002554B9"/>
    <w:rsid w:val="00255A0C"/>
    <w:rsid w:val="002565C8"/>
    <w:rsid w:val="0025661C"/>
    <w:rsid w:val="00256703"/>
    <w:rsid w:val="00257CE8"/>
    <w:rsid w:val="00260A40"/>
    <w:rsid w:val="00261019"/>
    <w:rsid w:val="0026128F"/>
    <w:rsid w:val="0026191E"/>
    <w:rsid w:val="00261DAF"/>
    <w:rsid w:val="00262430"/>
    <w:rsid w:val="00262CC2"/>
    <w:rsid w:val="00265812"/>
    <w:rsid w:val="00266586"/>
    <w:rsid w:val="00266D22"/>
    <w:rsid w:val="002670D6"/>
    <w:rsid w:val="00267903"/>
    <w:rsid w:val="002704D5"/>
    <w:rsid w:val="00270B2C"/>
    <w:rsid w:val="00270CC6"/>
    <w:rsid w:val="00270E4A"/>
    <w:rsid w:val="00271A43"/>
    <w:rsid w:val="00271CC5"/>
    <w:rsid w:val="00272DFB"/>
    <w:rsid w:val="00273040"/>
    <w:rsid w:val="002732CA"/>
    <w:rsid w:val="00273A1A"/>
    <w:rsid w:val="00275E16"/>
    <w:rsid w:val="00277161"/>
    <w:rsid w:val="00277F81"/>
    <w:rsid w:val="00280642"/>
    <w:rsid w:val="00281D4B"/>
    <w:rsid w:val="00282538"/>
    <w:rsid w:val="00283311"/>
    <w:rsid w:val="0028463D"/>
    <w:rsid w:val="00284CEB"/>
    <w:rsid w:val="002858D4"/>
    <w:rsid w:val="00285A15"/>
    <w:rsid w:val="00286470"/>
    <w:rsid w:val="002867E2"/>
    <w:rsid w:val="00287131"/>
    <w:rsid w:val="00287171"/>
    <w:rsid w:val="00287464"/>
    <w:rsid w:val="00287BCC"/>
    <w:rsid w:val="002906BB"/>
    <w:rsid w:val="00291020"/>
    <w:rsid w:val="002915BF"/>
    <w:rsid w:val="002916E0"/>
    <w:rsid w:val="00291A98"/>
    <w:rsid w:val="0029281B"/>
    <w:rsid w:val="00292FEE"/>
    <w:rsid w:val="0029355E"/>
    <w:rsid w:val="002937C8"/>
    <w:rsid w:val="00293FBC"/>
    <w:rsid w:val="00294716"/>
    <w:rsid w:val="00296133"/>
    <w:rsid w:val="00296AB4"/>
    <w:rsid w:val="00296AEE"/>
    <w:rsid w:val="00297533"/>
    <w:rsid w:val="002A1218"/>
    <w:rsid w:val="002A18A6"/>
    <w:rsid w:val="002A2087"/>
    <w:rsid w:val="002A20DB"/>
    <w:rsid w:val="002A2ABB"/>
    <w:rsid w:val="002A47AD"/>
    <w:rsid w:val="002A4BEB"/>
    <w:rsid w:val="002A4C77"/>
    <w:rsid w:val="002A4E56"/>
    <w:rsid w:val="002A4F1A"/>
    <w:rsid w:val="002A558C"/>
    <w:rsid w:val="002A587B"/>
    <w:rsid w:val="002A607D"/>
    <w:rsid w:val="002A609D"/>
    <w:rsid w:val="002A678E"/>
    <w:rsid w:val="002A768B"/>
    <w:rsid w:val="002A793A"/>
    <w:rsid w:val="002B039E"/>
    <w:rsid w:val="002B0F96"/>
    <w:rsid w:val="002B26FC"/>
    <w:rsid w:val="002B3C93"/>
    <w:rsid w:val="002B44C6"/>
    <w:rsid w:val="002B4A27"/>
    <w:rsid w:val="002B504D"/>
    <w:rsid w:val="002B5542"/>
    <w:rsid w:val="002B588B"/>
    <w:rsid w:val="002B5FC2"/>
    <w:rsid w:val="002B6077"/>
    <w:rsid w:val="002B6755"/>
    <w:rsid w:val="002B678F"/>
    <w:rsid w:val="002B6AD2"/>
    <w:rsid w:val="002B6DFD"/>
    <w:rsid w:val="002B6FDF"/>
    <w:rsid w:val="002B724B"/>
    <w:rsid w:val="002C1202"/>
    <w:rsid w:val="002C149A"/>
    <w:rsid w:val="002C15AD"/>
    <w:rsid w:val="002C22FE"/>
    <w:rsid w:val="002C2AA2"/>
    <w:rsid w:val="002C3A26"/>
    <w:rsid w:val="002C3C50"/>
    <w:rsid w:val="002C3F5C"/>
    <w:rsid w:val="002C4B48"/>
    <w:rsid w:val="002C61E5"/>
    <w:rsid w:val="002C6A88"/>
    <w:rsid w:val="002C7486"/>
    <w:rsid w:val="002C7727"/>
    <w:rsid w:val="002C7AED"/>
    <w:rsid w:val="002C7F8C"/>
    <w:rsid w:val="002D0790"/>
    <w:rsid w:val="002D0F85"/>
    <w:rsid w:val="002D15FF"/>
    <w:rsid w:val="002D32E8"/>
    <w:rsid w:val="002D4635"/>
    <w:rsid w:val="002D46ED"/>
    <w:rsid w:val="002D4AFF"/>
    <w:rsid w:val="002D5083"/>
    <w:rsid w:val="002D5993"/>
    <w:rsid w:val="002D5A4B"/>
    <w:rsid w:val="002D5E56"/>
    <w:rsid w:val="002D75AF"/>
    <w:rsid w:val="002D7989"/>
    <w:rsid w:val="002D7D9F"/>
    <w:rsid w:val="002E0331"/>
    <w:rsid w:val="002E05E0"/>
    <w:rsid w:val="002E1E31"/>
    <w:rsid w:val="002E31F8"/>
    <w:rsid w:val="002E348E"/>
    <w:rsid w:val="002E354F"/>
    <w:rsid w:val="002E3732"/>
    <w:rsid w:val="002E4D98"/>
    <w:rsid w:val="002E526C"/>
    <w:rsid w:val="002E5DEF"/>
    <w:rsid w:val="002E61F3"/>
    <w:rsid w:val="002E69D9"/>
    <w:rsid w:val="002E78E1"/>
    <w:rsid w:val="002F0553"/>
    <w:rsid w:val="002F0BA8"/>
    <w:rsid w:val="002F0C87"/>
    <w:rsid w:val="002F0E2F"/>
    <w:rsid w:val="002F27C1"/>
    <w:rsid w:val="002F2BF8"/>
    <w:rsid w:val="002F3731"/>
    <w:rsid w:val="002F4AD8"/>
    <w:rsid w:val="002F59E3"/>
    <w:rsid w:val="002F60EC"/>
    <w:rsid w:val="002F65E8"/>
    <w:rsid w:val="002F7353"/>
    <w:rsid w:val="00300E01"/>
    <w:rsid w:val="0030231B"/>
    <w:rsid w:val="00303604"/>
    <w:rsid w:val="003045D3"/>
    <w:rsid w:val="00304682"/>
    <w:rsid w:val="00304B33"/>
    <w:rsid w:val="00304F82"/>
    <w:rsid w:val="003055AF"/>
    <w:rsid w:val="00305E26"/>
    <w:rsid w:val="00306EA8"/>
    <w:rsid w:val="003074B0"/>
    <w:rsid w:val="00307582"/>
    <w:rsid w:val="00307C65"/>
    <w:rsid w:val="0031228A"/>
    <w:rsid w:val="0031249C"/>
    <w:rsid w:val="00312AC2"/>
    <w:rsid w:val="003142B9"/>
    <w:rsid w:val="0031572A"/>
    <w:rsid w:val="003162E0"/>
    <w:rsid w:val="0031667D"/>
    <w:rsid w:val="00316786"/>
    <w:rsid w:val="00316CEE"/>
    <w:rsid w:val="00316E1E"/>
    <w:rsid w:val="00317085"/>
    <w:rsid w:val="00317960"/>
    <w:rsid w:val="00320026"/>
    <w:rsid w:val="00320A93"/>
    <w:rsid w:val="00320FEA"/>
    <w:rsid w:val="00321677"/>
    <w:rsid w:val="0032225C"/>
    <w:rsid w:val="003238CC"/>
    <w:rsid w:val="00324086"/>
    <w:rsid w:val="00324F23"/>
    <w:rsid w:val="00325210"/>
    <w:rsid w:val="00325AA7"/>
    <w:rsid w:val="00325CC0"/>
    <w:rsid w:val="0032665B"/>
    <w:rsid w:val="003277B6"/>
    <w:rsid w:val="00330239"/>
    <w:rsid w:val="003302FC"/>
    <w:rsid w:val="00330F3C"/>
    <w:rsid w:val="0033130C"/>
    <w:rsid w:val="003317D2"/>
    <w:rsid w:val="0033198C"/>
    <w:rsid w:val="003336BF"/>
    <w:rsid w:val="00334074"/>
    <w:rsid w:val="003346FE"/>
    <w:rsid w:val="00334A38"/>
    <w:rsid w:val="003350C0"/>
    <w:rsid w:val="003351D7"/>
    <w:rsid w:val="00335B4B"/>
    <w:rsid w:val="00336BBA"/>
    <w:rsid w:val="00337087"/>
    <w:rsid w:val="00340B13"/>
    <w:rsid w:val="00341121"/>
    <w:rsid w:val="00341526"/>
    <w:rsid w:val="00342054"/>
    <w:rsid w:val="00342589"/>
    <w:rsid w:val="00342C57"/>
    <w:rsid w:val="0034349D"/>
    <w:rsid w:val="0034558C"/>
    <w:rsid w:val="00345680"/>
    <w:rsid w:val="00345BE4"/>
    <w:rsid w:val="00345EFE"/>
    <w:rsid w:val="003469CC"/>
    <w:rsid w:val="003473D4"/>
    <w:rsid w:val="00350BAD"/>
    <w:rsid w:val="00350E3B"/>
    <w:rsid w:val="00351072"/>
    <w:rsid w:val="0035181A"/>
    <w:rsid w:val="00351AEA"/>
    <w:rsid w:val="00353729"/>
    <w:rsid w:val="00353AA6"/>
    <w:rsid w:val="00355D6D"/>
    <w:rsid w:val="00355DA0"/>
    <w:rsid w:val="00356562"/>
    <w:rsid w:val="003565D5"/>
    <w:rsid w:val="00360C4B"/>
    <w:rsid w:val="00360F7E"/>
    <w:rsid w:val="0036142C"/>
    <w:rsid w:val="00361825"/>
    <w:rsid w:val="00362073"/>
    <w:rsid w:val="00362151"/>
    <w:rsid w:val="0036246B"/>
    <w:rsid w:val="0036258C"/>
    <w:rsid w:val="003642C3"/>
    <w:rsid w:val="003643A7"/>
    <w:rsid w:val="003643AB"/>
    <w:rsid w:val="00364C03"/>
    <w:rsid w:val="003650CB"/>
    <w:rsid w:val="003658C6"/>
    <w:rsid w:val="00365C9B"/>
    <w:rsid w:val="00366DF7"/>
    <w:rsid w:val="003671DA"/>
    <w:rsid w:val="00367BF8"/>
    <w:rsid w:val="00367C67"/>
    <w:rsid w:val="00370628"/>
    <w:rsid w:val="003712DD"/>
    <w:rsid w:val="003720CD"/>
    <w:rsid w:val="003746BD"/>
    <w:rsid w:val="00375017"/>
    <w:rsid w:val="003751A4"/>
    <w:rsid w:val="003756A4"/>
    <w:rsid w:val="0037635A"/>
    <w:rsid w:val="0037636E"/>
    <w:rsid w:val="00380471"/>
    <w:rsid w:val="003804EC"/>
    <w:rsid w:val="00382441"/>
    <w:rsid w:val="00382C69"/>
    <w:rsid w:val="00383A8E"/>
    <w:rsid w:val="00383DEA"/>
    <w:rsid w:val="003849A1"/>
    <w:rsid w:val="00384DD1"/>
    <w:rsid w:val="00384F0C"/>
    <w:rsid w:val="00385DDC"/>
    <w:rsid w:val="00386F7B"/>
    <w:rsid w:val="003879BD"/>
    <w:rsid w:val="00390C34"/>
    <w:rsid w:val="00390F77"/>
    <w:rsid w:val="00391D27"/>
    <w:rsid w:val="00392404"/>
    <w:rsid w:val="003926AF"/>
    <w:rsid w:val="0039301B"/>
    <w:rsid w:val="003932A8"/>
    <w:rsid w:val="003932E7"/>
    <w:rsid w:val="00393D4F"/>
    <w:rsid w:val="00393F1B"/>
    <w:rsid w:val="00394360"/>
    <w:rsid w:val="003962EC"/>
    <w:rsid w:val="003966E5"/>
    <w:rsid w:val="0039673E"/>
    <w:rsid w:val="00396DD8"/>
    <w:rsid w:val="003978C2"/>
    <w:rsid w:val="00397DA9"/>
    <w:rsid w:val="003A001E"/>
    <w:rsid w:val="003A004D"/>
    <w:rsid w:val="003A05F9"/>
    <w:rsid w:val="003A08C5"/>
    <w:rsid w:val="003A0AA2"/>
    <w:rsid w:val="003A0AEB"/>
    <w:rsid w:val="003A1451"/>
    <w:rsid w:val="003A253F"/>
    <w:rsid w:val="003A40FD"/>
    <w:rsid w:val="003A4741"/>
    <w:rsid w:val="003A49C6"/>
    <w:rsid w:val="003A4C23"/>
    <w:rsid w:val="003A60A6"/>
    <w:rsid w:val="003A62AA"/>
    <w:rsid w:val="003A729B"/>
    <w:rsid w:val="003A7985"/>
    <w:rsid w:val="003A7E36"/>
    <w:rsid w:val="003B0491"/>
    <w:rsid w:val="003B0499"/>
    <w:rsid w:val="003B1086"/>
    <w:rsid w:val="003B1C31"/>
    <w:rsid w:val="003B21AD"/>
    <w:rsid w:val="003B2C86"/>
    <w:rsid w:val="003B568E"/>
    <w:rsid w:val="003B58D5"/>
    <w:rsid w:val="003B5BE9"/>
    <w:rsid w:val="003B5C17"/>
    <w:rsid w:val="003B645A"/>
    <w:rsid w:val="003B6472"/>
    <w:rsid w:val="003C0C35"/>
    <w:rsid w:val="003C1241"/>
    <w:rsid w:val="003C17CC"/>
    <w:rsid w:val="003C1AD3"/>
    <w:rsid w:val="003C1F67"/>
    <w:rsid w:val="003C225A"/>
    <w:rsid w:val="003C259A"/>
    <w:rsid w:val="003C3319"/>
    <w:rsid w:val="003C3976"/>
    <w:rsid w:val="003C3A7B"/>
    <w:rsid w:val="003C3B04"/>
    <w:rsid w:val="003C4198"/>
    <w:rsid w:val="003C4FDF"/>
    <w:rsid w:val="003C56A4"/>
    <w:rsid w:val="003C5899"/>
    <w:rsid w:val="003C682D"/>
    <w:rsid w:val="003C7CBD"/>
    <w:rsid w:val="003D1D3E"/>
    <w:rsid w:val="003D1E46"/>
    <w:rsid w:val="003D201A"/>
    <w:rsid w:val="003D2105"/>
    <w:rsid w:val="003D3288"/>
    <w:rsid w:val="003D38D6"/>
    <w:rsid w:val="003D3C89"/>
    <w:rsid w:val="003D5880"/>
    <w:rsid w:val="003D5BA1"/>
    <w:rsid w:val="003D5E07"/>
    <w:rsid w:val="003D64EC"/>
    <w:rsid w:val="003D666B"/>
    <w:rsid w:val="003E1C69"/>
    <w:rsid w:val="003E31D7"/>
    <w:rsid w:val="003E324D"/>
    <w:rsid w:val="003E4E74"/>
    <w:rsid w:val="003E5486"/>
    <w:rsid w:val="003E6D09"/>
    <w:rsid w:val="003F12A2"/>
    <w:rsid w:val="003F1312"/>
    <w:rsid w:val="003F1B9A"/>
    <w:rsid w:val="003F1E69"/>
    <w:rsid w:val="003F2267"/>
    <w:rsid w:val="003F2D3E"/>
    <w:rsid w:val="003F3BA0"/>
    <w:rsid w:val="003F3C43"/>
    <w:rsid w:val="003F46A5"/>
    <w:rsid w:val="003F488C"/>
    <w:rsid w:val="003F49AA"/>
    <w:rsid w:val="003F519B"/>
    <w:rsid w:val="003F5E46"/>
    <w:rsid w:val="003F6E47"/>
    <w:rsid w:val="003F7AC3"/>
    <w:rsid w:val="003F7C06"/>
    <w:rsid w:val="004005C2"/>
    <w:rsid w:val="00400715"/>
    <w:rsid w:val="00400E57"/>
    <w:rsid w:val="00401CAC"/>
    <w:rsid w:val="00402196"/>
    <w:rsid w:val="00402B62"/>
    <w:rsid w:val="004033EF"/>
    <w:rsid w:val="00403837"/>
    <w:rsid w:val="004038C9"/>
    <w:rsid w:val="00403AA6"/>
    <w:rsid w:val="00403EC9"/>
    <w:rsid w:val="004064A9"/>
    <w:rsid w:val="004069AD"/>
    <w:rsid w:val="00406B7D"/>
    <w:rsid w:val="00410095"/>
    <w:rsid w:val="00410E04"/>
    <w:rsid w:val="00411400"/>
    <w:rsid w:val="004117B3"/>
    <w:rsid w:val="004120D7"/>
    <w:rsid w:val="00413FFB"/>
    <w:rsid w:val="004145E1"/>
    <w:rsid w:val="00414752"/>
    <w:rsid w:val="00414917"/>
    <w:rsid w:val="0041611E"/>
    <w:rsid w:val="0041684E"/>
    <w:rsid w:val="00417146"/>
    <w:rsid w:val="00417DEA"/>
    <w:rsid w:val="004205C4"/>
    <w:rsid w:val="00420675"/>
    <w:rsid w:val="00421771"/>
    <w:rsid w:val="00421A30"/>
    <w:rsid w:val="00421F6F"/>
    <w:rsid w:val="00422494"/>
    <w:rsid w:val="004224C9"/>
    <w:rsid w:val="00423D4B"/>
    <w:rsid w:val="00423F41"/>
    <w:rsid w:val="00424607"/>
    <w:rsid w:val="00424631"/>
    <w:rsid w:val="004249CA"/>
    <w:rsid w:val="0042553A"/>
    <w:rsid w:val="004262BB"/>
    <w:rsid w:val="004263B7"/>
    <w:rsid w:val="00427425"/>
    <w:rsid w:val="004279EF"/>
    <w:rsid w:val="00427BD4"/>
    <w:rsid w:val="00427E49"/>
    <w:rsid w:val="00430DEA"/>
    <w:rsid w:val="00431EF1"/>
    <w:rsid w:val="00433E61"/>
    <w:rsid w:val="00434388"/>
    <w:rsid w:val="0043589F"/>
    <w:rsid w:val="0043638D"/>
    <w:rsid w:val="00436466"/>
    <w:rsid w:val="004370E9"/>
    <w:rsid w:val="0043771C"/>
    <w:rsid w:val="00437970"/>
    <w:rsid w:val="00440484"/>
    <w:rsid w:val="00440A6F"/>
    <w:rsid w:val="00440B8A"/>
    <w:rsid w:val="004426EC"/>
    <w:rsid w:val="00443493"/>
    <w:rsid w:val="00443754"/>
    <w:rsid w:val="004442FF"/>
    <w:rsid w:val="004455E7"/>
    <w:rsid w:val="00445ADE"/>
    <w:rsid w:val="00445AEC"/>
    <w:rsid w:val="00446172"/>
    <w:rsid w:val="00446683"/>
    <w:rsid w:val="004473FF"/>
    <w:rsid w:val="004478BB"/>
    <w:rsid w:val="00447D23"/>
    <w:rsid w:val="0045046B"/>
    <w:rsid w:val="004510A9"/>
    <w:rsid w:val="004513F9"/>
    <w:rsid w:val="00451ACA"/>
    <w:rsid w:val="00451DE2"/>
    <w:rsid w:val="0045277E"/>
    <w:rsid w:val="00452E67"/>
    <w:rsid w:val="0045379B"/>
    <w:rsid w:val="00453957"/>
    <w:rsid w:val="004540AB"/>
    <w:rsid w:val="0045417B"/>
    <w:rsid w:val="00454748"/>
    <w:rsid w:val="00454B5C"/>
    <w:rsid w:val="00456768"/>
    <w:rsid w:val="00456831"/>
    <w:rsid w:val="00457171"/>
    <w:rsid w:val="004577B6"/>
    <w:rsid w:val="004601B9"/>
    <w:rsid w:val="00460410"/>
    <w:rsid w:val="00461651"/>
    <w:rsid w:val="00461A05"/>
    <w:rsid w:val="0046233C"/>
    <w:rsid w:val="0046304E"/>
    <w:rsid w:val="004632B6"/>
    <w:rsid w:val="004637D5"/>
    <w:rsid w:val="0046384C"/>
    <w:rsid w:val="00463F79"/>
    <w:rsid w:val="00463FD0"/>
    <w:rsid w:val="0046486D"/>
    <w:rsid w:val="00464D81"/>
    <w:rsid w:val="00465230"/>
    <w:rsid w:val="004653EE"/>
    <w:rsid w:val="00466007"/>
    <w:rsid w:val="00466262"/>
    <w:rsid w:val="004663F8"/>
    <w:rsid w:val="00467151"/>
    <w:rsid w:val="00467A02"/>
    <w:rsid w:val="00470C65"/>
    <w:rsid w:val="004712EA"/>
    <w:rsid w:val="00472209"/>
    <w:rsid w:val="004722F4"/>
    <w:rsid w:val="004725F0"/>
    <w:rsid w:val="00472694"/>
    <w:rsid w:val="00472B5D"/>
    <w:rsid w:val="00472F7A"/>
    <w:rsid w:val="004735D8"/>
    <w:rsid w:val="00473987"/>
    <w:rsid w:val="00473CFE"/>
    <w:rsid w:val="00474CD7"/>
    <w:rsid w:val="00474DF7"/>
    <w:rsid w:val="004763DC"/>
    <w:rsid w:val="00476625"/>
    <w:rsid w:val="00476EAC"/>
    <w:rsid w:val="00477340"/>
    <w:rsid w:val="004777B8"/>
    <w:rsid w:val="00477C17"/>
    <w:rsid w:val="00480221"/>
    <w:rsid w:val="004807D8"/>
    <w:rsid w:val="00480C11"/>
    <w:rsid w:val="00480FE1"/>
    <w:rsid w:val="00481070"/>
    <w:rsid w:val="004815C9"/>
    <w:rsid w:val="00481633"/>
    <w:rsid w:val="00482201"/>
    <w:rsid w:val="004835C9"/>
    <w:rsid w:val="004836AF"/>
    <w:rsid w:val="00484473"/>
    <w:rsid w:val="004852AF"/>
    <w:rsid w:val="004865A0"/>
    <w:rsid w:val="0048670D"/>
    <w:rsid w:val="00486D8F"/>
    <w:rsid w:val="0048765D"/>
    <w:rsid w:val="00487EA9"/>
    <w:rsid w:val="00490864"/>
    <w:rsid w:val="00492CA3"/>
    <w:rsid w:val="00492F86"/>
    <w:rsid w:val="004953A0"/>
    <w:rsid w:val="00495EC0"/>
    <w:rsid w:val="00497143"/>
    <w:rsid w:val="004976D2"/>
    <w:rsid w:val="004976EC"/>
    <w:rsid w:val="0049780D"/>
    <w:rsid w:val="004A0538"/>
    <w:rsid w:val="004A097D"/>
    <w:rsid w:val="004A158C"/>
    <w:rsid w:val="004A1A0B"/>
    <w:rsid w:val="004A1FFE"/>
    <w:rsid w:val="004A2035"/>
    <w:rsid w:val="004A206E"/>
    <w:rsid w:val="004A29B4"/>
    <w:rsid w:val="004A38CD"/>
    <w:rsid w:val="004A4C95"/>
    <w:rsid w:val="004A5330"/>
    <w:rsid w:val="004A6F31"/>
    <w:rsid w:val="004A7BB9"/>
    <w:rsid w:val="004A7CAB"/>
    <w:rsid w:val="004B0072"/>
    <w:rsid w:val="004B063C"/>
    <w:rsid w:val="004B08EE"/>
    <w:rsid w:val="004B0CC2"/>
    <w:rsid w:val="004B196A"/>
    <w:rsid w:val="004B202C"/>
    <w:rsid w:val="004B2179"/>
    <w:rsid w:val="004B28E6"/>
    <w:rsid w:val="004B32C9"/>
    <w:rsid w:val="004B39CB"/>
    <w:rsid w:val="004B418D"/>
    <w:rsid w:val="004B43AC"/>
    <w:rsid w:val="004B4BE3"/>
    <w:rsid w:val="004B4CC9"/>
    <w:rsid w:val="004B4E74"/>
    <w:rsid w:val="004B4F17"/>
    <w:rsid w:val="004B568F"/>
    <w:rsid w:val="004B5864"/>
    <w:rsid w:val="004B5C80"/>
    <w:rsid w:val="004B6792"/>
    <w:rsid w:val="004B691A"/>
    <w:rsid w:val="004B6C1A"/>
    <w:rsid w:val="004B7E3D"/>
    <w:rsid w:val="004C1D54"/>
    <w:rsid w:val="004C235E"/>
    <w:rsid w:val="004C2FB2"/>
    <w:rsid w:val="004C3EF7"/>
    <w:rsid w:val="004C45DA"/>
    <w:rsid w:val="004C4B79"/>
    <w:rsid w:val="004C5976"/>
    <w:rsid w:val="004C5B8F"/>
    <w:rsid w:val="004C5BF6"/>
    <w:rsid w:val="004C6549"/>
    <w:rsid w:val="004C691E"/>
    <w:rsid w:val="004C6B62"/>
    <w:rsid w:val="004D0056"/>
    <w:rsid w:val="004D1FA3"/>
    <w:rsid w:val="004D2242"/>
    <w:rsid w:val="004D2A18"/>
    <w:rsid w:val="004D3659"/>
    <w:rsid w:val="004D39B5"/>
    <w:rsid w:val="004D4A75"/>
    <w:rsid w:val="004D4C35"/>
    <w:rsid w:val="004D6957"/>
    <w:rsid w:val="004D6C8A"/>
    <w:rsid w:val="004D7717"/>
    <w:rsid w:val="004D7774"/>
    <w:rsid w:val="004D7EEE"/>
    <w:rsid w:val="004E04A8"/>
    <w:rsid w:val="004E06AA"/>
    <w:rsid w:val="004E0D9B"/>
    <w:rsid w:val="004E1878"/>
    <w:rsid w:val="004E2EA9"/>
    <w:rsid w:val="004E2ECF"/>
    <w:rsid w:val="004E62D8"/>
    <w:rsid w:val="004E6C4A"/>
    <w:rsid w:val="004E6F29"/>
    <w:rsid w:val="004E7375"/>
    <w:rsid w:val="004E7BBE"/>
    <w:rsid w:val="004E7E45"/>
    <w:rsid w:val="004E7EB7"/>
    <w:rsid w:val="004F0489"/>
    <w:rsid w:val="004F08A3"/>
    <w:rsid w:val="004F0DDE"/>
    <w:rsid w:val="004F1184"/>
    <w:rsid w:val="004F1214"/>
    <w:rsid w:val="004F1409"/>
    <w:rsid w:val="004F1B00"/>
    <w:rsid w:val="004F2145"/>
    <w:rsid w:val="004F22F2"/>
    <w:rsid w:val="004F2755"/>
    <w:rsid w:val="004F2D0E"/>
    <w:rsid w:val="004F2FA9"/>
    <w:rsid w:val="004F3CD9"/>
    <w:rsid w:val="004F57CA"/>
    <w:rsid w:val="004F5AB8"/>
    <w:rsid w:val="004F74AD"/>
    <w:rsid w:val="0050026A"/>
    <w:rsid w:val="00500955"/>
    <w:rsid w:val="00500DFA"/>
    <w:rsid w:val="00500F25"/>
    <w:rsid w:val="005017B0"/>
    <w:rsid w:val="0050350F"/>
    <w:rsid w:val="00503FAF"/>
    <w:rsid w:val="00504D80"/>
    <w:rsid w:val="00504EC1"/>
    <w:rsid w:val="005050AA"/>
    <w:rsid w:val="0050672C"/>
    <w:rsid w:val="0050703D"/>
    <w:rsid w:val="005070D8"/>
    <w:rsid w:val="00507CB2"/>
    <w:rsid w:val="00510086"/>
    <w:rsid w:val="005102C2"/>
    <w:rsid w:val="005114D4"/>
    <w:rsid w:val="005119D1"/>
    <w:rsid w:val="00511F73"/>
    <w:rsid w:val="005133D3"/>
    <w:rsid w:val="00514CFF"/>
    <w:rsid w:val="0051554B"/>
    <w:rsid w:val="0051585A"/>
    <w:rsid w:val="005169C7"/>
    <w:rsid w:val="005175ED"/>
    <w:rsid w:val="005204C6"/>
    <w:rsid w:val="00520559"/>
    <w:rsid w:val="00520683"/>
    <w:rsid w:val="00521552"/>
    <w:rsid w:val="00521981"/>
    <w:rsid w:val="00521E7E"/>
    <w:rsid w:val="005239C6"/>
    <w:rsid w:val="00523CF0"/>
    <w:rsid w:val="00523ED7"/>
    <w:rsid w:val="00524CDE"/>
    <w:rsid w:val="00525720"/>
    <w:rsid w:val="00526D97"/>
    <w:rsid w:val="0052749F"/>
    <w:rsid w:val="0052761B"/>
    <w:rsid w:val="00530333"/>
    <w:rsid w:val="00530C5B"/>
    <w:rsid w:val="00530CC4"/>
    <w:rsid w:val="00530E92"/>
    <w:rsid w:val="005315EE"/>
    <w:rsid w:val="00531682"/>
    <w:rsid w:val="005334ED"/>
    <w:rsid w:val="00534294"/>
    <w:rsid w:val="00534BBB"/>
    <w:rsid w:val="0053576E"/>
    <w:rsid w:val="00536BDB"/>
    <w:rsid w:val="00536DC9"/>
    <w:rsid w:val="0053774A"/>
    <w:rsid w:val="00537FCB"/>
    <w:rsid w:val="00540118"/>
    <w:rsid w:val="00541AE0"/>
    <w:rsid w:val="00541F6C"/>
    <w:rsid w:val="00542657"/>
    <w:rsid w:val="00543A99"/>
    <w:rsid w:val="00543E69"/>
    <w:rsid w:val="005442F2"/>
    <w:rsid w:val="00545337"/>
    <w:rsid w:val="0054640D"/>
    <w:rsid w:val="00546873"/>
    <w:rsid w:val="00546B2A"/>
    <w:rsid w:val="0055011C"/>
    <w:rsid w:val="005510AC"/>
    <w:rsid w:val="00552F78"/>
    <w:rsid w:val="005536A0"/>
    <w:rsid w:val="00553960"/>
    <w:rsid w:val="00553963"/>
    <w:rsid w:val="00554B9A"/>
    <w:rsid w:val="00555109"/>
    <w:rsid w:val="005555AB"/>
    <w:rsid w:val="005558BF"/>
    <w:rsid w:val="00556A8A"/>
    <w:rsid w:val="005573FF"/>
    <w:rsid w:val="005578B5"/>
    <w:rsid w:val="00557A6C"/>
    <w:rsid w:val="00560063"/>
    <w:rsid w:val="005601AE"/>
    <w:rsid w:val="00560983"/>
    <w:rsid w:val="005621F1"/>
    <w:rsid w:val="005623D4"/>
    <w:rsid w:val="00562E07"/>
    <w:rsid w:val="005633D7"/>
    <w:rsid w:val="005639F0"/>
    <w:rsid w:val="0056437D"/>
    <w:rsid w:val="005644E1"/>
    <w:rsid w:val="00564927"/>
    <w:rsid w:val="005657A2"/>
    <w:rsid w:val="00565ECC"/>
    <w:rsid w:val="00566BBD"/>
    <w:rsid w:val="00567166"/>
    <w:rsid w:val="00572253"/>
    <w:rsid w:val="005733A9"/>
    <w:rsid w:val="0057376F"/>
    <w:rsid w:val="00573C01"/>
    <w:rsid w:val="00573D04"/>
    <w:rsid w:val="005742CB"/>
    <w:rsid w:val="00574694"/>
    <w:rsid w:val="005750AE"/>
    <w:rsid w:val="0057569E"/>
    <w:rsid w:val="0057634F"/>
    <w:rsid w:val="00576579"/>
    <w:rsid w:val="00577D64"/>
    <w:rsid w:val="00577ECE"/>
    <w:rsid w:val="00577FE2"/>
    <w:rsid w:val="00580377"/>
    <w:rsid w:val="0058095F"/>
    <w:rsid w:val="005817F4"/>
    <w:rsid w:val="00581B0A"/>
    <w:rsid w:val="0058210C"/>
    <w:rsid w:val="00582322"/>
    <w:rsid w:val="00582CC8"/>
    <w:rsid w:val="00582D5C"/>
    <w:rsid w:val="005835FE"/>
    <w:rsid w:val="0058363D"/>
    <w:rsid w:val="0058412F"/>
    <w:rsid w:val="00584188"/>
    <w:rsid w:val="00584E8E"/>
    <w:rsid w:val="00585437"/>
    <w:rsid w:val="00585B55"/>
    <w:rsid w:val="00585D8E"/>
    <w:rsid w:val="0058647E"/>
    <w:rsid w:val="005865F2"/>
    <w:rsid w:val="00586B48"/>
    <w:rsid w:val="00586B75"/>
    <w:rsid w:val="00586B7F"/>
    <w:rsid w:val="005870A4"/>
    <w:rsid w:val="005873EC"/>
    <w:rsid w:val="00587B8F"/>
    <w:rsid w:val="005903D7"/>
    <w:rsid w:val="005906C0"/>
    <w:rsid w:val="00590B2A"/>
    <w:rsid w:val="005915B5"/>
    <w:rsid w:val="005916DB"/>
    <w:rsid w:val="00591904"/>
    <w:rsid w:val="005923DA"/>
    <w:rsid w:val="00592604"/>
    <w:rsid w:val="00592E9E"/>
    <w:rsid w:val="0059420C"/>
    <w:rsid w:val="00594465"/>
    <w:rsid w:val="00594965"/>
    <w:rsid w:val="00594AB9"/>
    <w:rsid w:val="0059617D"/>
    <w:rsid w:val="0059640D"/>
    <w:rsid w:val="005969AA"/>
    <w:rsid w:val="00596E14"/>
    <w:rsid w:val="00597233"/>
    <w:rsid w:val="00597266"/>
    <w:rsid w:val="005A0518"/>
    <w:rsid w:val="005A0CC0"/>
    <w:rsid w:val="005A1098"/>
    <w:rsid w:val="005A189D"/>
    <w:rsid w:val="005A1CCA"/>
    <w:rsid w:val="005A1F82"/>
    <w:rsid w:val="005A23A8"/>
    <w:rsid w:val="005A2D6A"/>
    <w:rsid w:val="005A3EEC"/>
    <w:rsid w:val="005A5EA1"/>
    <w:rsid w:val="005A6720"/>
    <w:rsid w:val="005A6798"/>
    <w:rsid w:val="005A72F4"/>
    <w:rsid w:val="005A7AAA"/>
    <w:rsid w:val="005B03D4"/>
    <w:rsid w:val="005B0528"/>
    <w:rsid w:val="005B058E"/>
    <w:rsid w:val="005B0DFC"/>
    <w:rsid w:val="005B2947"/>
    <w:rsid w:val="005B32CD"/>
    <w:rsid w:val="005B409F"/>
    <w:rsid w:val="005B481A"/>
    <w:rsid w:val="005B4997"/>
    <w:rsid w:val="005B4E1A"/>
    <w:rsid w:val="005B684C"/>
    <w:rsid w:val="005B69A3"/>
    <w:rsid w:val="005B6E1E"/>
    <w:rsid w:val="005B766D"/>
    <w:rsid w:val="005B7946"/>
    <w:rsid w:val="005B7BDF"/>
    <w:rsid w:val="005C0110"/>
    <w:rsid w:val="005C049B"/>
    <w:rsid w:val="005C23D7"/>
    <w:rsid w:val="005C2545"/>
    <w:rsid w:val="005C2FCD"/>
    <w:rsid w:val="005C3CC6"/>
    <w:rsid w:val="005C41A7"/>
    <w:rsid w:val="005C5AA7"/>
    <w:rsid w:val="005C6413"/>
    <w:rsid w:val="005C6AA3"/>
    <w:rsid w:val="005C6BBD"/>
    <w:rsid w:val="005C7017"/>
    <w:rsid w:val="005C73E6"/>
    <w:rsid w:val="005D0396"/>
    <w:rsid w:val="005D04A6"/>
    <w:rsid w:val="005D0C49"/>
    <w:rsid w:val="005D1D0C"/>
    <w:rsid w:val="005D2526"/>
    <w:rsid w:val="005D2AEC"/>
    <w:rsid w:val="005D3335"/>
    <w:rsid w:val="005D3B1D"/>
    <w:rsid w:val="005D41DB"/>
    <w:rsid w:val="005D436E"/>
    <w:rsid w:val="005D45A1"/>
    <w:rsid w:val="005D460E"/>
    <w:rsid w:val="005D4665"/>
    <w:rsid w:val="005D4C9B"/>
    <w:rsid w:val="005D4CE9"/>
    <w:rsid w:val="005D4E49"/>
    <w:rsid w:val="005D55BD"/>
    <w:rsid w:val="005D6028"/>
    <w:rsid w:val="005D6714"/>
    <w:rsid w:val="005D6A81"/>
    <w:rsid w:val="005D7240"/>
    <w:rsid w:val="005D7474"/>
    <w:rsid w:val="005E26D5"/>
    <w:rsid w:val="005E2716"/>
    <w:rsid w:val="005E2973"/>
    <w:rsid w:val="005E544A"/>
    <w:rsid w:val="005E55D4"/>
    <w:rsid w:val="005E5C76"/>
    <w:rsid w:val="005E6004"/>
    <w:rsid w:val="005E66DF"/>
    <w:rsid w:val="005E72A8"/>
    <w:rsid w:val="005E7E71"/>
    <w:rsid w:val="005F033C"/>
    <w:rsid w:val="005F0BAC"/>
    <w:rsid w:val="005F1BB3"/>
    <w:rsid w:val="005F299B"/>
    <w:rsid w:val="005F31E1"/>
    <w:rsid w:val="005F3608"/>
    <w:rsid w:val="005F465E"/>
    <w:rsid w:val="005F47E3"/>
    <w:rsid w:val="005F5956"/>
    <w:rsid w:val="005F59DA"/>
    <w:rsid w:val="005F660C"/>
    <w:rsid w:val="005F6847"/>
    <w:rsid w:val="005F69E3"/>
    <w:rsid w:val="005F7018"/>
    <w:rsid w:val="005F79CB"/>
    <w:rsid w:val="005F7B78"/>
    <w:rsid w:val="006012CF"/>
    <w:rsid w:val="00601AB6"/>
    <w:rsid w:val="006022F9"/>
    <w:rsid w:val="00602C52"/>
    <w:rsid w:val="00602E49"/>
    <w:rsid w:val="00602EDA"/>
    <w:rsid w:val="00603236"/>
    <w:rsid w:val="0060443F"/>
    <w:rsid w:val="00604557"/>
    <w:rsid w:val="006047CB"/>
    <w:rsid w:val="006050A0"/>
    <w:rsid w:val="006057E2"/>
    <w:rsid w:val="00606251"/>
    <w:rsid w:val="006063A7"/>
    <w:rsid w:val="00607B6A"/>
    <w:rsid w:val="00610D1E"/>
    <w:rsid w:val="00610EC1"/>
    <w:rsid w:val="00611CE5"/>
    <w:rsid w:val="00612C6A"/>
    <w:rsid w:val="0061366D"/>
    <w:rsid w:val="00613DC5"/>
    <w:rsid w:val="0061479A"/>
    <w:rsid w:val="00614C26"/>
    <w:rsid w:val="006168E8"/>
    <w:rsid w:val="00616D0B"/>
    <w:rsid w:val="00616D48"/>
    <w:rsid w:val="00620366"/>
    <w:rsid w:val="00621389"/>
    <w:rsid w:val="006213A6"/>
    <w:rsid w:val="00621474"/>
    <w:rsid w:val="00622247"/>
    <w:rsid w:val="00622671"/>
    <w:rsid w:val="006226D8"/>
    <w:rsid w:val="00622CD9"/>
    <w:rsid w:val="00622D40"/>
    <w:rsid w:val="00623622"/>
    <w:rsid w:val="0062365E"/>
    <w:rsid w:val="00624EBC"/>
    <w:rsid w:val="00625223"/>
    <w:rsid w:val="0062671C"/>
    <w:rsid w:val="00626878"/>
    <w:rsid w:val="00627124"/>
    <w:rsid w:val="00630678"/>
    <w:rsid w:val="00630A08"/>
    <w:rsid w:val="006319AE"/>
    <w:rsid w:val="00631FAD"/>
    <w:rsid w:val="00632616"/>
    <w:rsid w:val="006335F8"/>
    <w:rsid w:val="00634320"/>
    <w:rsid w:val="00634964"/>
    <w:rsid w:val="00634BBC"/>
    <w:rsid w:val="00635A3F"/>
    <w:rsid w:val="00636257"/>
    <w:rsid w:val="006371CE"/>
    <w:rsid w:val="006374D1"/>
    <w:rsid w:val="00637733"/>
    <w:rsid w:val="006402D8"/>
    <w:rsid w:val="00640368"/>
    <w:rsid w:val="006411CC"/>
    <w:rsid w:val="0064174F"/>
    <w:rsid w:val="00641ACA"/>
    <w:rsid w:val="00641BE3"/>
    <w:rsid w:val="006426D7"/>
    <w:rsid w:val="006428F4"/>
    <w:rsid w:val="00643673"/>
    <w:rsid w:val="00643736"/>
    <w:rsid w:val="006451F9"/>
    <w:rsid w:val="00645542"/>
    <w:rsid w:val="006461DD"/>
    <w:rsid w:val="00646DEB"/>
    <w:rsid w:val="00646E61"/>
    <w:rsid w:val="00646F50"/>
    <w:rsid w:val="006473C2"/>
    <w:rsid w:val="006511CB"/>
    <w:rsid w:val="0065136D"/>
    <w:rsid w:val="006513ED"/>
    <w:rsid w:val="00652829"/>
    <w:rsid w:val="00652B9B"/>
    <w:rsid w:val="00652BDC"/>
    <w:rsid w:val="0065314A"/>
    <w:rsid w:val="00653349"/>
    <w:rsid w:val="006534B5"/>
    <w:rsid w:val="00653ABD"/>
    <w:rsid w:val="006545EC"/>
    <w:rsid w:val="0065468D"/>
    <w:rsid w:val="00654703"/>
    <w:rsid w:val="00655408"/>
    <w:rsid w:val="00655609"/>
    <w:rsid w:val="0065590F"/>
    <w:rsid w:val="00656073"/>
    <w:rsid w:val="0065622D"/>
    <w:rsid w:val="00656921"/>
    <w:rsid w:val="00656994"/>
    <w:rsid w:val="00656F78"/>
    <w:rsid w:val="00657D97"/>
    <w:rsid w:val="00657DAC"/>
    <w:rsid w:val="00660184"/>
    <w:rsid w:val="00660582"/>
    <w:rsid w:val="006605A9"/>
    <w:rsid w:val="00660B4B"/>
    <w:rsid w:val="00662139"/>
    <w:rsid w:val="0066244C"/>
    <w:rsid w:val="0066321A"/>
    <w:rsid w:val="00663A7B"/>
    <w:rsid w:val="00663D87"/>
    <w:rsid w:val="00663E0F"/>
    <w:rsid w:val="0066438F"/>
    <w:rsid w:val="006651A8"/>
    <w:rsid w:val="006652D7"/>
    <w:rsid w:val="00666367"/>
    <w:rsid w:val="00666D9B"/>
    <w:rsid w:val="006700C2"/>
    <w:rsid w:val="00670D92"/>
    <w:rsid w:val="00671534"/>
    <w:rsid w:val="006715E1"/>
    <w:rsid w:val="006716B4"/>
    <w:rsid w:val="00671920"/>
    <w:rsid w:val="00672240"/>
    <w:rsid w:val="006722AA"/>
    <w:rsid w:val="00672BA5"/>
    <w:rsid w:val="00673575"/>
    <w:rsid w:val="00673C18"/>
    <w:rsid w:val="00673F42"/>
    <w:rsid w:val="006741BD"/>
    <w:rsid w:val="00674C15"/>
    <w:rsid w:val="006752FE"/>
    <w:rsid w:val="00675C35"/>
    <w:rsid w:val="00676734"/>
    <w:rsid w:val="00676E4C"/>
    <w:rsid w:val="00680859"/>
    <w:rsid w:val="00680A6E"/>
    <w:rsid w:val="0068150D"/>
    <w:rsid w:val="00681E3C"/>
    <w:rsid w:val="00682290"/>
    <w:rsid w:val="006824C3"/>
    <w:rsid w:val="00683E87"/>
    <w:rsid w:val="0068435D"/>
    <w:rsid w:val="006852AD"/>
    <w:rsid w:val="006856EB"/>
    <w:rsid w:val="006873D8"/>
    <w:rsid w:val="00687A89"/>
    <w:rsid w:val="00690E11"/>
    <w:rsid w:val="00691BB1"/>
    <w:rsid w:val="0069238E"/>
    <w:rsid w:val="0069530E"/>
    <w:rsid w:val="00695A7D"/>
    <w:rsid w:val="006961A1"/>
    <w:rsid w:val="00696843"/>
    <w:rsid w:val="00696DCB"/>
    <w:rsid w:val="00697133"/>
    <w:rsid w:val="0069775B"/>
    <w:rsid w:val="006978C5"/>
    <w:rsid w:val="006A0AD4"/>
    <w:rsid w:val="006A0EA1"/>
    <w:rsid w:val="006A1390"/>
    <w:rsid w:val="006A1871"/>
    <w:rsid w:val="006A1DF5"/>
    <w:rsid w:val="006A319E"/>
    <w:rsid w:val="006A3237"/>
    <w:rsid w:val="006A33F6"/>
    <w:rsid w:val="006A3757"/>
    <w:rsid w:val="006A4B49"/>
    <w:rsid w:val="006A508E"/>
    <w:rsid w:val="006A5549"/>
    <w:rsid w:val="006A573C"/>
    <w:rsid w:val="006A5F53"/>
    <w:rsid w:val="006A62F5"/>
    <w:rsid w:val="006A6DAC"/>
    <w:rsid w:val="006B0B47"/>
    <w:rsid w:val="006B2B92"/>
    <w:rsid w:val="006B3A2F"/>
    <w:rsid w:val="006B3D77"/>
    <w:rsid w:val="006B4011"/>
    <w:rsid w:val="006B6C6C"/>
    <w:rsid w:val="006B6E71"/>
    <w:rsid w:val="006C085E"/>
    <w:rsid w:val="006C2FBB"/>
    <w:rsid w:val="006C4271"/>
    <w:rsid w:val="006C4DCD"/>
    <w:rsid w:val="006C4E7A"/>
    <w:rsid w:val="006C59A1"/>
    <w:rsid w:val="006C68B8"/>
    <w:rsid w:val="006C6C55"/>
    <w:rsid w:val="006C6F57"/>
    <w:rsid w:val="006C7285"/>
    <w:rsid w:val="006D0231"/>
    <w:rsid w:val="006D0425"/>
    <w:rsid w:val="006D1161"/>
    <w:rsid w:val="006D13BE"/>
    <w:rsid w:val="006D1B21"/>
    <w:rsid w:val="006D1D48"/>
    <w:rsid w:val="006D2C29"/>
    <w:rsid w:val="006D2EB2"/>
    <w:rsid w:val="006D3A92"/>
    <w:rsid w:val="006D3FF2"/>
    <w:rsid w:val="006D5416"/>
    <w:rsid w:val="006D5717"/>
    <w:rsid w:val="006D6F3C"/>
    <w:rsid w:val="006D7301"/>
    <w:rsid w:val="006D76DA"/>
    <w:rsid w:val="006D797E"/>
    <w:rsid w:val="006D7CCE"/>
    <w:rsid w:val="006E0C35"/>
    <w:rsid w:val="006E1017"/>
    <w:rsid w:val="006E174E"/>
    <w:rsid w:val="006E25CA"/>
    <w:rsid w:val="006E3066"/>
    <w:rsid w:val="006E33AC"/>
    <w:rsid w:val="006E49BC"/>
    <w:rsid w:val="006E4FE0"/>
    <w:rsid w:val="006E567A"/>
    <w:rsid w:val="006E6445"/>
    <w:rsid w:val="006E7033"/>
    <w:rsid w:val="006E7689"/>
    <w:rsid w:val="006F0F49"/>
    <w:rsid w:val="006F1071"/>
    <w:rsid w:val="006F1297"/>
    <w:rsid w:val="006F2554"/>
    <w:rsid w:val="006F25A2"/>
    <w:rsid w:val="006F383C"/>
    <w:rsid w:val="006F41BD"/>
    <w:rsid w:val="006F4209"/>
    <w:rsid w:val="006F4C6F"/>
    <w:rsid w:val="006F57FF"/>
    <w:rsid w:val="006F60BC"/>
    <w:rsid w:val="006F7F1D"/>
    <w:rsid w:val="00700342"/>
    <w:rsid w:val="00700ACC"/>
    <w:rsid w:val="0070157C"/>
    <w:rsid w:val="0070161E"/>
    <w:rsid w:val="00701DC4"/>
    <w:rsid w:val="0070255E"/>
    <w:rsid w:val="007039D8"/>
    <w:rsid w:val="00703C92"/>
    <w:rsid w:val="00703D88"/>
    <w:rsid w:val="00704FA9"/>
    <w:rsid w:val="007058E4"/>
    <w:rsid w:val="007073E6"/>
    <w:rsid w:val="00707D56"/>
    <w:rsid w:val="00710223"/>
    <w:rsid w:val="0071081D"/>
    <w:rsid w:val="00710A4A"/>
    <w:rsid w:val="00712CA0"/>
    <w:rsid w:val="00713830"/>
    <w:rsid w:val="00714180"/>
    <w:rsid w:val="007142E3"/>
    <w:rsid w:val="00715699"/>
    <w:rsid w:val="00715DE2"/>
    <w:rsid w:val="00715EDD"/>
    <w:rsid w:val="007160C0"/>
    <w:rsid w:val="00716CC2"/>
    <w:rsid w:val="00716E31"/>
    <w:rsid w:val="007173F0"/>
    <w:rsid w:val="00720A6E"/>
    <w:rsid w:val="00720C20"/>
    <w:rsid w:val="00722534"/>
    <w:rsid w:val="00723682"/>
    <w:rsid w:val="00723759"/>
    <w:rsid w:val="00723B6A"/>
    <w:rsid w:val="007248CB"/>
    <w:rsid w:val="00724BAC"/>
    <w:rsid w:val="00725178"/>
    <w:rsid w:val="00725D43"/>
    <w:rsid w:val="0072611E"/>
    <w:rsid w:val="007263C7"/>
    <w:rsid w:val="007267E1"/>
    <w:rsid w:val="00726B43"/>
    <w:rsid w:val="0072713C"/>
    <w:rsid w:val="00727A74"/>
    <w:rsid w:val="00730F73"/>
    <w:rsid w:val="007316B9"/>
    <w:rsid w:val="00731AAB"/>
    <w:rsid w:val="00731F6C"/>
    <w:rsid w:val="007333A4"/>
    <w:rsid w:val="00734740"/>
    <w:rsid w:val="00735157"/>
    <w:rsid w:val="00735B25"/>
    <w:rsid w:val="0073702E"/>
    <w:rsid w:val="007378FD"/>
    <w:rsid w:val="007404E6"/>
    <w:rsid w:val="00740A01"/>
    <w:rsid w:val="0074135E"/>
    <w:rsid w:val="007416DC"/>
    <w:rsid w:val="00741E70"/>
    <w:rsid w:val="007450E6"/>
    <w:rsid w:val="00745791"/>
    <w:rsid w:val="00745FDE"/>
    <w:rsid w:val="00746147"/>
    <w:rsid w:val="007508DC"/>
    <w:rsid w:val="00750F01"/>
    <w:rsid w:val="007528A8"/>
    <w:rsid w:val="00752E46"/>
    <w:rsid w:val="007554E9"/>
    <w:rsid w:val="0075563F"/>
    <w:rsid w:val="00755E1A"/>
    <w:rsid w:val="00756602"/>
    <w:rsid w:val="0075671E"/>
    <w:rsid w:val="00756CF0"/>
    <w:rsid w:val="00756E0E"/>
    <w:rsid w:val="00757009"/>
    <w:rsid w:val="00757E03"/>
    <w:rsid w:val="00761F12"/>
    <w:rsid w:val="007620B6"/>
    <w:rsid w:val="0076258D"/>
    <w:rsid w:val="007629DE"/>
    <w:rsid w:val="00764DBD"/>
    <w:rsid w:val="00764DD6"/>
    <w:rsid w:val="00765073"/>
    <w:rsid w:val="00765393"/>
    <w:rsid w:val="00765476"/>
    <w:rsid w:val="007659C3"/>
    <w:rsid w:val="007660CB"/>
    <w:rsid w:val="0076641E"/>
    <w:rsid w:val="00766C4E"/>
    <w:rsid w:val="00766CD1"/>
    <w:rsid w:val="0076799D"/>
    <w:rsid w:val="00767A5B"/>
    <w:rsid w:val="0077074F"/>
    <w:rsid w:val="00770B4F"/>
    <w:rsid w:val="00771157"/>
    <w:rsid w:val="00771849"/>
    <w:rsid w:val="00771B71"/>
    <w:rsid w:val="0077265D"/>
    <w:rsid w:val="00772853"/>
    <w:rsid w:val="00772AB5"/>
    <w:rsid w:val="00772B80"/>
    <w:rsid w:val="00772D4F"/>
    <w:rsid w:val="00773274"/>
    <w:rsid w:val="00773B68"/>
    <w:rsid w:val="00773FD2"/>
    <w:rsid w:val="0077538D"/>
    <w:rsid w:val="007758F5"/>
    <w:rsid w:val="00775DFD"/>
    <w:rsid w:val="00775EB4"/>
    <w:rsid w:val="00776CDF"/>
    <w:rsid w:val="00776FEF"/>
    <w:rsid w:val="00780234"/>
    <w:rsid w:val="007808E5"/>
    <w:rsid w:val="00780B8B"/>
    <w:rsid w:val="00780E4A"/>
    <w:rsid w:val="007811FF"/>
    <w:rsid w:val="0078121F"/>
    <w:rsid w:val="00781F68"/>
    <w:rsid w:val="007825EC"/>
    <w:rsid w:val="007827A2"/>
    <w:rsid w:val="00783141"/>
    <w:rsid w:val="00783389"/>
    <w:rsid w:val="00783426"/>
    <w:rsid w:val="0078398B"/>
    <w:rsid w:val="00783BC7"/>
    <w:rsid w:val="007840BB"/>
    <w:rsid w:val="00784626"/>
    <w:rsid w:val="00784746"/>
    <w:rsid w:val="00784BC6"/>
    <w:rsid w:val="00784E0D"/>
    <w:rsid w:val="00784FBA"/>
    <w:rsid w:val="0078533B"/>
    <w:rsid w:val="00785342"/>
    <w:rsid w:val="007856E1"/>
    <w:rsid w:val="00785859"/>
    <w:rsid w:val="007861D3"/>
    <w:rsid w:val="00790570"/>
    <w:rsid w:val="00790F2F"/>
    <w:rsid w:val="00791466"/>
    <w:rsid w:val="007914D2"/>
    <w:rsid w:val="007915A9"/>
    <w:rsid w:val="00791BE3"/>
    <w:rsid w:val="007920BF"/>
    <w:rsid w:val="007938DD"/>
    <w:rsid w:val="00793F88"/>
    <w:rsid w:val="007951D4"/>
    <w:rsid w:val="00795FFE"/>
    <w:rsid w:val="007969F1"/>
    <w:rsid w:val="007A140E"/>
    <w:rsid w:val="007A1CC7"/>
    <w:rsid w:val="007A22C6"/>
    <w:rsid w:val="007A25DB"/>
    <w:rsid w:val="007A2A43"/>
    <w:rsid w:val="007A2F4B"/>
    <w:rsid w:val="007A3136"/>
    <w:rsid w:val="007A3B50"/>
    <w:rsid w:val="007A43B1"/>
    <w:rsid w:val="007A472A"/>
    <w:rsid w:val="007A4956"/>
    <w:rsid w:val="007A4B0D"/>
    <w:rsid w:val="007A4F37"/>
    <w:rsid w:val="007A5015"/>
    <w:rsid w:val="007A6C29"/>
    <w:rsid w:val="007A6C62"/>
    <w:rsid w:val="007B06D1"/>
    <w:rsid w:val="007B0BB4"/>
    <w:rsid w:val="007B0D08"/>
    <w:rsid w:val="007B14D4"/>
    <w:rsid w:val="007B1626"/>
    <w:rsid w:val="007B2435"/>
    <w:rsid w:val="007B2530"/>
    <w:rsid w:val="007B2DEC"/>
    <w:rsid w:val="007B4B89"/>
    <w:rsid w:val="007B505D"/>
    <w:rsid w:val="007B50AC"/>
    <w:rsid w:val="007B543F"/>
    <w:rsid w:val="007B5F83"/>
    <w:rsid w:val="007B5FA5"/>
    <w:rsid w:val="007B5FF9"/>
    <w:rsid w:val="007B644C"/>
    <w:rsid w:val="007B66E0"/>
    <w:rsid w:val="007B6C12"/>
    <w:rsid w:val="007B6EDD"/>
    <w:rsid w:val="007B77CB"/>
    <w:rsid w:val="007B7BF4"/>
    <w:rsid w:val="007C05C0"/>
    <w:rsid w:val="007C13EF"/>
    <w:rsid w:val="007C14CD"/>
    <w:rsid w:val="007C1B12"/>
    <w:rsid w:val="007C2055"/>
    <w:rsid w:val="007C2DC4"/>
    <w:rsid w:val="007C38B9"/>
    <w:rsid w:val="007C4702"/>
    <w:rsid w:val="007C61C5"/>
    <w:rsid w:val="007C6D30"/>
    <w:rsid w:val="007C71D2"/>
    <w:rsid w:val="007C74B8"/>
    <w:rsid w:val="007C7B61"/>
    <w:rsid w:val="007C7CB3"/>
    <w:rsid w:val="007D035B"/>
    <w:rsid w:val="007D03E6"/>
    <w:rsid w:val="007D05CC"/>
    <w:rsid w:val="007D123D"/>
    <w:rsid w:val="007D15B1"/>
    <w:rsid w:val="007D2116"/>
    <w:rsid w:val="007D215F"/>
    <w:rsid w:val="007D291C"/>
    <w:rsid w:val="007D2D2A"/>
    <w:rsid w:val="007D30CB"/>
    <w:rsid w:val="007D3921"/>
    <w:rsid w:val="007D55A4"/>
    <w:rsid w:val="007D55D6"/>
    <w:rsid w:val="007D5D0D"/>
    <w:rsid w:val="007D7BA8"/>
    <w:rsid w:val="007D7C83"/>
    <w:rsid w:val="007E0357"/>
    <w:rsid w:val="007E0450"/>
    <w:rsid w:val="007E0BCB"/>
    <w:rsid w:val="007E1309"/>
    <w:rsid w:val="007E13E5"/>
    <w:rsid w:val="007E13FB"/>
    <w:rsid w:val="007E1964"/>
    <w:rsid w:val="007E1E5F"/>
    <w:rsid w:val="007E1F24"/>
    <w:rsid w:val="007E267E"/>
    <w:rsid w:val="007E29D1"/>
    <w:rsid w:val="007E2C25"/>
    <w:rsid w:val="007E3423"/>
    <w:rsid w:val="007E41D4"/>
    <w:rsid w:val="007E428C"/>
    <w:rsid w:val="007E4350"/>
    <w:rsid w:val="007E4570"/>
    <w:rsid w:val="007E4735"/>
    <w:rsid w:val="007E4E88"/>
    <w:rsid w:val="007E5CDE"/>
    <w:rsid w:val="007E5E5E"/>
    <w:rsid w:val="007E6285"/>
    <w:rsid w:val="007E6620"/>
    <w:rsid w:val="007E6AF3"/>
    <w:rsid w:val="007E73B9"/>
    <w:rsid w:val="007E7B36"/>
    <w:rsid w:val="007F0070"/>
    <w:rsid w:val="007F0725"/>
    <w:rsid w:val="007F0762"/>
    <w:rsid w:val="007F0AB9"/>
    <w:rsid w:val="007F0EE1"/>
    <w:rsid w:val="007F13DF"/>
    <w:rsid w:val="007F166C"/>
    <w:rsid w:val="007F1B67"/>
    <w:rsid w:val="007F1DA2"/>
    <w:rsid w:val="007F21D2"/>
    <w:rsid w:val="007F2C9C"/>
    <w:rsid w:val="007F2E6D"/>
    <w:rsid w:val="007F2F09"/>
    <w:rsid w:val="007F3FF6"/>
    <w:rsid w:val="007F43DC"/>
    <w:rsid w:val="007F5C44"/>
    <w:rsid w:val="007F6283"/>
    <w:rsid w:val="007F6FA4"/>
    <w:rsid w:val="007F7134"/>
    <w:rsid w:val="007F7318"/>
    <w:rsid w:val="007F7326"/>
    <w:rsid w:val="007F755D"/>
    <w:rsid w:val="00800199"/>
    <w:rsid w:val="00800921"/>
    <w:rsid w:val="0080389B"/>
    <w:rsid w:val="008045CD"/>
    <w:rsid w:val="008046F0"/>
    <w:rsid w:val="00804F4C"/>
    <w:rsid w:val="00805612"/>
    <w:rsid w:val="008059C1"/>
    <w:rsid w:val="0080610E"/>
    <w:rsid w:val="00806421"/>
    <w:rsid w:val="00806EFB"/>
    <w:rsid w:val="00807523"/>
    <w:rsid w:val="008114A0"/>
    <w:rsid w:val="00811530"/>
    <w:rsid w:val="0081184A"/>
    <w:rsid w:val="00811A89"/>
    <w:rsid w:val="008129DB"/>
    <w:rsid w:val="00812B1B"/>
    <w:rsid w:val="00814B90"/>
    <w:rsid w:val="00815ED7"/>
    <w:rsid w:val="00816433"/>
    <w:rsid w:val="00816B2D"/>
    <w:rsid w:val="00817560"/>
    <w:rsid w:val="00820575"/>
    <w:rsid w:val="00821049"/>
    <w:rsid w:val="00821B84"/>
    <w:rsid w:val="00821EC0"/>
    <w:rsid w:val="0082445E"/>
    <w:rsid w:val="00824E93"/>
    <w:rsid w:val="00825B69"/>
    <w:rsid w:val="00825CFB"/>
    <w:rsid w:val="00825F17"/>
    <w:rsid w:val="0082651F"/>
    <w:rsid w:val="00826E09"/>
    <w:rsid w:val="0083239E"/>
    <w:rsid w:val="0083296F"/>
    <w:rsid w:val="00833972"/>
    <w:rsid w:val="008342A1"/>
    <w:rsid w:val="008348CB"/>
    <w:rsid w:val="00834DD6"/>
    <w:rsid w:val="0083559F"/>
    <w:rsid w:val="00835B4C"/>
    <w:rsid w:val="00835C6D"/>
    <w:rsid w:val="0083676F"/>
    <w:rsid w:val="00836DF3"/>
    <w:rsid w:val="008373ED"/>
    <w:rsid w:val="008378FA"/>
    <w:rsid w:val="008400F3"/>
    <w:rsid w:val="0084022D"/>
    <w:rsid w:val="00841F82"/>
    <w:rsid w:val="0084212D"/>
    <w:rsid w:val="00842527"/>
    <w:rsid w:val="00842573"/>
    <w:rsid w:val="008426DD"/>
    <w:rsid w:val="00842AD2"/>
    <w:rsid w:val="00843266"/>
    <w:rsid w:val="008441B4"/>
    <w:rsid w:val="00844234"/>
    <w:rsid w:val="008442E0"/>
    <w:rsid w:val="008447E1"/>
    <w:rsid w:val="00844EFC"/>
    <w:rsid w:val="00844F06"/>
    <w:rsid w:val="0084560A"/>
    <w:rsid w:val="00845CC6"/>
    <w:rsid w:val="00845E65"/>
    <w:rsid w:val="008473A7"/>
    <w:rsid w:val="008473D1"/>
    <w:rsid w:val="00847A20"/>
    <w:rsid w:val="00847F30"/>
    <w:rsid w:val="0085089F"/>
    <w:rsid w:val="00850EBD"/>
    <w:rsid w:val="008519AE"/>
    <w:rsid w:val="00851F74"/>
    <w:rsid w:val="0085230B"/>
    <w:rsid w:val="00852683"/>
    <w:rsid w:val="00852AAC"/>
    <w:rsid w:val="008530FC"/>
    <w:rsid w:val="008532DE"/>
    <w:rsid w:val="00853939"/>
    <w:rsid w:val="00853F1A"/>
    <w:rsid w:val="00854586"/>
    <w:rsid w:val="008546B1"/>
    <w:rsid w:val="00854AB3"/>
    <w:rsid w:val="0085507A"/>
    <w:rsid w:val="0085519F"/>
    <w:rsid w:val="00855B88"/>
    <w:rsid w:val="00855C93"/>
    <w:rsid w:val="00856BF6"/>
    <w:rsid w:val="00857AA3"/>
    <w:rsid w:val="00857C67"/>
    <w:rsid w:val="008602BA"/>
    <w:rsid w:val="00860DCD"/>
    <w:rsid w:val="00861136"/>
    <w:rsid w:val="00861931"/>
    <w:rsid w:val="00861E8C"/>
    <w:rsid w:val="00863BA3"/>
    <w:rsid w:val="00865C41"/>
    <w:rsid w:val="00865C9C"/>
    <w:rsid w:val="008660BB"/>
    <w:rsid w:val="00866511"/>
    <w:rsid w:val="008665D7"/>
    <w:rsid w:val="00867A00"/>
    <w:rsid w:val="00870087"/>
    <w:rsid w:val="0087159F"/>
    <w:rsid w:val="00871656"/>
    <w:rsid w:val="00871BAC"/>
    <w:rsid w:val="0087204B"/>
    <w:rsid w:val="008730FC"/>
    <w:rsid w:val="00873633"/>
    <w:rsid w:val="00874030"/>
    <w:rsid w:val="008741AB"/>
    <w:rsid w:val="008743DF"/>
    <w:rsid w:val="00874C75"/>
    <w:rsid w:val="008756B3"/>
    <w:rsid w:val="00876BEB"/>
    <w:rsid w:val="00877D21"/>
    <w:rsid w:val="00877DB1"/>
    <w:rsid w:val="00881239"/>
    <w:rsid w:val="00881601"/>
    <w:rsid w:val="00881C0C"/>
    <w:rsid w:val="00882088"/>
    <w:rsid w:val="00882A62"/>
    <w:rsid w:val="00882F6C"/>
    <w:rsid w:val="008835DE"/>
    <w:rsid w:val="00883757"/>
    <w:rsid w:val="00884848"/>
    <w:rsid w:val="00884AA9"/>
    <w:rsid w:val="00884C48"/>
    <w:rsid w:val="00885649"/>
    <w:rsid w:val="00885E6C"/>
    <w:rsid w:val="00885F02"/>
    <w:rsid w:val="008867D4"/>
    <w:rsid w:val="00886DA3"/>
    <w:rsid w:val="008877FF"/>
    <w:rsid w:val="00887886"/>
    <w:rsid w:val="008913BA"/>
    <w:rsid w:val="008917A0"/>
    <w:rsid w:val="008918ED"/>
    <w:rsid w:val="00892A79"/>
    <w:rsid w:val="00892EEC"/>
    <w:rsid w:val="00893694"/>
    <w:rsid w:val="008940DB"/>
    <w:rsid w:val="00894322"/>
    <w:rsid w:val="00894691"/>
    <w:rsid w:val="008955A4"/>
    <w:rsid w:val="008958CE"/>
    <w:rsid w:val="0089610B"/>
    <w:rsid w:val="00896E04"/>
    <w:rsid w:val="008976CF"/>
    <w:rsid w:val="008977E1"/>
    <w:rsid w:val="0089781A"/>
    <w:rsid w:val="00897833"/>
    <w:rsid w:val="008978CE"/>
    <w:rsid w:val="00897F00"/>
    <w:rsid w:val="008A0173"/>
    <w:rsid w:val="008A0673"/>
    <w:rsid w:val="008A0BDA"/>
    <w:rsid w:val="008A122D"/>
    <w:rsid w:val="008A18ED"/>
    <w:rsid w:val="008A2825"/>
    <w:rsid w:val="008A3ECE"/>
    <w:rsid w:val="008A473D"/>
    <w:rsid w:val="008A5D9C"/>
    <w:rsid w:val="008A6C5D"/>
    <w:rsid w:val="008A6F74"/>
    <w:rsid w:val="008A7BED"/>
    <w:rsid w:val="008B1945"/>
    <w:rsid w:val="008B1975"/>
    <w:rsid w:val="008B1A55"/>
    <w:rsid w:val="008B1ACD"/>
    <w:rsid w:val="008B225A"/>
    <w:rsid w:val="008B2407"/>
    <w:rsid w:val="008B4641"/>
    <w:rsid w:val="008B4656"/>
    <w:rsid w:val="008B4686"/>
    <w:rsid w:val="008B5DC2"/>
    <w:rsid w:val="008B6130"/>
    <w:rsid w:val="008B658D"/>
    <w:rsid w:val="008B684B"/>
    <w:rsid w:val="008B6C15"/>
    <w:rsid w:val="008B7EF1"/>
    <w:rsid w:val="008C0197"/>
    <w:rsid w:val="008C14DE"/>
    <w:rsid w:val="008C28B7"/>
    <w:rsid w:val="008C353C"/>
    <w:rsid w:val="008C3748"/>
    <w:rsid w:val="008C473E"/>
    <w:rsid w:val="008C4E85"/>
    <w:rsid w:val="008C5CA3"/>
    <w:rsid w:val="008C7B2C"/>
    <w:rsid w:val="008D0292"/>
    <w:rsid w:val="008D0DEA"/>
    <w:rsid w:val="008D12AB"/>
    <w:rsid w:val="008D2171"/>
    <w:rsid w:val="008D2DA1"/>
    <w:rsid w:val="008D373F"/>
    <w:rsid w:val="008D4012"/>
    <w:rsid w:val="008D4B13"/>
    <w:rsid w:val="008D4BE6"/>
    <w:rsid w:val="008D59A3"/>
    <w:rsid w:val="008D6134"/>
    <w:rsid w:val="008D6CAC"/>
    <w:rsid w:val="008D6DEA"/>
    <w:rsid w:val="008D7868"/>
    <w:rsid w:val="008D7E7E"/>
    <w:rsid w:val="008E037D"/>
    <w:rsid w:val="008E1457"/>
    <w:rsid w:val="008E14A0"/>
    <w:rsid w:val="008E1612"/>
    <w:rsid w:val="008E173C"/>
    <w:rsid w:val="008E27F6"/>
    <w:rsid w:val="008E288C"/>
    <w:rsid w:val="008E2BC5"/>
    <w:rsid w:val="008E2BF3"/>
    <w:rsid w:val="008E2E47"/>
    <w:rsid w:val="008E302B"/>
    <w:rsid w:val="008E3EA5"/>
    <w:rsid w:val="008E3EED"/>
    <w:rsid w:val="008E4EBA"/>
    <w:rsid w:val="008E4F44"/>
    <w:rsid w:val="008E6512"/>
    <w:rsid w:val="008E6A0C"/>
    <w:rsid w:val="008E6B52"/>
    <w:rsid w:val="008E6E45"/>
    <w:rsid w:val="008E77EB"/>
    <w:rsid w:val="008E7DF3"/>
    <w:rsid w:val="008F0A68"/>
    <w:rsid w:val="008F13B2"/>
    <w:rsid w:val="008F1D28"/>
    <w:rsid w:val="008F1FA3"/>
    <w:rsid w:val="008F26E1"/>
    <w:rsid w:val="008F31CF"/>
    <w:rsid w:val="008F3C90"/>
    <w:rsid w:val="008F400E"/>
    <w:rsid w:val="008F4049"/>
    <w:rsid w:val="008F4A78"/>
    <w:rsid w:val="008F4E13"/>
    <w:rsid w:val="008F6581"/>
    <w:rsid w:val="008F68C2"/>
    <w:rsid w:val="008F6D0E"/>
    <w:rsid w:val="008F7349"/>
    <w:rsid w:val="00900AA5"/>
    <w:rsid w:val="0090199C"/>
    <w:rsid w:val="00901A8B"/>
    <w:rsid w:val="00901D56"/>
    <w:rsid w:val="00902221"/>
    <w:rsid w:val="00903D61"/>
    <w:rsid w:val="009045D0"/>
    <w:rsid w:val="00904723"/>
    <w:rsid w:val="0090538B"/>
    <w:rsid w:val="00906093"/>
    <w:rsid w:val="00906328"/>
    <w:rsid w:val="009064E5"/>
    <w:rsid w:val="009072AC"/>
    <w:rsid w:val="00907E94"/>
    <w:rsid w:val="00910154"/>
    <w:rsid w:val="00910156"/>
    <w:rsid w:val="00910BEC"/>
    <w:rsid w:val="00910E5F"/>
    <w:rsid w:val="00911858"/>
    <w:rsid w:val="009119D7"/>
    <w:rsid w:val="00911B79"/>
    <w:rsid w:val="00911BFC"/>
    <w:rsid w:val="00912979"/>
    <w:rsid w:val="00913BD5"/>
    <w:rsid w:val="00913F2F"/>
    <w:rsid w:val="009144F0"/>
    <w:rsid w:val="00914F6F"/>
    <w:rsid w:val="00915AB7"/>
    <w:rsid w:val="00916E0C"/>
    <w:rsid w:val="0092052C"/>
    <w:rsid w:val="009205E5"/>
    <w:rsid w:val="00920778"/>
    <w:rsid w:val="00920BBD"/>
    <w:rsid w:val="009215F5"/>
    <w:rsid w:val="00921A0F"/>
    <w:rsid w:val="009223C0"/>
    <w:rsid w:val="00923113"/>
    <w:rsid w:val="00923893"/>
    <w:rsid w:val="00925221"/>
    <w:rsid w:val="00925416"/>
    <w:rsid w:val="00925843"/>
    <w:rsid w:val="00926658"/>
    <w:rsid w:val="00926A4B"/>
    <w:rsid w:val="0092716B"/>
    <w:rsid w:val="00927493"/>
    <w:rsid w:val="00927710"/>
    <w:rsid w:val="00927D5A"/>
    <w:rsid w:val="009305BB"/>
    <w:rsid w:val="009319C4"/>
    <w:rsid w:val="00931AC9"/>
    <w:rsid w:val="009327B5"/>
    <w:rsid w:val="0093435D"/>
    <w:rsid w:val="00935835"/>
    <w:rsid w:val="009358E0"/>
    <w:rsid w:val="0093598D"/>
    <w:rsid w:val="00935B37"/>
    <w:rsid w:val="0093609C"/>
    <w:rsid w:val="009363FB"/>
    <w:rsid w:val="009364E2"/>
    <w:rsid w:val="00936854"/>
    <w:rsid w:val="00937670"/>
    <w:rsid w:val="00940780"/>
    <w:rsid w:val="00940B64"/>
    <w:rsid w:val="00940D5B"/>
    <w:rsid w:val="00941084"/>
    <w:rsid w:val="0094128D"/>
    <w:rsid w:val="009412A0"/>
    <w:rsid w:val="0094131E"/>
    <w:rsid w:val="00942D5E"/>
    <w:rsid w:val="00942EB2"/>
    <w:rsid w:val="00943639"/>
    <w:rsid w:val="00943BF3"/>
    <w:rsid w:val="00944DB3"/>
    <w:rsid w:val="0094532A"/>
    <w:rsid w:val="00946E4B"/>
    <w:rsid w:val="00946ED6"/>
    <w:rsid w:val="00946F7C"/>
    <w:rsid w:val="00947527"/>
    <w:rsid w:val="00950624"/>
    <w:rsid w:val="0095081C"/>
    <w:rsid w:val="009508B4"/>
    <w:rsid w:val="00951080"/>
    <w:rsid w:val="009510CD"/>
    <w:rsid w:val="00951431"/>
    <w:rsid w:val="009517E8"/>
    <w:rsid w:val="009521BC"/>
    <w:rsid w:val="00953ECE"/>
    <w:rsid w:val="009543E1"/>
    <w:rsid w:val="0095581F"/>
    <w:rsid w:val="0095585D"/>
    <w:rsid w:val="00955B1E"/>
    <w:rsid w:val="00955D74"/>
    <w:rsid w:val="00955EA8"/>
    <w:rsid w:val="00956ECB"/>
    <w:rsid w:val="00957301"/>
    <w:rsid w:val="009575A5"/>
    <w:rsid w:val="00957795"/>
    <w:rsid w:val="009603F9"/>
    <w:rsid w:val="00960474"/>
    <w:rsid w:val="00960C1F"/>
    <w:rsid w:val="0096425B"/>
    <w:rsid w:val="00964589"/>
    <w:rsid w:val="009649E4"/>
    <w:rsid w:val="009655E3"/>
    <w:rsid w:val="00965FFC"/>
    <w:rsid w:val="009666BA"/>
    <w:rsid w:val="00967BBF"/>
    <w:rsid w:val="00967C57"/>
    <w:rsid w:val="00970182"/>
    <w:rsid w:val="00970F82"/>
    <w:rsid w:val="0097102A"/>
    <w:rsid w:val="0097125A"/>
    <w:rsid w:val="00972AB4"/>
    <w:rsid w:val="00972F99"/>
    <w:rsid w:val="00975B97"/>
    <w:rsid w:val="0097651C"/>
    <w:rsid w:val="00976553"/>
    <w:rsid w:val="0097670E"/>
    <w:rsid w:val="009771C4"/>
    <w:rsid w:val="0097739C"/>
    <w:rsid w:val="00981209"/>
    <w:rsid w:val="0098142E"/>
    <w:rsid w:val="00981488"/>
    <w:rsid w:val="00981A0A"/>
    <w:rsid w:val="00981FB8"/>
    <w:rsid w:val="00983586"/>
    <w:rsid w:val="00983D73"/>
    <w:rsid w:val="009847A6"/>
    <w:rsid w:val="00984DAD"/>
    <w:rsid w:val="0098531B"/>
    <w:rsid w:val="0098556F"/>
    <w:rsid w:val="00985669"/>
    <w:rsid w:val="00985C0D"/>
    <w:rsid w:val="009861FE"/>
    <w:rsid w:val="00986382"/>
    <w:rsid w:val="00987823"/>
    <w:rsid w:val="00987EC9"/>
    <w:rsid w:val="00987F58"/>
    <w:rsid w:val="00990C42"/>
    <w:rsid w:val="00991E26"/>
    <w:rsid w:val="0099251A"/>
    <w:rsid w:val="009934A7"/>
    <w:rsid w:val="009944B0"/>
    <w:rsid w:val="00994510"/>
    <w:rsid w:val="009960A9"/>
    <w:rsid w:val="00997C46"/>
    <w:rsid w:val="00997CDB"/>
    <w:rsid w:val="00997DE1"/>
    <w:rsid w:val="009A03CF"/>
    <w:rsid w:val="009A03D8"/>
    <w:rsid w:val="009A0C25"/>
    <w:rsid w:val="009A0C50"/>
    <w:rsid w:val="009A1C8C"/>
    <w:rsid w:val="009A2923"/>
    <w:rsid w:val="009A2A69"/>
    <w:rsid w:val="009A2EF6"/>
    <w:rsid w:val="009A36C7"/>
    <w:rsid w:val="009A3FD0"/>
    <w:rsid w:val="009A45C2"/>
    <w:rsid w:val="009A476A"/>
    <w:rsid w:val="009A53D6"/>
    <w:rsid w:val="009A612D"/>
    <w:rsid w:val="009A6166"/>
    <w:rsid w:val="009A6ABA"/>
    <w:rsid w:val="009A6B74"/>
    <w:rsid w:val="009A6E09"/>
    <w:rsid w:val="009A769D"/>
    <w:rsid w:val="009A7F8F"/>
    <w:rsid w:val="009B0C26"/>
    <w:rsid w:val="009B23A7"/>
    <w:rsid w:val="009B2524"/>
    <w:rsid w:val="009B284D"/>
    <w:rsid w:val="009B3D9E"/>
    <w:rsid w:val="009B3E27"/>
    <w:rsid w:val="009B4161"/>
    <w:rsid w:val="009B4267"/>
    <w:rsid w:val="009B54CE"/>
    <w:rsid w:val="009B5920"/>
    <w:rsid w:val="009B5FEB"/>
    <w:rsid w:val="009B675B"/>
    <w:rsid w:val="009B6863"/>
    <w:rsid w:val="009C026F"/>
    <w:rsid w:val="009C1929"/>
    <w:rsid w:val="009C3D50"/>
    <w:rsid w:val="009C3E91"/>
    <w:rsid w:val="009C4B4C"/>
    <w:rsid w:val="009C7750"/>
    <w:rsid w:val="009D02CE"/>
    <w:rsid w:val="009D08FC"/>
    <w:rsid w:val="009D0F47"/>
    <w:rsid w:val="009D140D"/>
    <w:rsid w:val="009D35B4"/>
    <w:rsid w:val="009D4A09"/>
    <w:rsid w:val="009D4DB2"/>
    <w:rsid w:val="009D4FF4"/>
    <w:rsid w:val="009D5A8F"/>
    <w:rsid w:val="009D5AF5"/>
    <w:rsid w:val="009D62C7"/>
    <w:rsid w:val="009D672B"/>
    <w:rsid w:val="009D6D18"/>
    <w:rsid w:val="009D7113"/>
    <w:rsid w:val="009D714D"/>
    <w:rsid w:val="009D72B5"/>
    <w:rsid w:val="009E045D"/>
    <w:rsid w:val="009E0FB3"/>
    <w:rsid w:val="009E162F"/>
    <w:rsid w:val="009E2F92"/>
    <w:rsid w:val="009E313A"/>
    <w:rsid w:val="009E3920"/>
    <w:rsid w:val="009E39FE"/>
    <w:rsid w:val="009E5182"/>
    <w:rsid w:val="009E523C"/>
    <w:rsid w:val="009E589F"/>
    <w:rsid w:val="009E59B4"/>
    <w:rsid w:val="009E67A8"/>
    <w:rsid w:val="009E6881"/>
    <w:rsid w:val="009E6BE2"/>
    <w:rsid w:val="009E7382"/>
    <w:rsid w:val="009E7C01"/>
    <w:rsid w:val="009E7ED5"/>
    <w:rsid w:val="009F0054"/>
    <w:rsid w:val="009F016B"/>
    <w:rsid w:val="009F0A00"/>
    <w:rsid w:val="009F10D8"/>
    <w:rsid w:val="009F18D3"/>
    <w:rsid w:val="009F2862"/>
    <w:rsid w:val="009F2CC7"/>
    <w:rsid w:val="009F4056"/>
    <w:rsid w:val="009F4D5B"/>
    <w:rsid w:val="009F4DB2"/>
    <w:rsid w:val="009F5D69"/>
    <w:rsid w:val="009F6160"/>
    <w:rsid w:val="009F6F4D"/>
    <w:rsid w:val="009F7E3F"/>
    <w:rsid w:val="00A0187A"/>
    <w:rsid w:val="00A018DD"/>
    <w:rsid w:val="00A01A20"/>
    <w:rsid w:val="00A01ED4"/>
    <w:rsid w:val="00A03437"/>
    <w:rsid w:val="00A0455C"/>
    <w:rsid w:val="00A04C0F"/>
    <w:rsid w:val="00A05050"/>
    <w:rsid w:val="00A050B7"/>
    <w:rsid w:val="00A055BB"/>
    <w:rsid w:val="00A05BEB"/>
    <w:rsid w:val="00A0605E"/>
    <w:rsid w:val="00A0675C"/>
    <w:rsid w:val="00A06C42"/>
    <w:rsid w:val="00A07E51"/>
    <w:rsid w:val="00A100AB"/>
    <w:rsid w:val="00A1066B"/>
    <w:rsid w:val="00A10FA7"/>
    <w:rsid w:val="00A11527"/>
    <w:rsid w:val="00A11BCB"/>
    <w:rsid w:val="00A11E29"/>
    <w:rsid w:val="00A12673"/>
    <w:rsid w:val="00A12BEC"/>
    <w:rsid w:val="00A132B8"/>
    <w:rsid w:val="00A13B62"/>
    <w:rsid w:val="00A13E4E"/>
    <w:rsid w:val="00A14DCE"/>
    <w:rsid w:val="00A160D9"/>
    <w:rsid w:val="00A1619D"/>
    <w:rsid w:val="00A1685D"/>
    <w:rsid w:val="00A17149"/>
    <w:rsid w:val="00A1736D"/>
    <w:rsid w:val="00A2101C"/>
    <w:rsid w:val="00A22852"/>
    <w:rsid w:val="00A233AC"/>
    <w:rsid w:val="00A23919"/>
    <w:rsid w:val="00A2394C"/>
    <w:rsid w:val="00A24045"/>
    <w:rsid w:val="00A25195"/>
    <w:rsid w:val="00A251D7"/>
    <w:rsid w:val="00A2549B"/>
    <w:rsid w:val="00A25997"/>
    <w:rsid w:val="00A27426"/>
    <w:rsid w:val="00A27EC2"/>
    <w:rsid w:val="00A30288"/>
    <w:rsid w:val="00A302A6"/>
    <w:rsid w:val="00A30D9F"/>
    <w:rsid w:val="00A31115"/>
    <w:rsid w:val="00A314A9"/>
    <w:rsid w:val="00A31D71"/>
    <w:rsid w:val="00A32153"/>
    <w:rsid w:val="00A32272"/>
    <w:rsid w:val="00A3256E"/>
    <w:rsid w:val="00A329BA"/>
    <w:rsid w:val="00A32EE5"/>
    <w:rsid w:val="00A33544"/>
    <w:rsid w:val="00A33720"/>
    <w:rsid w:val="00A33A7B"/>
    <w:rsid w:val="00A3644C"/>
    <w:rsid w:val="00A36FDF"/>
    <w:rsid w:val="00A376A7"/>
    <w:rsid w:val="00A400AF"/>
    <w:rsid w:val="00A40A84"/>
    <w:rsid w:val="00A40B18"/>
    <w:rsid w:val="00A410BA"/>
    <w:rsid w:val="00A410EA"/>
    <w:rsid w:val="00A41D6B"/>
    <w:rsid w:val="00A4371C"/>
    <w:rsid w:val="00A43A35"/>
    <w:rsid w:val="00A4489A"/>
    <w:rsid w:val="00A44A18"/>
    <w:rsid w:val="00A44D94"/>
    <w:rsid w:val="00A4505E"/>
    <w:rsid w:val="00A459C3"/>
    <w:rsid w:val="00A46029"/>
    <w:rsid w:val="00A4609C"/>
    <w:rsid w:val="00A464B3"/>
    <w:rsid w:val="00A4716E"/>
    <w:rsid w:val="00A47B7F"/>
    <w:rsid w:val="00A50E58"/>
    <w:rsid w:val="00A51163"/>
    <w:rsid w:val="00A5118E"/>
    <w:rsid w:val="00A51DE2"/>
    <w:rsid w:val="00A52347"/>
    <w:rsid w:val="00A5331D"/>
    <w:rsid w:val="00A536C3"/>
    <w:rsid w:val="00A53AAB"/>
    <w:rsid w:val="00A53F3C"/>
    <w:rsid w:val="00A544AA"/>
    <w:rsid w:val="00A548F2"/>
    <w:rsid w:val="00A56D81"/>
    <w:rsid w:val="00A5789F"/>
    <w:rsid w:val="00A6047B"/>
    <w:rsid w:val="00A60AB6"/>
    <w:rsid w:val="00A6248E"/>
    <w:rsid w:val="00A628AC"/>
    <w:rsid w:val="00A62C68"/>
    <w:rsid w:val="00A63AFC"/>
    <w:rsid w:val="00A64053"/>
    <w:rsid w:val="00A6468F"/>
    <w:rsid w:val="00A64E39"/>
    <w:rsid w:val="00A669B7"/>
    <w:rsid w:val="00A66E96"/>
    <w:rsid w:val="00A6708C"/>
    <w:rsid w:val="00A67734"/>
    <w:rsid w:val="00A6794C"/>
    <w:rsid w:val="00A67A15"/>
    <w:rsid w:val="00A67B01"/>
    <w:rsid w:val="00A71367"/>
    <w:rsid w:val="00A72116"/>
    <w:rsid w:val="00A721D5"/>
    <w:rsid w:val="00A722A8"/>
    <w:rsid w:val="00A7276B"/>
    <w:rsid w:val="00A72801"/>
    <w:rsid w:val="00A72F07"/>
    <w:rsid w:val="00A73BBC"/>
    <w:rsid w:val="00A75631"/>
    <w:rsid w:val="00A7688C"/>
    <w:rsid w:val="00A77029"/>
    <w:rsid w:val="00A773E1"/>
    <w:rsid w:val="00A7774B"/>
    <w:rsid w:val="00A80307"/>
    <w:rsid w:val="00A80CC3"/>
    <w:rsid w:val="00A820AD"/>
    <w:rsid w:val="00A827E0"/>
    <w:rsid w:val="00A83C97"/>
    <w:rsid w:val="00A847BC"/>
    <w:rsid w:val="00A84DB6"/>
    <w:rsid w:val="00A86FA9"/>
    <w:rsid w:val="00A90531"/>
    <w:rsid w:val="00A90CE5"/>
    <w:rsid w:val="00A91492"/>
    <w:rsid w:val="00A91F09"/>
    <w:rsid w:val="00A95830"/>
    <w:rsid w:val="00A97D57"/>
    <w:rsid w:val="00AA0069"/>
    <w:rsid w:val="00AA04A6"/>
    <w:rsid w:val="00AA0744"/>
    <w:rsid w:val="00AA0D6C"/>
    <w:rsid w:val="00AA1A96"/>
    <w:rsid w:val="00AA2814"/>
    <w:rsid w:val="00AA287E"/>
    <w:rsid w:val="00AA2B7C"/>
    <w:rsid w:val="00AA2ECD"/>
    <w:rsid w:val="00AA348A"/>
    <w:rsid w:val="00AA425D"/>
    <w:rsid w:val="00AA4C03"/>
    <w:rsid w:val="00AA56CF"/>
    <w:rsid w:val="00AA5738"/>
    <w:rsid w:val="00AA57EF"/>
    <w:rsid w:val="00AA5C10"/>
    <w:rsid w:val="00AA6720"/>
    <w:rsid w:val="00AA6AAE"/>
    <w:rsid w:val="00AA6CF7"/>
    <w:rsid w:val="00AA750B"/>
    <w:rsid w:val="00AA7689"/>
    <w:rsid w:val="00AA7A6C"/>
    <w:rsid w:val="00AA7B05"/>
    <w:rsid w:val="00AB099C"/>
    <w:rsid w:val="00AB13C8"/>
    <w:rsid w:val="00AB1F38"/>
    <w:rsid w:val="00AB2EAA"/>
    <w:rsid w:val="00AB331A"/>
    <w:rsid w:val="00AB464A"/>
    <w:rsid w:val="00AB4B53"/>
    <w:rsid w:val="00AB4FCA"/>
    <w:rsid w:val="00AB6036"/>
    <w:rsid w:val="00AB65B4"/>
    <w:rsid w:val="00AB6B5A"/>
    <w:rsid w:val="00AB6BBA"/>
    <w:rsid w:val="00AB7319"/>
    <w:rsid w:val="00AB7760"/>
    <w:rsid w:val="00AB7F76"/>
    <w:rsid w:val="00AC026B"/>
    <w:rsid w:val="00AC0D49"/>
    <w:rsid w:val="00AC10DA"/>
    <w:rsid w:val="00AC130F"/>
    <w:rsid w:val="00AC1C15"/>
    <w:rsid w:val="00AC3759"/>
    <w:rsid w:val="00AC3D73"/>
    <w:rsid w:val="00AC4856"/>
    <w:rsid w:val="00AC4B78"/>
    <w:rsid w:val="00AC7C30"/>
    <w:rsid w:val="00AD00CF"/>
    <w:rsid w:val="00AD04F7"/>
    <w:rsid w:val="00AD0E60"/>
    <w:rsid w:val="00AD16FD"/>
    <w:rsid w:val="00AD182B"/>
    <w:rsid w:val="00AD2512"/>
    <w:rsid w:val="00AD296E"/>
    <w:rsid w:val="00AD302E"/>
    <w:rsid w:val="00AD3F8A"/>
    <w:rsid w:val="00AD3FC1"/>
    <w:rsid w:val="00AD48C4"/>
    <w:rsid w:val="00AD531D"/>
    <w:rsid w:val="00AD58F6"/>
    <w:rsid w:val="00AD618D"/>
    <w:rsid w:val="00AD6467"/>
    <w:rsid w:val="00AD6572"/>
    <w:rsid w:val="00AD6F29"/>
    <w:rsid w:val="00AD6FA4"/>
    <w:rsid w:val="00AE0189"/>
    <w:rsid w:val="00AE0A43"/>
    <w:rsid w:val="00AE0C9A"/>
    <w:rsid w:val="00AE0E1D"/>
    <w:rsid w:val="00AE27CD"/>
    <w:rsid w:val="00AE3180"/>
    <w:rsid w:val="00AE3CD8"/>
    <w:rsid w:val="00AE4590"/>
    <w:rsid w:val="00AE465A"/>
    <w:rsid w:val="00AE47D4"/>
    <w:rsid w:val="00AE4A18"/>
    <w:rsid w:val="00AE4EB4"/>
    <w:rsid w:val="00AE5290"/>
    <w:rsid w:val="00AE5F60"/>
    <w:rsid w:val="00AE653F"/>
    <w:rsid w:val="00AE68B3"/>
    <w:rsid w:val="00AE6E26"/>
    <w:rsid w:val="00AE6E7D"/>
    <w:rsid w:val="00AE715A"/>
    <w:rsid w:val="00AE751F"/>
    <w:rsid w:val="00AE7FDC"/>
    <w:rsid w:val="00AF0413"/>
    <w:rsid w:val="00AF4139"/>
    <w:rsid w:val="00AF4B62"/>
    <w:rsid w:val="00AF5039"/>
    <w:rsid w:val="00AF5DC9"/>
    <w:rsid w:val="00AF62E4"/>
    <w:rsid w:val="00AF7112"/>
    <w:rsid w:val="00AF7732"/>
    <w:rsid w:val="00AF7793"/>
    <w:rsid w:val="00B0033E"/>
    <w:rsid w:val="00B003C7"/>
    <w:rsid w:val="00B00842"/>
    <w:rsid w:val="00B00EBC"/>
    <w:rsid w:val="00B00FE9"/>
    <w:rsid w:val="00B01614"/>
    <w:rsid w:val="00B016A1"/>
    <w:rsid w:val="00B01FC7"/>
    <w:rsid w:val="00B02A85"/>
    <w:rsid w:val="00B03045"/>
    <w:rsid w:val="00B032B8"/>
    <w:rsid w:val="00B0377B"/>
    <w:rsid w:val="00B04E6E"/>
    <w:rsid w:val="00B06968"/>
    <w:rsid w:val="00B069D7"/>
    <w:rsid w:val="00B078A5"/>
    <w:rsid w:val="00B07931"/>
    <w:rsid w:val="00B10983"/>
    <w:rsid w:val="00B11D54"/>
    <w:rsid w:val="00B11DAB"/>
    <w:rsid w:val="00B1505A"/>
    <w:rsid w:val="00B1746D"/>
    <w:rsid w:val="00B211F2"/>
    <w:rsid w:val="00B21876"/>
    <w:rsid w:val="00B220E5"/>
    <w:rsid w:val="00B22CDE"/>
    <w:rsid w:val="00B22EE9"/>
    <w:rsid w:val="00B23956"/>
    <w:rsid w:val="00B2402C"/>
    <w:rsid w:val="00B2466D"/>
    <w:rsid w:val="00B25B45"/>
    <w:rsid w:val="00B264F0"/>
    <w:rsid w:val="00B2662E"/>
    <w:rsid w:val="00B2769D"/>
    <w:rsid w:val="00B306AC"/>
    <w:rsid w:val="00B3070A"/>
    <w:rsid w:val="00B31CBE"/>
    <w:rsid w:val="00B3288B"/>
    <w:rsid w:val="00B3296C"/>
    <w:rsid w:val="00B3332D"/>
    <w:rsid w:val="00B33965"/>
    <w:rsid w:val="00B34078"/>
    <w:rsid w:val="00B34264"/>
    <w:rsid w:val="00B34965"/>
    <w:rsid w:val="00B35519"/>
    <w:rsid w:val="00B3555B"/>
    <w:rsid w:val="00B35774"/>
    <w:rsid w:val="00B368D5"/>
    <w:rsid w:val="00B36A28"/>
    <w:rsid w:val="00B37582"/>
    <w:rsid w:val="00B37BDC"/>
    <w:rsid w:val="00B37FB4"/>
    <w:rsid w:val="00B405BB"/>
    <w:rsid w:val="00B40670"/>
    <w:rsid w:val="00B41659"/>
    <w:rsid w:val="00B41F4B"/>
    <w:rsid w:val="00B42355"/>
    <w:rsid w:val="00B438F1"/>
    <w:rsid w:val="00B43C3B"/>
    <w:rsid w:val="00B4458C"/>
    <w:rsid w:val="00B446E1"/>
    <w:rsid w:val="00B4606C"/>
    <w:rsid w:val="00B46507"/>
    <w:rsid w:val="00B467AB"/>
    <w:rsid w:val="00B469B5"/>
    <w:rsid w:val="00B46F65"/>
    <w:rsid w:val="00B47065"/>
    <w:rsid w:val="00B47109"/>
    <w:rsid w:val="00B471EE"/>
    <w:rsid w:val="00B4727A"/>
    <w:rsid w:val="00B47368"/>
    <w:rsid w:val="00B50549"/>
    <w:rsid w:val="00B517C7"/>
    <w:rsid w:val="00B52791"/>
    <w:rsid w:val="00B53343"/>
    <w:rsid w:val="00B53D5E"/>
    <w:rsid w:val="00B545B3"/>
    <w:rsid w:val="00B550C0"/>
    <w:rsid w:val="00B55B74"/>
    <w:rsid w:val="00B55FE7"/>
    <w:rsid w:val="00B568BB"/>
    <w:rsid w:val="00B56FB7"/>
    <w:rsid w:val="00B572AB"/>
    <w:rsid w:val="00B607D9"/>
    <w:rsid w:val="00B60AAE"/>
    <w:rsid w:val="00B61223"/>
    <w:rsid w:val="00B61356"/>
    <w:rsid w:val="00B6162D"/>
    <w:rsid w:val="00B62239"/>
    <w:rsid w:val="00B626D0"/>
    <w:rsid w:val="00B62DB3"/>
    <w:rsid w:val="00B638F6"/>
    <w:rsid w:val="00B63CFE"/>
    <w:rsid w:val="00B658D2"/>
    <w:rsid w:val="00B662C9"/>
    <w:rsid w:val="00B66326"/>
    <w:rsid w:val="00B66A4E"/>
    <w:rsid w:val="00B67CAF"/>
    <w:rsid w:val="00B70880"/>
    <w:rsid w:val="00B711D5"/>
    <w:rsid w:val="00B71D7A"/>
    <w:rsid w:val="00B72046"/>
    <w:rsid w:val="00B721AE"/>
    <w:rsid w:val="00B724A8"/>
    <w:rsid w:val="00B755B8"/>
    <w:rsid w:val="00B757F5"/>
    <w:rsid w:val="00B75B79"/>
    <w:rsid w:val="00B76042"/>
    <w:rsid w:val="00B771B3"/>
    <w:rsid w:val="00B7720F"/>
    <w:rsid w:val="00B80B69"/>
    <w:rsid w:val="00B82046"/>
    <w:rsid w:val="00B828CE"/>
    <w:rsid w:val="00B828E7"/>
    <w:rsid w:val="00B834EF"/>
    <w:rsid w:val="00B848D1"/>
    <w:rsid w:val="00B84943"/>
    <w:rsid w:val="00B84F2C"/>
    <w:rsid w:val="00B855F0"/>
    <w:rsid w:val="00B857D7"/>
    <w:rsid w:val="00B8640E"/>
    <w:rsid w:val="00B878CC"/>
    <w:rsid w:val="00B87B08"/>
    <w:rsid w:val="00B906F8"/>
    <w:rsid w:val="00B91277"/>
    <w:rsid w:val="00B91F73"/>
    <w:rsid w:val="00B93DFC"/>
    <w:rsid w:val="00B9467E"/>
    <w:rsid w:val="00B95DCF"/>
    <w:rsid w:val="00B97D52"/>
    <w:rsid w:val="00BA0C15"/>
    <w:rsid w:val="00BA0DE5"/>
    <w:rsid w:val="00BA1A2F"/>
    <w:rsid w:val="00BA1B07"/>
    <w:rsid w:val="00BA1D7C"/>
    <w:rsid w:val="00BA1F56"/>
    <w:rsid w:val="00BA204D"/>
    <w:rsid w:val="00BA2113"/>
    <w:rsid w:val="00BA2EAD"/>
    <w:rsid w:val="00BA6199"/>
    <w:rsid w:val="00BB17C3"/>
    <w:rsid w:val="00BB2D9D"/>
    <w:rsid w:val="00BB30A1"/>
    <w:rsid w:val="00BB3ACB"/>
    <w:rsid w:val="00BB3FE1"/>
    <w:rsid w:val="00BB4543"/>
    <w:rsid w:val="00BB4F10"/>
    <w:rsid w:val="00BB4F37"/>
    <w:rsid w:val="00BB5758"/>
    <w:rsid w:val="00BB5B34"/>
    <w:rsid w:val="00BB71A6"/>
    <w:rsid w:val="00BB71C8"/>
    <w:rsid w:val="00BB72C6"/>
    <w:rsid w:val="00BB77A1"/>
    <w:rsid w:val="00BC0D68"/>
    <w:rsid w:val="00BC125C"/>
    <w:rsid w:val="00BC147D"/>
    <w:rsid w:val="00BC1534"/>
    <w:rsid w:val="00BC184A"/>
    <w:rsid w:val="00BC1C88"/>
    <w:rsid w:val="00BC283B"/>
    <w:rsid w:val="00BC2982"/>
    <w:rsid w:val="00BC29D5"/>
    <w:rsid w:val="00BC2E2A"/>
    <w:rsid w:val="00BC324D"/>
    <w:rsid w:val="00BC3762"/>
    <w:rsid w:val="00BC3DDE"/>
    <w:rsid w:val="00BC4198"/>
    <w:rsid w:val="00BC4319"/>
    <w:rsid w:val="00BC4DDE"/>
    <w:rsid w:val="00BC4E2B"/>
    <w:rsid w:val="00BC5057"/>
    <w:rsid w:val="00BC5899"/>
    <w:rsid w:val="00BC5A19"/>
    <w:rsid w:val="00BC5FE9"/>
    <w:rsid w:val="00BC732F"/>
    <w:rsid w:val="00BC7E43"/>
    <w:rsid w:val="00BD0ADE"/>
    <w:rsid w:val="00BD2089"/>
    <w:rsid w:val="00BD210B"/>
    <w:rsid w:val="00BD3A14"/>
    <w:rsid w:val="00BD4AD9"/>
    <w:rsid w:val="00BD6CCE"/>
    <w:rsid w:val="00BD6F50"/>
    <w:rsid w:val="00BD7648"/>
    <w:rsid w:val="00BD782B"/>
    <w:rsid w:val="00BE2564"/>
    <w:rsid w:val="00BE268E"/>
    <w:rsid w:val="00BE29CC"/>
    <w:rsid w:val="00BE3545"/>
    <w:rsid w:val="00BE3D2D"/>
    <w:rsid w:val="00BE463C"/>
    <w:rsid w:val="00BE500F"/>
    <w:rsid w:val="00BE5B3E"/>
    <w:rsid w:val="00BE5E1B"/>
    <w:rsid w:val="00BE6C74"/>
    <w:rsid w:val="00BE73AE"/>
    <w:rsid w:val="00BE7419"/>
    <w:rsid w:val="00BF06ED"/>
    <w:rsid w:val="00BF130F"/>
    <w:rsid w:val="00BF1CFF"/>
    <w:rsid w:val="00BF224C"/>
    <w:rsid w:val="00BF25C7"/>
    <w:rsid w:val="00BF2BF4"/>
    <w:rsid w:val="00BF2CEC"/>
    <w:rsid w:val="00BF2ED2"/>
    <w:rsid w:val="00BF39F9"/>
    <w:rsid w:val="00BF4609"/>
    <w:rsid w:val="00BF4A30"/>
    <w:rsid w:val="00BF4DE3"/>
    <w:rsid w:val="00BF6C40"/>
    <w:rsid w:val="00BF7A20"/>
    <w:rsid w:val="00BF7A64"/>
    <w:rsid w:val="00C00171"/>
    <w:rsid w:val="00C00CE9"/>
    <w:rsid w:val="00C013BB"/>
    <w:rsid w:val="00C01F9C"/>
    <w:rsid w:val="00C02058"/>
    <w:rsid w:val="00C02168"/>
    <w:rsid w:val="00C02BFC"/>
    <w:rsid w:val="00C034C4"/>
    <w:rsid w:val="00C03C83"/>
    <w:rsid w:val="00C04286"/>
    <w:rsid w:val="00C04E8D"/>
    <w:rsid w:val="00C0612C"/>
    <w:rsid w:val="00C064E4"/>
    <w:rsid w:val="00C064ED"/>
    <w:rsid w:val="00C07193"/>
    <w:rsid w:val="00C072E1"/>
    <w:rsid w:val="00C07A34"/>
    <w:rsid w:val="00C10140"/>
    <w:rsid w:val="00C10518"/>
    <w:rsid w:val="00C105B6"/>
    <w:rsid w:val="00C107F7"/>
    <w:rsid w:val="00C10E84"/>
    <w:rsid w:val="00C11376"/>
    <w:rsid w:val="00C11383"/>
    <w:rsid w:val="00C115F0"/>
    <w:rsid w:val="00C11A34"/>
    <w:rsid w:val="00C11FBD"/>
    <w:rsid w:val="00C122D9"/>
    <w:rsid w:val="00C13DB4"/>
    <w:rsid w:val="00C14058"/>
    <w:rsid w:val="00C147AD"/>
    <w:rsid w:val="00C175F5"/>
    <w:rsid w:val="00C17796"/>
    <w:rsid w:val="00C2075E"/>
    <w:rsid w:val="00C20BB0"/>
    <w:rsid w:val="00C21630"/>
    <w:rsid w:val="00C21669"/>
    <w:rsid w:val="00C22704"/>
    <w:rsid w:val="00C22B01"/>
    <w:rsid w:val="00C22B11"/>
    <w:rsid w:val="00C23ACD"/>
    <w:rsid w:val="00C24913"/>
    <w:rsid w:val="00C252A3"/>
    <w:rsid w:val="00C255B8"/>
    <w:rsid w:val="00C25DE8"/>
    <w:rsid w:val="00C25F45"/>
    <w:rsid w:val="00C26CC3"/>
    <w:rsid w:val="00C274D3"/>
    <w:rsid w:val="00C30010"/>
    <w:rsid w:val="00C30566"/>
    <w:rsid w:val="00C3068D"/>
    <w:rsid w:val="00C30F2F"/>
    <w:rsid w:val="00C315BD"/>
    <w:rsid w:val="00C31905"/>
    <w:rsid w:val="00C325D8"/>
    <w:rsid w:val="00C328FA"/>
    <w:rsid w:val="00C34EAA"/>
    <w:rsid w:val="00C35315"/>
    <w:rsid w:val="00C35392"/>
    <w:rsid w:val="00C35C4D"/>
    <w:rsid w:val="00C36251"/>
    <w:rsid w:val="00C36922"/>
    <w:rsid w:val="00C37716"/>
    <w:rsid w:val="00C40021"/>
    <w:rsid w:val="00C40B25"/>
    <w:rsid w:val="00C40B70"/>
    <w:rsid w:val="00C4226C"/>
    <w:rsid w:val="00C431D6"/>
    <w:rsid w:val="00C4489F"/>
    <w:rsid w:val="00C44FFB"/>
    <w:rsid w:val="00C45FA4"/>
    <w:rsid w:val="00C46332"/>
    <w:rsid w:val="00C46CDE"/>
    <w:rsid w:val="00C47438"/>
    <w:rsid w:val="00C50814"/>
    <w:rsid w:val="00C50928"/>
    <w:rsid w:val="00C50F4D"/>
    <w:rsid w:val="00C51EFA"/>
    <w:rsid w:val="00C53BFC"/>
    <w:rsid w:val="00C53FE2"/>
    <w:rsid w:val="00C55CC8"/>
    <w:rsid w:val="00C55F42"/>
    <w:rsid w:val="00C565F0"/>
    <w:rsid w:val="00C56AEC"/>
    <w:rsid w:val="00C56CD4"/>
    <w:rsid w:val="00C60478"/>
    <w:rsid w:val="00C60706"/>
    <w:rsid w:val="00C63A3D"/>
    <w:rsid w:val="00C63E13"/>
    <w:rsid w:val="00C64023"/>
    <w:rsid w:val="00C64814"/>
    <w:rsid w:val="00C64BC4"/>
    <w:rsid w:val="00C65211"/>
    <w:rsid w:val="00C656A9"/>
    <w:rsid w:val="00C66689"/>
    <w:rsid w:val="00C674B0"/>
    <w:rsid w:val="00C70448"/>
    <w:rsid w:val="00C714C7"/>
    <w:rsid w:val="00C71ECB"/>
    <w:rsid w:val="00C72D3B"/>
    <w:rsid w:val="00C72E23"/>
    <w:rsid w:val="00C738DD"/>
    <w:rsid w:val="00C74256"/>
    <w:rsid w:val="00C74BD9"/>
    <w:rsid w:val="00C75022"/>
    <w:rsid w:val="00C764CA"/>
    <w:rsid w:val="00C7744A"/>
    <w:rsid w:val="00C77ABA"/>
    <w:rsid w:val="00C77D7A"/>
    <w:rsid w:val="00C800CA"/>
    <w:rsid w:val="00C8024E"/>
    <w:rsid w:val="00C80A51"/>
    <w:rsid w:val="00C80C48"/>
    <w:rsid w:val="00C81D51"/>
    <w:rsid w:val="00C82213"/>
    <w:rsid w:val="00C82451"/>
    <w:rsid w:val="00C82890"/>
    <w:rsid w:val="00C82A0E"/>
    <w:rsid w:val="00C83BB9"/>
    <w:rsid w:val="00C83DD2"/>
    <w:rsid w:val="00C85ABE"/>
    <w:rsid w:val="00C86942"/>
    <w:rsid w:val="00C9056C"/>
    <w:rsid w:val="00C90D65"/>
    <w:rsid w:val="00C917BF"/>
    <w:rsid w:val="00C91F08"/>
    <w:rsid w:val="00C94665"/>
    <w:rsid w:val="00C948AA"/>
    <w:rsid w:val="00C94CB0"/>
    <w:rsid w:val="00C952CA"/>
    <w:rsid w:val="00C95480"/>
    <w:rsid w:val="00C95D12"/>
    <w:rsid w:val="00C9651B"/>
    <w:rsid w:val="00C96960"/>
    <w:rsid w:val="00C96E75"/>
    <w:rsid w:val="00C96FC2"/>
    <w:rsid w:val="00C97364"/>
    <w:rsid w:val="00CA0001"/>
    <w:rsid w:val="00CA0322"/>
    <w:rsid w:val="00CA1166"/>
    <w:rsid w:val="00CA2344"/>
    <w:rsid w:val="00CA2418"/>
    <w:rsid w:val="00CA2444"/>
    <w:rsid w:val="00CA2837"/>
    <w:rsid w:val="00CA42DC"/>
    <w:rsid w:val="00CA48FC"/>
    <w:rsid w:val="00CA4E4B"/>
    <w:rsid w:val="00CA659A"/>
    <w:rsid w:val="00CA6C11"/>
    <w:rsid w:val="00CA71B5"/>
    <w:rsid w:val="00CB0804"/>
    <w:rsid w:val="00CB100B"/>
    <w:rsid w:val="00CB1235"/>
    <w:rsid w:val="00CB153D"/>
    <w:rsid w:val="00CB18DC"/>
    <w:rsid w:val="00CB19AC"/>
    <w:rsid w:val="00CB2E90"/>
    <w:rsid w:val="00CB31D9"/>
    <w:rsid w:val="00CB3D60"/>
    <w:rsid w:val="00CB41C8"/>
    <w:rsid w:val="00CB53E4"/>
    <w:rsid w:val="00CB55B5"/>
    <w:rsid w:val="00CB59CA"/>
    <w:rsid w:val="00CB673D"/>
    <w:rsid w:val="00CB73C2"/>
    <w:rsid w:val="00CB74F9"/>
    <w:rsid w:val="00CB7B35"/>
    <w:rsid w:val="00CC0547"/>
    <w:rsid w:val="00CC0A51"/>
    <w:rsid w:val="00CC0DFF"/>
    <w:rsid w:val="00CC1125"/>
    <w:rsid w:val="00CC1DBD"/>
    <w:rsid w:val="00CC2E73"/>
    <w:rsid w:val="00CC2FC3"/>
    <w:rsid w:val="00CC3329"/>
    <w:rsid w:val="00CC47C1"/>
    <w:rsid w:val="00CC5780"/>
    <w:rsid w:val="00CC5C80"/>
    <w:rsid w:val="00CC60A0"/>
    <w:rsid w:val="00CC7E36"/>
    <w:rsid w:val="00CC7F5B"/>
    <w:rsid w:val="00CD0162"/>
    <w:rsid w:val="00CD06A5"/>
    <w:rsid w:val="00CD10E5"/>
    <w:rsid w:val="00CD1327"/>
    <w:rsid w:val="00CD14CC"/>
    <w:rsid w:val="00CD1EB0"/>
    <w:rsid w:val="00CD23CD"/>
    <w:rsid w:val="00CD2664"/>
    <w:rsid w:val="00CD2E7A"/>
    <w:rsid w:val="00CD3838"/>
    <w:rsid w:val="00CD4CA4"/>
    <w:rsid w:val="00CD4CD2"/>
    <w:rsid w:val="00CD4D75"/>
    <w:rsid w:val="00CD4D83"/>
    <w:rsid w:val="00CD59B7"/>
    <w:rsid w:val="00CD68DB"/>
    <w:rsid w:val="00CD6E5E"/>
    <w:rsid w:val="00CD7019"/>
    <w:rsid w:val="00CE0439"/>
    <w:rsid w:val="00CE0714"/>
    <w:rsid w:val="00CE0948"/>
    <w:rsid w:val="00CE0B8D"/>
    <w:rsid w:val="00CE0D40"/>
    <w:rsid w:val="00CE1841"/>
    <w:rsid w:val="00CE195A"/>
    <w:rsid w:val="00CE1FEB"/>
    <w:rsid w:val="00CE2F9C"/>
    <w:rsid w:val="00CE3746"/>
    <w:rsid w:val="00CE3D50"/>
    <w:rsid w:val="00CE4053"/>
    <w:rsid w:val="00CE5629"/>
    <w:rsid w:val="00CE5D94"/>
    <w:rsid w:val="00CE69E8"/>
    <w:rsid w:val="00CE71F9"/>
    <w:rsid w:val="00CE77C7"/>
    <w:rsid w:val="00CE7C8A"/>
    <w:rsid w:val="00CE7CF8"/>
    <w:rsid w:val="00CE7CFD"/>
    <w:rsid w:val="00CF114C"/>
    <w:rsid w:val="00CF188E"/>
    <w:rsid w:val="00CF1E7A"/>
    <w:rsid w:val="00CF2C24"/>
    <w:rsid w:val="00CF3443"/>
    <w:rsid w:val="00CF3906"/>
    <w:rsid w:val="00CF3C77"/>
    <w:rsid w:val="00CF3E48"/>
    <w:rsid w:val="00CF5A11"/>
    <w:rsid w:val="00CF5A93"/>
    <w:rsid w:val="00CF5E89"/>
    <w:rsid w:val="00CF7610"/>
    <w:rsid w:val="00CF7B47"/>
    <w:rsid w:val="00CF7DC4"/>
    <w:rsid w:val="00D00027"/>
    <w:rsid w:val="00D00A59"/>
    <w:rsid w:val="00D024F9"/>
    <w:rsid w:val="00D0265D"/>
    <w:rsid w:val="00D03362"/>
    <w:rsid w:val="00D0401C"/>
    <w:rsid w:val="00D0402B"/>
    <w:rsid w:val="00D04032"/>
    <w:rsid w:val="00D04F7C"/>
    <w:rsid w:val="00D0517B"/>
    <w:rsid w:val="00D059CF"/>
    <w:rsid w:val="00D05FB6"/>
    <w:rsid w:val="00D0718B"/>
    <w:rsid w:val="00D071CE"/>
    <w:rsid w:val="00D07980"/>
    <w:rsid w:val="00D10986"/>
    <w:rsid w:val="00D1167C"/>
    <w:rsid w:val="00D127FC"/>
    <w:rsid w:val="00D12ACC"/>
    <w:rsid w:val="00D13B8C"/>
    <w:rsid w:val="00D13D2F"/>
    <w:rsid w:val="00D143FB"/>
    <w:rsid w:val="00D1474C"/>
    <w:rsid w:val="00D14A4A"/>
    <w:rsid w:val="00D164A2"/>
    <w:rsid w:val="00D17E78"/>
    <w:rsid w:val="00D20106"/>
    <w:rsid w:val="00D210D7"/>
    <w:rsid w:val="00D21BD6"/>
    <w:rsid w:val="00D21F82"/>
    <w:rsid w:val="00D2229A"/>
    <w:rsid w:val="00D22BA4"/>
    <w:rsid w:val="00D23E1D"/>
    <w:rsid w:val="00D25BDD"/>
    <w:rsid w:val="00D26510"/>
    <w:rsid w:val="00D27D1D"/>
    <w:rsid w:val="00D27F74"/>
    <w:rsid w:val="00D301DA"/>
    <w:rsid w:val="00D30386"/>
    <w:rsid w:val="00D30948"/>
    <w:rsid w:val="00D30FA3"/>
    <w:rsid w:val="00D3120C"/>
    <w:rsid w:val="00D315C4"/>
    <w:rsid w:val="00D31614"/>
    <w:rsid w:val="00D3182A"/>
    <w:rsid w:val="00D3194A"/>
    <w:rsid w:val="00D31C15"/>
    <w:rsid w:val="00D31DA1"/>
    <w:rsid w:val="00D324BB"/>
    <w:rsid w:val="00D32C6F"/>
    <w:rsid w:val="00D338FD"/>
    <w:rsid w:val="00D33B02"/>
    <w:rsid w:val="00D33D44"/>
    <w:rsid w:val="00D35722"/>
    <w:rsid w:val="00D36771"/>
    <w:rsid w:val="00D375EA"/>
    <w:rsid w:val="00D402C8"/>
    <w:rsid w:val="00D40D70"/>
    <w:rsid w:val="00D414C6"/>
    <w:rsid w:val="00D426FE"/>
    <w:rsid w:val="00D4298B"/>
    <w:rsid w:val="00D42A45"/>
    <w:rsid w:val="00D43237"/>
    <w:rsid w:val="00D43E4C"/>
    <w:rsid w:val="00D44037"/>
    <w:rsid w:val="00D444EF"/>
    <w:rsid w:val="00D455CF"/>
    <w:rsid w:val="00D45E2E"/>
    <w:rsid w:val="00D460FD"/>
    <w:rsid w:val="00D5055A"/>
    <w:rsid w:val="00D51F0F"/>
    <w:rsid w:val="00D5201F"/>
    <w:rsid w:val="00D53511"/>
    <w:rsid w:val="00D5355E"/>
    <w:rsid w:val="00D541ED"/>
    <w:rsid w:val="00D546D7"/>
    <w:rsid w:val="00D5679E"/>
    <w:rsid w:val="00D571C4"/>
    <w:rsid w:val="00D57927"/>
    <w:rsid w:val="00D57EB0"/>
    <w:rsid w:val="00D600D8"/>
    <w:rsid w:val="00D60402"/>
    <w:rsid w:val="00D6055E"/>
    <w:rsid w:val="00D608BD"/>
    <w:rsid w:val="00D60E28"/>
    <w:rsid w:val="00D612BA"/>
    <w:rsid w:val="00D617E4"/>
    <w:rsid w:val="00D61FEC"/>
    <w:rsid w:val="00D6217E"/>
    <w:rsid w:val="00D6287A"/>
    <w:rsid w:val="00D62C9A"/>
    <w:rsid w:val="00D63684"/>
    <w:rsid w:val="00D636FD"/>
    <w:rsid w:val="00D63911"/>
    <w:rsid w:val="00D63ECE"/>
    <w:rsid w:val="00D64A5F"/>
    <w:rsid w:val="00D6719A"/>
    <w:rsid w:val="00D70C98"/>
    <w:rsid w:val="00D7148A"/>
    <w:rsid w:val="00D71D50"/>
    <w:rsid w:val="00D72176"/>
    <w:rsid w:val="00D733B2"/>
    <w:rsid w:val="00D7346C"/>
    <w:rsid w:val="00D73D1D"/>
    <w:rsid w:val="00D740DC"/>
    <w:rsid w:val="00D740EA"/>
    <w:rsid w:val="00D74247"/>
    <w:rsid w:val="00D743C0"/>
    <w:rsid w:val="00D74CB9"/>
    <w:rsid w:val="00D75360"/>
    <w:rsid w:val="00D75E17"/>
    <w:rsid w:val="00D763F4"/>
    <w:rsid w:val="00D775B2"/>
    <w:rsid w:val="00D77937"/>
    <w:rsid w:val="00D77F49"/>
    <w:rsid w:val="00D80F15"/>
    <w:rsid w:val="00D81583"/>
    <w:rsid w:val="00D81E06"/>
    <w:rsid w:val="00D82A96"/>
    <w:rsid w:val="00D833FB"/>
    <w:rsid w:val="00D83ADF"/>
    <w:rsid w:val="00D83B12"/>
    <w:rsid w:val="00D8443F"/>
    <w:rsid w:val="00D84963"/>
    <w:rsid w:val="00D84BE9"/>
    <w:rsid w:val="00D85288"/>
    <w:rsid w:val="00D867F1"/>
    <w:rsid w:val="00D876BD"/>
    <w:rsid w:val="00D87950"/>
    <w:rsid w:val="00D879AF"/>
    <w:rsid w:val="00D87D2C"/>
    <w:rsid w:val="00D909F8"/>
    <w:rsid w:val="00D91861"/>
    <w:rsid w:val="00D9237D"/>
    <w:rsid w:val="00D92694"/>
    <w:rsid w:val="00D939FC"/>
    <w:rsid w:val="00D93C93"/>
    <w:rsid w:val="00D9577F"/>
    <w:rsid w:val="00D9583F"/>
    <w:rsid w:val="00D95890"/>
    <w:rsid w:val="00D962D6"/>
    <w:rsid w:val="00D96BF9"/>
    <w:rsid w:val="00D96D1B"/>
    <w:rsid w:val="00D9789A"/>
    <w:rsid w:val="00DA09C7"/>
    <w:rsid w:val="00DA1537"/>
    <w:rsid w:val="00DA1C16"/>
    <w:rsid w:val="00DA1D0B"/>
    <w:rsid w:val="00DA217E"/>
    <w:rsid w:val="00DA223B"/>
    <w:rsid w:val="00DA27EA"/>
    <w:rsid w:val="00DA2EF6"/>
    <w:rsid w:val="00DA2F34"/>
    <w:rsid w:val="00DA3C2A"/>
    <w:rsid w:val="00DA45FD"/>
    <w:rsid w:val="00DA4ABA"/>
    <w:rsid w:val="00DA52DB"/>
    <w:rsid w:val="00DA5471"/>
    <w:rsid w:val="00DA67CD"/>
    <w:rsid w:val="00DA7206"/>
    <w:rsid w:val="00DA7423"/>
    <w:rsid w:val="00DA7B4E"/>
    <w:rsid w:val="00DB00B6"/>
    <w:rsid w:val="00DB043A"/>
    <w:rsid w:val="00DB129F"/>
    <w:rsid w:val="00DB16C1"/>
    <w:rsid w:val="00DB229D"/>
    <w:rsid w:val="00DB29D9"/>
    <w:rsid w:val="00DB3BDA"/>
    <w:rsid w:val="00DB4DE2"/>
    <w:rsid w:val="00DB4FC1"/>
    <w:rsid w:val="00DB56F8"/>
    <w:rsid w:val="00DB5732"/>
    <w:rsid w:val="00DB5CCF"/>
    <w:rsid w:val="00DB5E0A"/>
    <w:rsid w:val="00DB61DB"/>
    <w:rsid w:val="00DB7CAC"/>
    <w:rsid w:val="00DC09DE"/>
    <w:rsid w:val="00DC343C"/>
    <w:rsid w:val="00DC39F1"/>
    <w:rsid w:val="00DC3CAA"/>
    <w:rsid w:val="00DC3D09"/>
    <w:rsid w:val="00DC3D0C"/>
    <w:rsid w:val="00DC4AA8"/>
    <w:rsid w:val="00DC51C7"/>
    <w:rsid w:val="00DC555A"/>
    <w:rsid w:val="00DC64A0"/>
    <w:rsid w:val="00DC6517"/>
    <w:rsid w:val="00DC68C2"/>
    <w:rsid w:val="00DC6BFD"/>
    <w:rsid w:val="00DC6C0A"/>
    <w:rsid w:val="00DC7B9A"/>
    <w:rsid w:val="00DD0303"/>
    <w:rsid w:val="00DD0895"/>
    <w:rsid w:val="00DD1E5C"/>
    <w:rsid w:val="00DD21FC"/>
    <w:rsid w:val="00DD23E0"/>
    <w:rsid w:val="00DD2431"/>
    <w:rsid w:val="00DD2598"/>
    <w:rsid w:val="00DD31E2"/>
    <w:rsid w:val="00DD4611"/>
    <w:rsid w:val="00DD4915"/>
    <w:rsid w:val="00DD49C6"/>
    <w:rsid w:val="00DD4E83"/>
    <w:rsid w:val="00DD5AF5"/>
    <w:rsid w:val="00DD6AEB"/>
    <w:rsid w:val="00DD702C"/>
    <w:rsid w:val="00DD780D"/>
    <w:rsid w:val="00DE1266"/>
    <w:rsid w:val="00DE16BF"/>
    <w:rsid w:val="00DE1808"/>
    <w:rsid w:val="00DE2164"/>
    <w:rsid w:val="00DE2196"/>
    <w:rsid w:val="00DE311E"/>
    <w:rsid w:val="00DE4C68"/>
    <w:rsid w:val="00DE5284"/>
    <w:rsid w:val="00DE52C3"/>
    <w:rsid w:val="00DE7BA0"/>
    <w:rsid w:val="00DF009D"/>
    <w:rsid w:val="00DF0449"/>
    <w:rsid w:val="00DF07C7"/>
    <w:rsid w:val="00DF0EC7"/>
    <w:rsid w:val="00DF133C"/>
    <w:rsid w:val="00DF16B3"/>
    <w:rsid w:val="00DF179F"/>
    <w:rsid w:val="00DF1FB4"/>
    <w:rsid w:val="00DF365D"/>
    <w:rsid w:val="00DF369F"/>
    <w:rsid w:val="00DF3B8B"/>
    <w:rsid w:val="00DF478B"/>
    <w:rsid w:val="00DF48C9"/>
    <w:rsid w:val="00DF4E4A"/>
    <w:rsid w:val="00DF5274"/>
    <w:rsid w:val="00DF5370"/>
    <w:rsid w:val="00DF547E"/>
    <w:rsid w:val="00DF66AF"/>
    <w:rsid w:val="00DF7635"/>
    <w:rsid w:val="00DF7B9A"/>
    <w:rsid w:val="00E00CE1"/>
    <w:rsid w:val="00E00DD0"/>
    <w:rsid w:val="00E01D74"/>
    <w:rsid w:val="00E02577"/>
    <w:rsid w:val="00E02861"/>
    <w:rsid w:val="00E02A81"/>
    <w:rsid w:val="00E0434F"/>
    <w:rsid w:val="00E05994"/>
    <w:rsid w:val="00E059E3"/>
    <w:rsid w:val="00E05A44"/>
    <w:rsid w:val="00E05D9E"/>
    <w:rsid w:val="00E06097"/>
    <w:rsid w:val="00E07190"/>
    <w:rsid w:val="00E1003D"/>
    <w:rsid w:val="00E10156"/>
    <w:rsid w:val="00E10436"/>
    <w:rsid w:val="00E11909"/>
    <w:rsid w:val="00E12ED4"/>
    <w:rsid w:val="00E13645"/>
    <w:rsid w:val="00E13E4A"/>
    <w:rsid w:val="00E14970"/>
    <w:rsid w:val="00E161D4"/>
    <w:rsid w:val="00E16F6E"/>
    <w:rsid w:val="00E1701A"/>
    <w:rsid w:val="00E201E6"/>
    <w:rsid w:val="00E2024F"/>
    <w:rsid w:val="00E2065A"/>
    <w:rsid w:val="00E20C88"/>
    <w:rsid w:val="00E22C62"/>
    <w:rsid w:val="00E22D04"/>
    <w:rsid w:val="00E232E2"/>
    <w:rsid w:val="00E25F88"/>
    <w:rsid w:val="00E26783"/>
    <w:rsid w:val="00E2679C"/>
    <w:rsid w:val="00E26B04"/>
    <w:rsid w:val="00E270CE"/>
    <w:rsid w:val="00E27B5F"/>
    <w:rsid w:val="00E300B4"/>
    <w:rsid w:val="00E3046D"/>
    <w:rsid w:val="00E30771"/>
    <w:rsid w:val="00E30D20"/>
    <w:rsid w:val="00E30F51"/>
    <w:rsid w:val="00E31D6E"/>
    <w:rsid w:val="00E31ED9"/>
    <w:rsid w:val="00E31FC8"/>
    <w:rsid w:val="00E32556"/>
    <w:rsid w:val="00E329D9"/>
    <w:rsid w:val="00E33018"/>
    <w:rsid w:val="00E34020"/>
    <w:rsid w:val="00E34420"/>
    <w:rsid w:val="00E3504C"/>
    <w:rsid w:val="00E35990"/>
    <w:rsid w:val="00E35A90"/>
    <w:rsid w:val="00E3624D"/>
    <w:rsid w:val="00E36B11"/>
    <w:rsid w:val="00E37AF2"/>
    <w:rsid w:val="00E40500"/>
    <w:rsid w:val="00E40788"/>
    <w:rsid w:val="00E41DE0"/>
    <w:rsid w:val="00E42257"/>
    <w:rsid w:val="00E42408"/>
    <w:rsid w:val="00E42D39"/>
    <w:rsid w:val="00E4736C"/>
    <w:rsid w:val="00E47AAA"/>
    <w:rsid w:val="00E50797"/>
    <w:rsid w:val="00E5281A"/>
    <w:rsid w:val="00E52A0C"/>
    <w:rsid w:val="00E54A32"/>
    <w:rsid w:val="00E56331"/>
    <w:rsid w:val="00E566BA"/>
    <w:rsid w:val="00E56EB5"/>
    <w:rsid w:val="00E57031"/>
    <w:rsid w:val="00E57272"/>
    <w:rsid w:val="00E577A1"/>
    <w:rsid w:val="00E5781F"/>
    <w:rsid w:val="00E57DEF"/>
    <w:rsid w:val="00E60298"/>
    <w:rsid w:val="00E60519"/>
    <w:rsid w:val="00E60AEC"/>
    <w:rsid w:val="00E60AF0"/>
    <w:rsid w:val="00E60BEF"/>
    <w:rsid w:val="00E612C3"/>
    <w:rsid w:val="00E6214C"/>
    <w:rsid w:val="00E62351"/>
    <w:rsid w:val="00E62F17"/>
    <w:rsid w:val="00E63708"/>
    <w:rsid w:val="00E6370F"/>
    <w:rsid w:val="00E6390F"/>
    <w:rsid w:val="00E63CA1"/>
    <w:rsid w:val="00E64B6D"/>
    <w:rsid w:val="00E65240"/>
    <w:rsid w:val="00E658DE"/>
    <w:rsid w:val="00E66933"/>
    <w:rsid w:val="00E66EDB"/>
    <w:rsid w:val="00E67008"/>
    <w:rsid w:val="00E67DE2"/>
    <w:rsid w:val="00E70C2D"/>
    <w:rsid w:val="00E70E59"/>
    <w:rsid w:val="00E71B76"/>
    <w:rsid w:val="00E71E06"/>
    <w:rsid w:val="00E72260"/>
    <w:rsid w:val="00E7258B"/>
    <w:rsid w:val="00E73953"/>
    <w:rsid w:val="00E73C90"/>
    <w:rsid w:val="00E7495B"/>
    <w:rsid w:val="00E74B30"/>
    <w:rsid w:val="00E80278"/>
    <w:rsid w:val="00E80BDD"/>
    <w:rsid w:val="00E82CED"/>
    <w:rsid w:val="00E82DAF"/>
    <w:rsid w:val="00E83D1E"/>
    <w:rsid w:val="00E848CB"/>
    <w:rsid w:val="00E8740C"/>
    <w:rsid w:val="00E90422"/>
    <w:rsid w:val="00E90BD0"/>
    <w:rsid w:val="00E9151C"/>
    <w:rsid w:val="00E922B8"/>
    <w:rsid w:val="00E9268F"/>
    <w:rsid w:val="00E9284A"/>
    <w:rsid w:val="00E93716"/>
    <w:rsid w:val="00E94377"/>
    <w:rsid w:val="00E951A5"/>
    <w:rsid w:val="00E9589B"/>
    <w:rsid w:val="00E959C2"/>
    <w:rsid w:val="00E95B7B"/>
    <w:rsid w:val="00E974CF"/>
    <w:rsid w:val="00E975E1"/>
    <w:rsid w:val="00EA0243"/>
    <w:rsid w:val="00EA0C38"/>
    <w:rsid w:val="00EA0D7E"/>
    <w:rsid w:val="00EA1021"/>
    <w:rsid w:val="00EA1A64"/>
    <w:rsid w:val="00EA1AEF"/>
    <w:rsid w:val="00EA2405"/>
    <w:rsid w:val="00EA28A7"/>
    <w:rsid w:val="00EA2D6B"/>
    <w:rsid w:val="00EA31E7"/>
    <w:rsid w:val="00EA3264"/>
    <w:rsid w:val="00EA3F7B"/>
    <w:rsid w:val="00EA5C0A"/>
    <w:rsid w:val="00EA5C6C"/>
    <w:rsid w:val="00EA623B"/>
    <w:rsid w:val="00EA6CFA"/>
    <w:rsid w:val="00EA6DB6"/>
    <w:rsid w:val="00EA6E64"/>
    <w:rsid w:val="00EA7E66"/>
    <w:rsid w:val="00EB0067"/>
    <w:rsid w:val="00EB1C03"/>
    <w:rsid w:val="00EB2A84"/>
    <w:rsid w:val="00EB36C3"/>
    <w:rsid w:val="00EB443E"/>
    <w:rsid w:val="00EB4F72"/>
    <w:rsid w:val="00EB57B9"/>
    <w:rsid w:val="00EC01B6"/>
    <w:rsid w:val="00EC076F"/>
    <w:rsid w:val="00EC0CEE"/>
    <w:rsid w:val="00EC1563"/>
    <w:rsid w:val="00EC1A9A"/>
    <w:rsid w:val="00EC1CA6"/>
    <w:rsid w:val="00EC1EBE"/>
    <w:rsid w:val="00EC28BA"/>
    <w:rsid w:val="00EC2CDC"/>
    <w:rsid w:val="00EC2E54"/>
    <w:rsid w:val="00EC67A2"/>
    <w:rsid w:val="00EC689E"/>
    <w:rsid w:val="00EC761D"/>
    <w:rsid w:val="00EC771E"/>
    <w:rsid w:val="00ED0953"/>
    <w:rsid w:val="00ED0AB2"/>
    <w:rsid w:val="00ED0D3D"/>
    <w:rsid w:val="00ED2592"/>
    <w:rsid w:val="00ED2778"/>
    <w:rsid w:val="00ED336E"/>
    <w:rsid w:val="00ED3ECE"/>
    <w:rsid w:val="00ED45F9"/>
    <w:rsid w:val="00ED4872"/>
    <w:rsid w:val="00ED51AE"/>
    <w:rsid w:val="00ED588A"/>
    <w:rsid w:val="00ED5EB8"/>
    <w:rsid w:val="00ED6492"/>
    <w:rsid w:val="00ED64B0"/>
    <w:rsid w:val="00ED6919"/>
    <w:rsid w:val="00ED6A15"/>
    <w:rsid w:val="00ED7482"/>
    <w:rsid w:val="00ED7760"/>
    <w:rsid w:val="00EE0372"/>
    <w:rsid w:val="00EE0B28"/>
    <w:rsid w:val="00EE1313"/>
    <w:rsid w:val="00EE16EE"/>
    <w:rsid w:val="00EE2896"/>
    <w:rsid w:val="00EE3ED0"/>
    <w:rsid w:val="00EE4D99"/>
    <w:rsid w:val="00EE54F4"/>
    <w:rsid w:val="00EE6297"/>
    <w:rsid w:val="00EE7185"/>
    <w:rsid w:val="00EE72AC"/>
    <w:rsid w:val="00EF03DD"/>
    <w:rsid w:val="00EF04C8"/>
    <w:rsid w:val="00EF0526"/>
    <w:rsid w:val="00EF15FE"/>
    <w:rsid w:val="00EF2513"/>
    <w:rsid w:val="00EF286D"/>
    <w:rsid w:val="00EF3DE5"/>
    <w:rsid w:val="00EF3F3A"/>
    <w:rsid w:val="00EF4592"/>
    <w:rsid w:val="00EF47DD"/>
    <w:rsid w:val="00EF4932"/>
    <w:rsid w:val="00EF67DD"/>
    <w:rsid w:val="00EF7861"/>
    <w:rsid w:val="00F001C3"/>
    <w:rsid w:val="00F00544"/>
    <w:rsid w:val="00F030CE"/>
    <w:rsid w:val="00F035A5"/>
    <w:rsid w:val="00F04034"/>
    <w:rsid w:val="00F0458F"/>
    <w:rsid w:val="00F046AC"/>
    <w:rsid w:val="00F04C58"/>
    <w:rsid w:val="00F04CB0"/>
    <w:rsid w:val="00F04F50"/>
    <w:rsid w:val="00F076A6"/>
    <w:rsid w:val="00F07EEE"/>
    <w:rsid w:val="00F103CD"/>
    <w:rsid w:val="00F1143E"/>
    <w:rsid w:val="00F12035"/>
    <w:rsid w:val="00F1283C"/>
    <w:rsid w:val="00F13940"/>
    <w:rsid w:val="00F15D74"/>
    <w:rsid w:val="00F16560"/>
    <w:rsid w:val="00F16733"/>
    <w:rsid w:val="00F172D5"/>
    <w:rsid w:val="00F17CF4"/>
    <w:rsid w:val="00F17F58"/>
    <w:rsid w:val="00F204D6"/>
    <w:rsid w:val="00F215F1"/>
    <w:rsid w:val="00F21F1B"/>
    <w:rsid w:val="00F2201A"/>
    <w:rsid w:val="00F23DD6"/>
    <w:rsid w:val="00F241B6"/>
    <w:rsid w:val="00F25313"/>
    <w:rsid w:val="00F25AAD"/>
    <w:rsid w:val="00F25DB3"/>
    <w:rsid w:val="00F26351"/>
    <w:rsid w:val="00F2645D"/>
    <w:rsid w:val="00F26E89"/>
    <w:rsid w:val="00F2742E"/>
    <w:rsid w:val="00F302F9"/>
    <w:rsid w:val="00F30A11"/>
    <w:rsid w:val="00F318A0"/>
    <w:rsid w:val="00F31FF8"/>
    <w:rsid w:val="00F32071"/>
    <w:rsid w:val="00F32151"/>
    <w:rsid w:val="00F32352"/>
    <w:rsid w:val="00F32514"/>
    <w:rsid w:val="00F33271"/>
    <w:rsid w:val="00F334DA"/>
    <w:rsid w:val="00F34ACD"/>
    <w:rsid w:val="00F3525F"/>
    <w:rsid w:val="00F35C7E"/>
    <w:rsid w:val="00F35CB8"/>
    <w:rsid w:val="00F35E77"/>
    <w:rsid w:val="00F3694B"/>
    <w:rsid w:val="00F36E92"/>
    <w:rsid w:val="00F40D3B"/>
    <w:rsid w:val="00F4143B"/>
    <w:rsid w:val="00F4194D"/>
    <w:rsid w:val="00F42061"/>
    <w:rsid w:val="00F438AD"/>
    <w:rsid w:val="00F43C66"/>
    <w:rsid w:val="00F443A1"/>
    <w:rsid w:val="00F44A80"/>
    <w:rsid w:val="00F45160"/>
    <w:rsid w:val="00F4549E"/>
    <w:rsid w:val="00F46787"/>
    <w:rsid w:val="00F47061"/>
    <w:rsid w:val="00F47287"/>
    <w:rsid w:val="00F4737A"/>
    <w:rsid w:val="00F47594"/>
    <w:rsid w:val="00F47BD7"/>
    <w:rsid w:val="00F47DFD"/>
    <w:rsid w:val="00F505AB"/>
    <w:rsid w:val="00F50AB3"/>
    <w:rsid w:val="00F512CE"/>
    <w:rsid w:val="00F516CB"/>
    <w:rsid w:val="00F51F07"/>
    <w:rsid w:val="00F5240B"/>
    <w:rsid w:val="00F52664"/>
    <w:rsid w:val="00F52995"/>
    <w:rsid w:val="00F53080"/>
    <w:rsid w:val="00F53460"/>
    <w:rsid w:val="00F53974"/>
    <w:rsid w:val="00F53CA5"/>
    <w:rsid w:val="00F54AB6"/>
    <w:rsid w:val="00F55914"/>
    <w:rsid w:val="00F57A92"/>
    <w:rsid w:val="00F60549"/>
    <w:rsid w:val="00F606C3"/>
    <w:rsid w:val="00F61CBE"/>
    <w:rsid w:val="00F631C0"/>
    <w:rsid w:val="00F6324C"/>
    <w:rsid w:val="00F63F3E"/>
    <w:rsid w:val="00F644CE"/>
    <w:rsid w:val="00F64828"/>
    <w:rsid w:val="00F64B66"/>
    <w:rsid w:val="00F6506B"/>
    <w:rsid w:val="00F663D4"/>
    <w:rsid w:val="00F66D48"/>
    <w:rsid w:val="00F67051"/>
    <w:rsid w:val="00F6753E"/>
    <w:rsid w:val="00F67A00"/>
    <w:rsid w:val="00F704DC"/>
    <w:rsid w:val="00F708C8"/>
    <w:rsid w:val="00F70B95"/>
    <w:rsid w:val="00F70D54"/>
    <w:rsid w:val="00F716DB"/>
    <w:rsid w:val="00F718F2"/>
    <w:rsid w:val="00F723E2"/>
    <w:rsid w:val="00F732F5"/>
    <w:rsid w:val="00F73E1C"/>
    <w:rsid w:val="00F748CC"/>
    <w:rsid w:val="00F74CC7"/>
    <w:rsid w:val="00F751D9"/>
    <w:rsid w:val="00F75558"/>
    <w:rsid w:val="00F75851"/>
    <w:rsid w:val="00F758A5"/>
    <w:rsid w:val="00F75F5F"/>
    <w:rsid w:val="00F760B8"/>
    <w:rsid w:val="00F76838"/>
    <w:rsid w:val="00F77613"/>
    <w:rsid w:val="00F77706"/>
    <w:rsid w:val="00F77A6D"/>
    <w:rsid w:val="00F80227"/>
    <w:rsid w:val="00F80758"/>
    <w:rsid w:val="00F80EBF"/>
    <w:rsid w:val="00F8105C"/>
    <w:rsid w:val="00F8106D"/>
    <w:rsid w:val="00F81128"/>
    <w:rsid w:val="00F82FFE"/>
    <w:rsid w:val="00F83706"/>
    <w:rsid w:val="00F83E67"/>
    <w:rsid w:val="00F841C1"/>
    <w:rsid w:val="00F845B6"/>
    <w:rsid w:val="00F846C8"/>
    <w:rsid w:val="00F84779"/>
    <w:rsid w:val="00F85308"/>
    <w:rsid w:val="00F853C8"/>
    <w:rsid w:val="00F855AC"/>
    <w:rsid w:val="00F85732"/>
    <w:rsid w:val="00F85CF8"/>
    <w:rsid w:val="00F861F5"/>
    <w:rsid w:val="00F86DBC"/>
    <w:rsid w:val="00F87F38"/>
    <w:rsid w:val="00F906FC"/>
    <w:rsid w:val="00F90E78"/>
    <w:rsid w:val="00F916FB"/>
    <w:rsid w:val="00F91CDA"/>
    <w:rsid w:val="00F93146"/>
    <w:rsid w:val="00F93F20"/>
    <w:rsid w:val="00F94465"/>
    <w:rsid w:val="00F94E5B"/>
    <w:rsid w:val="00F97579"/>
    <w:rsid w:val="00F975AC"/>
    <w:rsid w:val="00F97B83"/>
    <w:rsid w:val="00FA0614"/>
    <w:rsid w:val="00FA12D0"/>
    <w:rsid w:val="00FA29BD"/>
    <w:rsid w:val="00FA38D3"/>
    <w:rsid w:val="00FA43F2"/>
    <w:rsid w:val="00FA4B30"/>
    <w:rsid w:val="00FA5399"/>
    <w:rsid w:val="00FA586F"/>
    <w:rsid w:val="00FA63CD"/>
    <w:rsid w:val="00FA6ADB"/>
    <w:rsid w:val="00FA6C4D"/>
    <w:rsid w:val="00FA71F4"/>
    <w:rsid w:val="00FA7880"/>
    <w:rsid w:val="00FA799E"/>
    <w:rsid w:val="00FB0A00"/>
    <w:rsid w:val="00FB0AE1"/>
    <w:rsid w:val="00FB303E"/>
    <w:rsid w:val="00FB3106"/>
    <w:rsid w:val="00FB3801"/>
    <w:rsid w:val="00FB3AF8"/>
    <w:rsid w:val="00FB42BB"/>
    <w:rsid w:val="00FB4A24"/>
    <w:rsid w:val="00FB5383"/>
    <w:rsid w:val="00FB5536"/>
    <w:rsid w:val="00FB57AA"/>
    <w:rsid w:val="00FB5AAB"/>
    <w:rsid w:val="00FB6A0D"/>
    <w:rsid w:val="00FB7288"/>
    <w:rsid w:val="00FB7B73"/>
    <w:rsid w:val="00FC0083"/>
    <w:rsid w:val="00FC0CC4"/>
    <w:rsid w:val="00FC13F9"/>
    <w:rsid w:val="00FC1641"/>
    <w:rsid w:val="00FC1EB2"/>
    <w:rsid w:val="00FC1FB5"/>
    <w:rsid w:val="00FC371A"/>
    <w:rsid w:val="00FC3D46"/>
    <w:rsid w:val="00FC5666"/>
    <w:rsid w:val="00FC58EA"/>
    <w:rsid w:val="00FC6308"/>
    <w:rsid w:val="00FC6EB3"/>
    <w:rsid w:val="00FC74E3"/>
    <w:rsid w:val="00FC7ABE"/>
    <w:rsid w:val="00FD0174"/>
    <w:rsid w:val="00FD0667"/>
    <w:rsid w:val="00FD0688"/>
    <w:rsid w:val="00FD06CC"/>
    <w:rsid w:val="00FD0C96"/>
    <w:rsid w:val="00FD0FD0"/>
    <w:rsid w:val="00FD1844"/>
    <w:rsid w:val="00FD1D47"/>
    <w:rsid w:val="00FD1E77"/>
    <w:rsid w:val="00FD2974"/>
    <w:rsid w:val="00FD2E2F"/>
    <w:rsid w:val="00FD37C9"/>
    <w:rsid w:val="00FD3978"/>
    <w:rsid w:val="00FD4C17"/>
    <w:rsid w:val="00FD4FF2"/>
    <w:rsid w:val="00FD5994"/>
    <w:rsid w:val="00FD63F3"/>
    <w:rsid w:val="00FD6455"/>
    <w:rsid w:val="00FD6901"/>
    <w:rsid w:val="00FD6E07"/>
    <w:rsid w:val="00FD70B2"/>
    <w:rsid w:val="00FD71FD"/>
    <w:rsid w:val="00FD7366"/>
    <w:rsid w:val="00FE041D"/>
    <w:rsid w:val="00FE0923"/>
    <w:rsid w:val="00FE1CBC"/>
    <w:rsid w:val="00FE1F58"/>
    <w:rsid w:val="00FE269D"/>
    <w:rsid w:val="00FE31BB"/>
    <w:rsid w:val="00FE57A8"/>
    <w:rsid w:val="00FE6314"/>
    <w:rsid w:val="00FE74E1"/>
    <w:rsid w:val="00FF0364"/>
    <w:rsid w:val="00FF0A53"/>
    <w:rsid w:val="00FF1551"/>
    <w:rsid w:val="00FF1E8B"/>
    <w:rsid w:val="00FF4441"/>
    <w:rsid w:val="00FF4F66"/>
    <w:rsid w:val="00FF515F"/>
    <w:rsid w:val="00FF52C8"/>
    <w:rsid w:val="00FF53A8"/>
    <w:rsid w:val="00FF54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02B6E"/>
  <w15:docId w15:val="{61D7567B-DFF2-EA42-ADAC-9FEFEB9A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566BA"/>
    <w:pPr>
      <w:spacing w:before="240" w:after="240" w:line="360" w:lineRule="auto"/>
    </w:pPr>
  </w:style>
  <w:style w:type="paragraph" w:styleId="Heading1">
    <w:name w:val="heading 1"/>
    <w:basedOn w:val="Normal"/>
    <w:next w:val="BodyText"/>
    <w:link w:val="Heading1Char"/>
    <w:uiPriority w:val="1"/>
    <w:qFormat/>
    <w:rsid w:val="00BD6CCE"/>
    <w:pPr>
      <w:keepNext/>
      <w:keepLines/>
      <w:spacing w:after="360" w:line="680" w:lineRule="atLeast"/>
      <w:outlineLvl w:val="0"/>
    </w:pPr>
    <w:rPr>
      <w:rFonts w:ascii="VAG Rounded" w:eastAsiaTheme="majorEastAsia" w:hAnsi="VAG Rounded" w:cstheme="majorBidi"/>
      <w:b/>
      <w:color w:val="005496" w:themeColor="text2"/>
      <w:spacing w:val="14"/>
      <w:sz w:val="56"/>
      <w:szCs w:val="32"/>
    </w:rPr>
  </w:style>
  <w:style w:type="paragraph" w:styleId="Heading2">
    <w:name w:val="heading 2"/>
    <w:basedOn w:val="Normal"/>
    <w:next w:val="Normal"/>
    <w:link w:val="Heading2Char"/>
    <w:uiPriority w:val="9"/>
    <w:qFormat/>
    <w:rsid w:val="008400F3"/>
    <w:pPr>
      <w:keepNext/>
      <w:keepLines/>
      <w:spacing w:after="0"/>
      <w:outlineLvl w:val="1"/>
    </w:pPr>
    <w:rPr>
      <w:rFonts w:ascii="VAG Rounded" w:eastAsia="Times New Roman" w:hAnsi="VAG Rounded" w:cs="Times New Roman"/>
      <w:b/>
      <w:color w:val="005496"/>
      <w:sz w:val="52"/>
      <w:szCs w:val="26"/>
    </w:rPr>
  </w:style>
  <w:style w:type="paragraph" w:styleId="Heading3">
    <w:name w:val="heading 3"/>
    <w:basedOn w:val="Normal"/>
    <w:next w:val="Normal"/>
    <w:link w:val="Heading3Char"/>
    <w:uiPriority w:val="1"/>
    <w:qFormat/>
    <w:rsid w:val="00897833"/>
    <w:pPr>
      <w:keepNext/>
      <w:keepLines/>
      <w:spacing w:before="0"/>
      <w:outlineLvl w:val="2"/>
    </w:pPr>
    <w:rPr>
      <w:rFonts w:ascii="VAG Rounded" w:eastAsia="Times New Roman" w:hAnsi="VAG Rounded" w:cs="Times New Roman"/>
      <w:b/>
      <w:color w:val="00884F"/>
      <w:sz w:val="32"/>
      <w:szCs w:val="32"/>
    </w:rPr>
  </w:style>
  <w:style w:type="paragraph" w:styleId="Heading4">
    <w:name w:val="heading 4"/>
    <w:basedOn w:val="Normal"/>
    <w:next w:val="Normal"/>
    <w:link w:val="Heading4Char"/>
    <w:uiPriority w:val="1"/>
    <w:qFormat/>
    <w:rsid w:val="00897833"/>
    <w:pPr>
      <w:keepNext/>
      <w:keepLines/>
      <w:outlineLvl w:val="3"/>
    </w:pPr>
    <w:rPr>
      <w:rFonts w:ascii="Arial" w:eastAsia="Times New Roman" w:hAnsi="Arial" w:cs="Times New Roman"/>
      <w:b/>
      <w:iCs/>
      <w:color w:val="005496"/>
      <w:sz w:val="28"/>
    </w:rPr>
  </w:style>
  <w:style w:type="paragraph" w:styleId="Heading5">
    <w:name w:val="heading 5"/>
    <w:basedOn w:val="Normal"/>
    <w:next w:val="Normal"/>
    <w:link w:val="Heading5Char"/>
    <w:uiPriority w:val="1"/>
    <w:qFormat/>
    <w:rsid w:val="00897833"/>
    <w:pPr>
      <w:keepNext/>
      <w:keepLines/>
      <w:spacing w:before="40" w:after="0"/>
      <w:outlineLvl w:val="4"/>
    </w:pPr>
    <w:rPr>
      <w:rFonts w:ascii="Arial" w:eastAsia="Times New Roman" w:hAnsi="Arial" w:cs="Times New Roman"/>
      <w:b/>
      <w:color w:val="005496"/>
    </w:rPr>
  </w:style>
  <w:style w:type="paragraph" w:styleId="Heading6">
    <w:name w:val="heading 6"/>
    <w:basedOn w:val="Normal"/>
    <w:next w:val="Normal"/>
    <w:link w:val="Heading6Char"/>
    <w:uiPriority w:val="4"/>
    <w:unhideWhenUsed/>
    <w:qFormat/>
    <w:rsid w:val="005334ED"/>
    <w:pPr>
      <w:keepNext/>
      <w:keepLines/>
      <w:spacing w:before="40" w:after="0"/>
      <w:outlineLvl w:val="5"/>
    </w:pPr>
    <w:rPr>
      <w:rFonts w:asciiTheme="majorHAnsi" w:eastAsiaTheme="majorEastAsia" w:hAnsiTheme="majorHAnsi" w:cstheme="majorBidi"/>
      <w:color w:val="00294A"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D6CCE"/>
    <w:rPr>
      <w:rFonts w:ascii="VAG Rounded" w:eastAsiaTheme="majorEastAsia" w:hAnsi="VAG Rounded" w:cstheme="majorBidi"/>
      <w:b/>
      <w:color w:val="005496" w:themeColor="text2"/>
      <w:spacing w:val="14"/>
      <w:sz w:val="56"/>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75851"/>
    <w:pPr>
      <w:tabs>
        <w:tab w:val="center" w:pos="4680"/>
        <w:tab w:val="right" w:pos="9360"/>
      </w:tabs>
      <w:spacing w:after="0" w:line="240" w:lineRule="auto"/>
    </w:pPr>
    <w:rPr>
      <w:rFonts w:ascii="VAG Rounded" w:hAnsi="VAG Rounded"/>
      <w:color w:val="005496" w:themeColor="accent1"/>
    </w:rPr>
  </w:style>
  <w:style w:type="character" w:customStyle="1" w:styleId="FooterChar">
    <w:name w:val="Footer Char"/>
    <w:basedOn w:val="DefaultParagraphFont"/>
    <w:link w:val="Footer"/>
    <w:uiPriority w:val="99"/>
    <w:rsid w:val="00F75851"/>
    <w:rPr>
      <w:rFonts w:ascii="VAG Rounded" w:hAnsi="VAG Rounded"/>
      <w:color w:val="005496" w:themeColor="accent1"/>
    </w:rPr>
  </w:style>
  <w:style w:type="paragraph" w:styleId="TOC1">
    <w:name w:val="toc 1"/>
    <w:basedOn w:val="Normal"/>
    <w:next w:val="Normal"/>
    <w:autoRedefine/>
    <w:uiPriority w:val="39"/>
    <w:rsid w:val="00BA1B07"/>
    <w:pPr>
      <w:pBdr>
        <w:bottom w:val="single" w:sz="4" w:space="3" w:color="auto"/>
        <w:between w:val="single" w:sz="4" w:space="3" w:color="auto"/>
      </w:pBdr>
      <w:tabs>
        <w:tab w:val="right" w:pos="9628"/>
      </w:tabs>
      <w:spacing w:after="0"/>
    </w:pPr>
    <w:rPr>
      <w:b/>
      <w:bCs/>
      <w:noProof/>
    </w:rPr>
  </w:style>
  <w:style w:type="character" w:styleId="Hyperlink">
    <w:name w:val="Hyperlink"/>
    <w:basedOn w:val="DefaultParagraphFont"/>
    <w:uiPriority w:val="99"/>
    <w:qFormat/>
    <w:rsid w:val="000D525D"/>
    <w:rPr>
      <w:b w:val="0"/>
      <w:i w:val="0"/>
      <w:color w:val="005496"/>
      <w:u w:val="single"/>
    </w:rPr>
  </w:style>
  <w:style w:type="paragraph" w:styleId="TOCHeading">
    <w:name w:val="TOC Heading"/>
    <w:basedOn w:val="Heading2"/>
    <w:next w:val="Normal"/>
    <w:uiPriority w:val="39"/>
    <w:qFormat/>
    <w:rsid w:val="008400F3"/>
    <w:pPr>
      <w:spacing w:after="240"/>
      <w:outlineLvl w:val="9"/>
    </w:pPr>
    <w:rPr>
      <w:color w:val="005496" w:themeColor="text2"/>
      <w:lang w:val="en-US"/>
    </w:rPr>
  </w:style>
  <w:style w:type="character" w:customStyle="1" w:styleId="Heading2Char">
    <w:name w:val="Heading 2 Char"/>
    <w:basedOn w:val="DefaultParagraphFont"/>
    <w:link w:val="Heading2"/>
    <w:uiPriority w:val="9"/>
    <w:rsid w:val="008400F3"/>
    <w:rPr>
      <w:rFonts w:ascii="VAG Rounded" w:eastAsia="Times New Roman" w:hAnsi="VAG Rounded" w:cs="Times New Roman"/>
      <w:b/>
      <w:color w:val="005496"/>
      <w:sz w:val="52"/>
      <w:szCs w:val="26"/>
    </w:rPr>
  </w:style>
  <w:style w:type="character" w:customStyle="1" w:styleId="Heading3Char">
    <w:name w:val="Heading 3 Char"/>
    <w:basedOn w:val="DefaultParagraphFont"/>
    <w:link w:val="Heading3"/>
    <w:uiPriority w:val="1"/>
    <w:rsid w:val="005B4E1A"/>
    <w:rPr>
      <w:rFonts w:ascii="VAG Rounded" w:eastAsia="Times New Roman" w:hAnsi="VAG Rounded" w:cs="Times New Roman"/>
      <w:b/>
      <w:color w:val="00884F"/>
      <w:sz w:val="32"/>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uiPriority w:val="1"/>
    <w:semiHidden/>
    <w:rsid w:val="00FC0083"/>
    <w:pPr>
      <w:ind w:left="720" w:hanging="360"/>
    </w:pPr>
  </w:style>
  <w:style w:type="paragraph" w:styleId="ListParagraph">
    <w:name w:val="List Paragraph"/>
    <w:aliases w:val="Numbered List"/>
    <w:basedOn w:val="Normal"/>
    <w:link w:val="ListParagraphChar"/>
    <w:uiPriority w:val="34"/>
    <w:qFormat/>
    <w:rsid w:val="00DA2F34"/>
    <w:pPr>
      <w:numPr>
        <w:numId w:val="4"/>
      </w:numPr>
      <w:tabs>
        <w:tab w:val="num" w:pos="360"/>
      </w:tabs>
      <w:ind w:left="714" w:hanging="357"/>
    </w:pPr>
    <w:rPr>
      <w:rFonts w:ascii="Arial" w:eastAsia="Arial" w:hAnsi="Arial" w:cs="Times New Roman"/>
      <w:lang w:val="en-US"/>
    </w:rPr>
  </w:style>
  <w:style w:type="numbering" w:customStyle="1" w:styleId="PWDABullets">
    <w:name w:val="PWDA_Bullets"/>
    <w:uiPriority w:val="99"/>
    <w:rsid w:val="001234CE"/>
    <w:pPr>
      <w:numPr>
        <w:numId w:val="1"/>
      </w:numPr>
    </w:pPr>
  </w:style>
  <w:style w:type="paragraph" w:customStyle="1" w:styleId="NumberedMultiList">
    <w:name w:val="Numbered Multi List"/>
    <w:basedOn w:val="Normal"/>
    <w:uiPriority w:val="1"/>
    <w:unhideWhenUsed/>
    <w:qFormat/>
    <w:rsid w:val="00C02BFC"/>
    <w:pPr>
      <w:numPr>
        <w:numId w:val="2"/>
      </w:numPr>
    </w:pPr>
  </w:style>
  <w:style w:type="numbering" w:customStyle="1" w:styleId="PWDANumbered">
    <w:name w:val="PWDA_Numbered"/>
    <w:uiPriority w:val="99"/>
    <w:rsid w:val="00C02BFC"/>
    <w:pPr>
      <w:numPr>
        <w:numId w:val="2"/>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E6370F"/>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1"/>
    <w:rsid w:val="005B4E1A"/>
    <w:rPr>
      <w:rFonts w:ascii="Arial" w:eastAsia="Times New Roman" w:hAnsi="Arial" w:cs="Times New Roman"/>
      <w:b/>
      <w:iCs/>
      <w:color w:val="005496"/>
      <w:sz w:val="28"/>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styleId="BalloonText">
    <w:name w:val="Balloon Text"/>
    <w:basedOn w:val="Normal"/>
    <w:link w:val="BalloonTextChar"/>
    <w:uiPriority w:val="99"/>
    <w:semiHidden/>
    <w:unhideWhenUsed/>
    <w:rsid w:val="00A8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B6"/>
    <w:rPr>
      <w:rFonts w:ascii="Tahoma" w:hAnsi="Tahoma" w:cs="Tahoma"/>
      <w:sz w:val="16"/>
      <w:szCs w:val="16"/>
    </w:rPr>
  </w:style>
  <w:style w:type="paragraph" w:styleId="BodyText">
    <w:name w:val="Body Text"/>
    <w:basedOn w:val="Normal"/>
    <w:link w:val="BodyTextChar"/>
    <w:qFormat/>
    <w:rsid w:val="00897833"/>
    <w:rPr>
      <w:rFonts w:ascii="Arial" w:eastAsia="Arial" w:hAnsi="Arial" w:cs="Arial"/>
      <w:color w:val="000000"/>
      <w:lang w:val="en-US"/>
    </w:rPr>
  </w:style>
  <w:style w:type="character" w:customStyle="1" w:styleId="BodyTextChar">
    <w:name w:val="Body Text Char"/>
    <w:basedOn w:val="DefaultParagraphFont"/>
    <w:link w:val="BodyText"/>
    <w:rsid w:val="00897833"/>
    <w:rPr>
      <w:rFonts w:ascii="Arial" w:eastAsia="Arial" w:hAnsi="Arial" w:cs="Arial"/>
      <w:color w:val="000000"/>
      <w:lang w:val="en-US"/>
    </w:rPr>
  </w:style>
  <w:style w:type="paragraph" w:customStyle="1" w:styleId="TableParagraph">
    <w:name w:val="Table Paragraph"/>
    <w:basedOn w:val="Normal"/>
    <w:uiPriority w:val="14"/>
    <w:qFormat/>
    <w:rsid w:val="007914D2"/>
    <w:pPr>
      <w:widowControl w:val="0"/>
      <w:autoSpaceDE w:val="0"/>
      <w:autoSpaceDN w:val="0"/>
      <w:adjustRightInd w:val="0"/>
      <w:spacing w:after="0" w:line="240" w:lineRule="auto"/>
    </w:pPr>
    <w:rPr>
      <w:rFonts w:ascii="Times New Roman" w:eastAsiaTheme="minorEastAsia" w:hAnsi="Times New Roman" w:cs="Times New Roman"/>
      <w:lang w:eastAsia="en-AU"/>
    </w:rPr>
  </w:style>
  <w:style w:type="character" w:styleId="CommentReference">
    <w:name w:val="annotation reference"/>
    <w:basedOn w:val="DefaultParagraphFont"/>
    <w:uiPriority w:val="99"/>
    <w:semiHidden/>
    <w:unhideWhenUsed/>
    <w:rsid w:val="00F6753E"/>
    <w:rPr>
      <w:sz w:val="16"/>
      <w:szCs w:val="16"/>
    </w:rPr>
  </w:style>
  <w:style w:type="paragraph" w:styleId="CommentText">
    <w:name w:val="annotation text"/>
    <w:basedOn w:val="Normal"/>
    <w:link w:val="CommentTextChar"/>
    <w:uiPriority w:val="99"/>
    <w:unhideWhenUsed/>
    <w:rsid w:val="00F6753E"/>
    <w:pPr>
      <w:spacing w:line="240" w:lineRule="auto"/>
    </w:pPr>
    <w:rPr>
      <w:sz w:val="20"/>
      <w:szCs w:val="20"/>
    </w:rPr>
  </w:style>
  <w:style w:type="character" w:customStyle="1" w:styleId="CommentTextChar">
    <w:name w:val="Comment Text Char"/>
    <w:basedOn w:val="DefaultParagraphFont"/>
    <w:link w:val="CommentText"/>
    <w:uiPriority w:val="99"/>
    <w:rsid w:val="00F6753E"/>
    <w:rPr>
      <w:sz w:val="20"/>
      <w:szCs w:val="20"/>
    </w:rPr>
  </w:style>
  <w:style w:type="paragraph" w:styleId="CommentSubject">
    <w:name w:val="annotation subject"/>
    <w:basedOn w:val="CommentText"/>
    <w:next w:val="CommentText"/>
    <w:link w:val="CommentSubjectChar"/>
    <w:uiPriority w:val="99"/>
    <w:semiHidden/>
    <w:unhideWhenUsed/>
    <w:rsid w:val="00F6753E"/>
    <w:rPr>
      <w:b/>
      <w:bCs/>
    </w:rPr>
  </w:style>
  <w:style w:type="character" w:customStyle="1" w:styleId="CommentSubjectChar">
    <w:name w:val="Comment Subject Char"/>
    <w:basedOn w:val="CommentTextChar"/>
    <w:link w:val="CommentSubject"/>
    <w:uiPriority w:val="99"/>
    <w:semiHidden/>
    <w:rsid w:val="00F6753E"/>
    <w:rPr>
      <w:b/>
      <w:bCs/>
      <w:sz w:val="20"/>
      <w:szCs w:val="20"/>
    </w:rPr>
  </w:style>
  <w:style w:type="character" w:customStyle="1" w:styleId="UnresolvedMention2">
    <w:name w:val="Unresolved Mention2"/>
    <w:basedOn w:val="DefaultParagraphFont"/>
    <w:uiPriority w:val="99"/>
    <w:semiHidden/>
    <w:unhideWhenUsed/>
    <w:rsid w:val="00403AA6"/>
    <w:rPr>
      <w:color w:val="605E5C"/>
      <w:shd w:val="clear" w:color="auto" w:fill="E1DFDD"/>
    </w:rPr>
  </w:style>
  <w:style w:type="paragraph" w:styleId="FootnoteText">
    <w:name w:val="footnote text"/>
    <w:basedOn w:val="Normal"/>
    <w:link w:val="FootnoteTextChar"/>
    <w:uiPriority w:val="99"/>
    <w:unhideWhenUsed/>
    <w:rsid w:val="00403AA6"/>
    <w:pPr>
      <w:spacing w:after="0" w:line="240" w:lineRule="auto"/>
    </w:pPr>
    <w:rPr>
      <w:sz w:val="20"/>
      <w:szCs w:val="20"/>
    </w:rPr>
  </w:style>
  <w:style w:type="character" w:customStyle="1" w:styleId="FootnoteTextChar">
    <w:name w:val="Footnote Text Char"/>
    <w:basedOn w:val="DefaultParagraphFont"/>
    <w:link w:val="FootnoteText"/>
    <w:uiPriority w:val="99"/>
    <w:rsid w:val="00403AA6"/>
    <w:rPr>
      <w:sz w:val="20"/>
      <w:szCs w:val="20"/>
    </w:rPr>
  </w:style>
  <w:style w:type="character" w:styleId="FootnoteReference">
    <w:name w:val="footnote reference"/>
    <w:basedOn w:val="DefaultParagraphFont"/>
    <w:uiPriority w:val="99"/>
    <w:semiHidden/>
    <w:unhideWhenUsed/>
    <w:rsid w:val="00403AA6"/>
    <w:rPr>
      <w:vertAlign w:val="superscript"/>
    </w:rPr>
  </w:style>
  <w:style w:type="paragraph" w:styleId="NormalWeb">
    <w:name w:val="Normal (Web)"/>
    <w:basedOn w:val="Normal"/>
    <w:uiPriority w:val="99"/>
    <w:unhideWhenUsed/>
    <w:rsid w:val="00130422"/>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77D64"/>
    <w:rPr>
      <w:b/>
      <w:bCs/>
    </w:rPr>
  </w:style>
  <w:style w:type="character" w:styleId="UnresolvedMention">
    <w:name w:val="Unresolved Mention"/>
    <w:basedOn w:val="DefaultParagraphFont"/>
    <w:uiPriority w:val="99"/>
    <w:semiHidden/>
    <w:unhideWhenUsed/>
    <w:rsid w:val="00123F5D"/>
    <w:rPr>
      <w:color w:val="605E5C"/>
      <w:shd w:val="clear" w:color="auto" w:fill="E1DFDD"/>
    </w:rPr>
  </w:style>
  <w:style w:type="paragraph" w:styleId="EndnoteText">
    <w:name w:val="endnote text"/>
    <w:basedOn w:val="Normal"/>
    <w:link w:val="EndnoteTextChar"/>
    <w:uiPriority w:val="99"/>
    <w:unhideWhenUsed/>
    <w:qFormat/>
    <w:rsid w:val="003F2267"/>
    <w:pPr>
      <w:spacing w:after="0" w:line="240" w:lineRule="auto"/>
    </w:pPr>
    <w:rPr>
      <w:sz w:val="20"/>
      <w:szCs w:val="20"/>
    </w:rPr>
  </w:style>
  <w:style w:type="character" w:customStyle="1" w:styleId="EndnoteTextChar">
    <w:name w:val="Endnote Text Char"/>
    <w:basedOn w:val="DefaultParagraphFont"/>
    <w:link w:val="EndnoteText"/>
    <w:uiPriority w:val="99"/>
    <w:rsid w:val="003F2267"/>
    <w:rPr>
      <w:sz w:val="20"/>
      <w:szCs w:val="20"/>
    </w:rPr>
  </w:style>
  <w:style w:type="character" w:styleId="EndnoteReference">
    <w:name w:val="endnote reference"/>
    <w:basedOn w:val="DefaultParagraphFont"/>
    <w:uiPriority w:val="99"/>
    <w:unhideWhenUsed/>
    <w:qFormat/>
    <w:rsid w:val="003F2267"/>
    <w:rPr>
      <w:vertAlign w:val="superscript"/>
    </w:rPr>
  </w:style>
  <w:style w:type="paragraph" w:styleId="ListBullet">
    <w:name w:val="List Bullet"/>
    <w:aliases w:val="Bullet List"/>
    <w:basedOn w:val="Normal"/>
    <w:uiPriority w:val="2"/>
    <w:qFormat/>
    <w:rsid w:val="00DA2F34"/>
    <w:pPr>
      <w:numPr>
        <w:numId w:val="3"/>
      </w:numPr>
      <w:ind w:left="714" w:hanging="357"/>
    </w:pPr>
  </w:style>
  <w:style w:type="character" w:customStyle="1" w:styleId="ListParagraphChar">
    <w:name w:val="List Paragraph Char"/>
    <w:aliases w:val="Numbered List Char"/>
    <w:link w:val="ListParagraph"/>
    <w:uiPriority w:val="34"/>
    <w:qFormat/>
    <w:rsid w:val="00252D00"/>
    <w:rPr>
      <w:rFonts w:ascii="Arial" w:eastAsia="Arial" w:hAnsi="Arial" w:cs="Times New Roman"/>
      <w:lang w:val="en-US"/>
    </w:rPr>
  </w:style>
  <w:style w:type="paragraph" w:customStyle="1" w:styleId="Default">
    <w:name w:val="Default"/>
    <w:rsid w:val="009E7C01"/>
    <w:pPr>
      <w:autoSpaceDE w:val="0"/>
      <w:autoSpaceDN w:val="0"/>
      <w:adjustRightInd w:val="0"/>
      <w:spacing w:after="0" w:line="240" w:lineRule="auto"/>
    </w:pPr>
    <w:rPr>
      <w:rFonts w:ascii="Calibri" w:hAnsi="Calibri" w:cs="Calibri"/>
      <w:color w:val="000000"/>
    </w:rPr>
  </w:style>
  <w:style w:type="paragraph" w:customStyle="1" w:styleId="Bulltlist">
    <w:name w:val="Bullt list"/>
    <w:basedOn w:val="Bullet1"/>
    <w:link w:val="BulltlistChar"/>
    <w:semiHidden/>
    <w:rsid w:val="005119D1"/>
  </w:style>
  <w:style w:type="character" w:customStyle="1" w:styleId="BulltlistChar">
    <w:name w:val="Bullt list Char"/>
    <w:basedOn w:val="DefaultParagraphFont"/>
    <w:link w:val="Bulltlist"/>
    <w:semiHidden/>
    <w:rsid w:val="00E6370F"/>
  </w:style>
  <w:style w:type="character" w:customStyle="1" w:styleId="NumberListChar">
    <w:name w:val="Number List Char"/>
    <w:basedOn w:val="DefaultParagraphFont"/>
    <w:link w:val="NumberList"/>
    <w:semiHidden/>
    <w:locked/>
    <w:rsid w:val="009508B4"/>
    <w:rPr>
      <w:rFonts w:ascii="Arial" w:eastAsia="Arial" w:hAnsi="Arial" w:cs="Times New Roman"/>
      <w:lang w:val="en-US"/>
    </w:rPr>
  </w:style>
  <w:style w:type="paragraph" w:customStyle="1" w:styleId="NumberList">
    <w:name w:val="Number List"/>
    <w:basedOn w:val="ListParagraph"/>
    <w:link w:val="NumberListChar"/>
    <w:semiHidden/>
    <w:qFormat/>
    <w:rsid w:val="009508B4"/>
    <w:pPr>
      <w:ind w:left="720" w:hanging="360"/>
    </w:pPr>
  </w:style>
  <w:style w:type="paragraph" w:customStyle="1" w:styleId="Coversubtitletext">
    <w:name w:val="Cover subtitle text"/>
    <w:basedOn w:val="Normal"/>
    <w:next w:val="BodyText"/>
    <w:uiPriority w:val="99"/>
    <w:qFormat/>
    <w:rsid w:val="002937C8"/>
    <w:rPr>
      <w:rFonts w:ascii="VAG Rounded" w:hAnsi="VAG Rounded"/>
      <w:iCs/>
      <w:color w:val="FFFFFF" w:themeColor="background1"/>
      <w:sz w:val="36"/>
      <w:szCs w:val="36"/>
    </w:rPr>
  </w:style>
  <w:style w:type="paragraph" w:customStyle="1" w:styleId="Whitebodytext">
    <w:name w:val="White body text"/>
    <w:basedOn w:val="BodyText"/>
    <w:uiPriority w:val="99"/>
    <w:qFormat/>
    <w:rsid w:val="002937C8"/>
    <w:rPr>
      <w:color w:val="FFFFFF" w:themeColor="background1"/>
    </w:rPr>
  </w:style>
  <w:style w:type="character" w:customStyle="1" w:styleId="Heading5Char">
    <w:name w:val="Heading 5 Char"/>
    <w:basedOn w:val="DefaultParagraphFont"/>
    <w:link w:val="Heading5"/>
    <w:uiPriority w:val="1"/>
    <w:rsid w:val="005B4E1A"/>
    <w:rPr>
      <w:rFonts w:ascii="Arial" w:eastAsia="Times New Roman" w:hAnsi="Arial" w:cs="Times New Roman"/>
      <w:b/>
      <w:color w:val="005496"/>
    </w:rPr>
  </w:style>
  <w:style w:type="paragraph" w:customStyle="1" w:styleId="Finalpagecontactinformation">
    <w:name w:val="Final page contact information"/>
    <w:basedOn w:val="BodyText"/>
    <w:uiPriority w:val="99"/>
    <w:qFormat/>
    <w:rsid w:val="006741BD"/>
    <w:pPr>
      <w:spacing w:before="360"/>
    </w:pPr>
    <w:rPr>
      <w:b/>
      <w:color w:val="FFFFFF" w:themeColor="background1"/>
    </w:rPr>
  </w:style>
  <w:style w:type="paragraph" w:styleId="TOC2">
    <w:name w:val="toc 2"/>
    <w:basedOn w:val="Normal"/>
    <w:next w:val="Normal"/>
    <w:autoRedefine/>
    <w:uiPriority w:val="39"/>
    <w:unhideWhenUsed/>
    <w:rsid w:val="00BA1B07"/>
    <w:pPr>
      <w:tabs>
        <w:tab w:val="right" w:pos="9628"/>
      </w:tabs>
      <w:spacing w:after="100"/>
    </w:pPr>
    <w:rPr>
      <w:rFonts w:cstheme="minorHAnsi"/>
      <w:b/>
      <w:bCs/>
      <w:noProof/>
    </w:rPr>
  </w:style>
  <w:style w:type="paragraph" w:styleId="TOC3">
    <w:name w:val="toc 3"/>
    <w:basedOn w:val="Normal"/>
    <w:next w:val="Normal"/>
    <w:autoRedefine/>
    <w:uiPriority w:val="39"/>
    <w:unhideWhenUsed/>
    <w:rsid w:val="00BC5FE9"/>
    <w:pPr>
      <w:tabs>
        <w:tab w:val="right" w:pos="9628"/>
      </w:tabs>
      <w:spacing w:before="0" w:after="100" w:line="259" w:lineRule="auto"/>
      <w:ind w:left="720"/>
    </w:pPr>
    <w:rPr>
      <w:rFonts w:eastAsiaTheme="minorEastAsia" w:cs="Times New Roman"/>
      <w:bCs/>
      <w:sz w:val="22"/>
      <w:szCs w:val="22"/>
    </w:rPr>
  </w:style>
  <w:style w:type="paragraph" w:customStyle="1" w:styleId="Heading2notincontents">
    <w:name w:val="Heading 2 (not in contents)"/>
    <w:basedOn w:val="Heading2"/>
    <w:uiPriority w:val="99"/>
    <w:qFormat/>
    <w:rsid w:val="008741AB"/>
    <w:rPr>
      <w:rFonts w:eastAsiaTheme="minorHAnsi"/>
    </w:rPr>
  </w:style>
  <w:style w:type="character" w:styleId="PlaceholderText">
    <w:name w:val="Placeholder Text"/>
    <w:basedOn w:val="DefaultParagraphFont"/>
    <w:uiPriority w:val="99"/>
    <w:semiHidden/>
    <w:rsid w:val="00F861F5"/>
    <w:rPr>
      <w:color w:val="808080"/>
    </w:rPr>
  </w:style>
  <w:style w:type="character" w:styleId="FollowedHyperlink">
    <w:name w:val="FollowedHyperlink"/>
    <w:basedOn w:val="DefaultParagraphFont"/>
    <w:uiPriority w:val="99"/>
    <w:semiHidden/>
    <w:unhideWhenUsed/>
    <w:rsid w:val="004D7EEE"/>
    <w:rPr>
      <w:color w:val="954F72" w:themeColor="followedHyperlink"/>
      <w:u w:val="single"/>
    </w:rPr>
  </w:style>
  <w:style w:type="paragraph" w:styleId="Quote">
    <w:name w:val="Quote"/>
    <w:basedOn w:val="Normal"/>
    <w:next w:val="Normal"/>
    <w:link w:val="QuoteChar"/>
    <w:uiPriority w:val="29"/>
    <w:qFormat/>
    <w:rsid w:val="00481070"/>
    <w:pPr>
      <w:spacing w:before="200" w:after="160"/>
      <w:ind w:left="864" w:right="864"/>
      <w:jc w:val="center"/>
    </w:pPr>
    <w:rPr>
      <w:i/>
      <w:iCs/>
      <w:color w:val="005496" w:themeColor="accent1"/>
    </w:rPr>
  </w:style>
  <w:style w:type="character" w:customStyle="1" w:styleId="QuoteChar">
    <w:name w:val="Quote Char"/>
    <w:basedOn w:val="DefaultParagraphFont"/>
    <w:link w:val="Quote"/>
    <w:uiPriority w:val="29"/>
    <w:rsid w:val="00481070"/>
    <w:rPr>
      <w:i/>
      <w:iCs/>
      <w:color w:val="005496" w:themeColor="accent1"/>
    </w:rPr>
  </w:style>
  <w:style w:type="character" w:styleId="Emphasis">
    <w:name w:val="Emphasis"/>
    <w:basedOn w:val="DefaultParagraphFont"/>
    <w:uiPriority w:val="20"/>
    <w:qFormat/>
    <w:rsid w:val="001F5464"/>
    <w:rPr>
      <w:i/>
      <w:iCs/>
    </w:rPr>
  </w:style>
  <w:style w:type="character" w:customStyle="1" w:styleId="markedcontent">
    <w:name w:val="markedcontent"/>
    <w:basedOn w:val="DefaultParagraphFont"/>
    <w:rsid w:val="006F4C6F"/>
  </w:style>
  <w:style w:type="paragraph" w:styleId="Revision">
    <w:name w:val="Revision"/>
    <w:hidden/>
    <w:uiPriority w:val="99"/>
    <w:semiHidden/>
    <w:rsid w:val="003849A1"/>
    <w:pPr>
      <w:spacing w:after="0" w:line="240" w:lineRule="auto"/>
    </w:pPr>
  </w:style>
  <w:style w:type="paragraph" w:customStyle="1" w:styleId="paragraph">
    <w:name w:val="paragraph"/>
    <w:basedOn w:val="Normal"/>
    <w:rsid w:val="006C59A1"/>
    <w:pPr>
      <w:spacing w:before="0" w:after="0" w:line="240" w:lineRule="auto"/>
    </w:pPr>
    <w:rPr>
      <w:rFonts w:ascii="Calibri" w:hAnsi="Calibri" w:cs="Calibri"/>
      <w:sz w:val="22"/>
      <w:szCs w:val="22"/>
      <w:lang w:eastAsia="en-AU"/>
    </w:rPr>
  </w:style>
  <w:style w:type="character" w:customStyle="1" w:styleId="normaltextrun">
    <w:name w:val="normaltextrun"/>
    <w:basedOn w:val="DefaultParagraphFont"/>
    <w:rsid w:val="006C59A1"/>
  </w:style>
  <w:style w:type="character" w:customStyle="1" w:styleId="eop">
    <w:name w:val="eop"/>
    <w:basedOn w:val="DefaultParagraphFont"/>
    <w:rsid w:val="006C59A1"/>
  </w:style>
  <w:style w:type="table" w:styleId="GridTable4-Accent1">
    <w:name w:val="Grid Table 4 Accent 1"/>
    <w:basedOn w:val="TableNormal"/>
    <w:uiPriority w:val="49"/>
    <w:rsid w:val="00034185"/>
    <w:pPr>
      <w:spacing w:after="0" w:line="240" w:lineRule="auto"/>
    </w:pPr>
    <w:rPr>
      <w:rFonts w:ascii="Arial" w:hAnsi="Arial"/>
      <w:kern w:val="2"/>
      <w:szCs w:val="22"/>
      <w14:ligatures w14:val="standardContextual"/>
    </w:r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IntenseQuote">
    <w:name w:val="Intense Quote"/>
    <w:basedOn w:val="Normal"/>
    <w:next w:val="Normal"/>
    <w:link w:val="IntenseQuoteChar"/>
    <w:uiPriority w:val="30"/>
    <w:qFormat/>
    <w:rsid w:val="008D12AB"/>
    <w:pPr>
      <w:pBdr>
        <w:top w:val="single" w:sz="4" w:space="10" w:color="005496" w:themeColor="accent1"/>
        <w:bottom w:val="single" w:sz="4" w:space="10" w:color="005496" w:themeColor="accent1"/>
      </w:pBdr>
      <w:spacing w:before="360" w:after="360"/>
      <w:ind w:left="864" w:right="864"/>
      <w:jc w:val="center"/>
    </w:pPr>
    <w:rPr>
      <w:i/>
      <w:iCs/>
      <w:color w:val="005496" w:themeColor="accent1"/>
    </w:rPr>
  </w:style>
  <w:style w:type="character" w:customStyle="1" w:styleId="IntenseQuoteChar">
    <w:name w:val="Intense Quote Char"/>
    <w:basedOn w:val="DefaultParagraphFont"/>
    <w:link w:val="IntenseQuote"/>
    <w:uiPriority w:val="30"/>
    <w:rsid w:val="008D12AB"/>
    <w:rPr>
      <w:i/>
      <w:iCs/>
      <w:color w:val="005496" w:themeColor="accent1"/>
    </w:rPr>
  </w:style>
  <w:style w:type="paragraph" w:styleId="Subtitle">
    <w:name w:val="Subtitle"/>
    <w:basedOn w:val="Normal"/>
    <w:next w:val="Normal"/>
    <w:link w:val="SubtitleChar"/>
    <w:uiPriority w:val="11"/>
    <w:qFormat/>
    <w:rsid w:val="00142358"/>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42358"/>
    <w:rPr>
      <w:rFonts w:eastAsiaTheme="minorEastAsia"/>
      <w:color w:val="5A5A5A" w:themeColor="text1" w:themeTint="A5"/>
      <w:spacing w:val="15"/>
      <w:sz w:val="22"/>
      <w:szCs w:val="22"/>
    </w:rPr>
  </w:style>
  <w:style w:type="character" w:customStyle="1" w:styleId="Heading6Char">
    <w:name w:val="Heading 6 Char"/>
    <w:basedOn w:val="DefaultParagraphFont"/>
    <w:link w:val="Heading6"/>
    <w:uiPriority w:val="4"/>
    <w:rsid w:val="005334ED"/>
    <w:rPr>
      <w:rFonts w:asciiTheme="majorHAnsi" w:eastAsiaTheme="majorEastAsia" w:hAnsiTheme="majorHAnsi" w:cstheme="majorBidi"/>
      <w:color w:val="00294A"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1242">
      <w:bodyDiv w:val="1"/>
      <w:marLeft w:val="0"/>
      <w:marRight w:val="0"/>
      <w:marTop w:val="0"/>
      <w:marBottom w:val="0"/>
      <w:divBdr>
        <w:top w:val="none" w:sz="0" w:space="0" w:color="auto"/>
        <w:left w:val="none" w:sz="0" w:space="0" w:color="auto"/>
        <w:bottom w:val="none" w:sz="0" w:space="0" w:color="auto"/>
        <w:right w:val="none" w:sz="0" w:space="0" w:color="auto"/>
      </w:divBdr>
      <w:divsChild>
        <w:div w:id="1006788398">
          <w:marLeft w:val="0"/>
          <w:marRight w:val="0"/>
          <w:marTop w:val="0"/>
          <w:marBottom w:val="0"/>
          <w:divBdr>
            <w:top w:val="none" w:sz="0" w:space="0" w:color="auto"/>
            <w:left w:val="none" w:sz="0" w:space="0" w:color="auto"/>
            <w:bottom w:val="none" w:sz="0" w:space="0" w:color="auto"/>
            <w:right w:val="none" w:sz="0" w:space="0" w:color="auto"/>
          </w:divBdr>
        </w:div>
      </w:divsChild>
    </w:div>
    <w:div w:id="103886845">
      <w:bodyDiv w:val="1"/>
      <w:marLeft w:val="0"/>
      <w:marRight w:val="0"/>
      <w:marTop w:val="0"/>
      <w:marBottom w:val="0"/>
      <w:divBdr>
        <w:top w:val="none" w:sz="0" w:space="0" w:color="auto"/>
        <w:left w:val="none" w:sz="0" w:space="0" w:color="auto"/>
        <w:bottom w:val="none" w:sz="0" w:space="0" w:color="auto"/>
        <w:right w:val="none" w:sz="0" w:space="0" w:color="auto"/>
      </w:divBdr>
    </w:div>
    <w:div w:id="116606375">
      <w:bodyDiv w:val="1"/>
      <w:marLeft w:val="0"/>
      <w:marRight w:val="0"/>
      <w:marTop w:val="0"/>
      <w:marBottom w:val="0"/>
      <w:divBdr>
        <w:top w:val="none" w:sz="0" w:space="0" w:color="auto"/>
        <w:left w:val="none" w:sz="0" w:space="0" w:color="auto"/>
        <w:bottom w:val="none" w:sz="0" w:space="0" w:color="auto"/>
        <w:right w:val="none" w:sz="0" w:space="0" w:color="auto"/>
      </w:divBdr>
      <w:divsChild>
        <w:div w:id="1877815877">
          <w:marLeft w:val="0"/>
          <w:marRight w:val="0"/>
          <w:marTop w:val="0"/>
          <w:marBottom w:val="0"/>
          <w:divBdr>
            <w:top w:val="none" w:sz="0" w:space="0" w:color="auto"/>
            <w:left w:val="none" w:sz="0" w:space="0" w:color="auto"/>
            <w:bottom w:val="none" w:sz="0" w:space="0" w:color="auto"/>
            <w:right w:val="none" w:sz="0" w:space="0" w:color="auto"/>
          </w:divBdr>
        </w:div>
      </w:divsChild>
    </w:div>
    <w:div w:id="158352535">
      <w:bodyDiv w:val="1"/>
      <w:marLeft w:val="0"/>
      <w:marRight w:val="0"/>
      <w:marTop w:val="0"/>
      <w:marBottom w:val="0"/>
      <w:divBdr>
        <w:top w:val="none" w:sz="0" w:space="0" w:color="auto"/>
        <w:left w:val="none" w:sz="0" w:space="0" w:color="auto"/>
        <w:bottom w:val="none" w:sz="0" w:space="0" w:color="auto"/>
        <w:right w:val="none" w:sz="0" w:space="0" w:color="auto"/>
      </w:divBdr>
    </w:div>
    <w:div w:id="237642805">
      <w:bodyDiv w:val="1"/>
      <w:marLeft w:val="0"/>
      <w:marRight w:val="0"/>
      <w:marTop w:val="0"/>
      <w:marBottom w:val="0"/>
      <w:divBdr>
        <w:top w:val="none" w:sz="0" w:space="0" w:color="auto"/>
        <w:left w:val="none" w:sz="0" w:space="0" w:color="auto"/>
        <w:bottom w:val="none" w:sz="0" w:space="0" w:color="auto"/>
        <w:right w:val="none" w:sz="0" w:space="0" w:color="auto"/>
      </w:divBdr>
      <w:divsChild>
        <w:div w:id="2121488210">
          <w:marLeft w:val="720"/>
          <w:marRight w:val="0"/>
          <w:marTop w:val="0"/>
          <w:marBottom w:val="0"/>
          <w:divBdr>
            <w:top w:val="none" w:sz="0" w:space="0" w:color="auto"/>
            <w:left w:val="none" w:sz="0" w:space="0" w:color="auto"/>
            <w:bottom w:val="none" w:sz="0" w:space="0" w:color="auto"/>
            <w:right w:val="none" w:sz="0" w:space="0" w:color="auto"/>
          </w:divBdr>
        </w:div>
      </w:divsChild>
    </w:div>
    <w:div w:id="253250832">
      <w:bodyDiv w:val="1"/>
      <w:marLeft w:val="0"/>
      <w:marRight w:val="0"/>
      <w:marTop w:val="0"/>
      <w:marBottom w:val="0"/>
      <w:divBdr>
        <w:top w:val="none" w:sz="0" w:space="0" w:color="auto"/>
        <w:left w:val="none" w:sz="0" w:space="0" w:color="auto"/>
        <w:bottom w:val="none" w:sz="0" w:space="0" w:color="auto"/>
        <w:right w:val="none" w:sz="0" w:space="0" w:color="auto"/>
      </w:divBdr>
    </w:div>
    <w:div w:id="330373188">
      <w:bodyDiv w:val="1"/>
      <w:marLeft w:val="0"/>
      <w:marRight w:val="0"/>
      <w:marTop w:val="0"/>
      <w:marBottom w:val="0"/>
      <w:divBdr>
        <w:top w:val="none" w:sz="0" w:space="0" w:color="auto"/>
        <w:left w:val="none" w:sz="0" w:space="0" w:color="auto"/>
        <w:bottom w:val="none" w:sz="0" w:space="0" w:color="auto"/>
        <w:right w:val="none" w:sz="0" w:space="0" w:color="auto"/>
      </w:divBdr>
    </w:div>
    <w:div w:id="335227410">
      <w:bodyDiv w:val="1"/>
      <w:marLeft w:val="0"/>
      <w:marRight w:val="0"/>
      <w:marTop w:val="0"/>
      <w:marBottom w:val="0"/>
      <w:divBdr>
        <w:top w:val="none" w:sz="0" w:space="0" w:color="auto"/>
        <w:left w:val="none" w:sz="0" w:space="0" w:color="auto"/>
        <w:bottom w:val="none" w:sz="0" w:space="0" w:color="auto"/>
        <w:right w:val="none" w:sz="0" w:space="0" w:color="auto"/>
      </w:divBdr>
      <w:divsChild>
        <w:div w:id="358773925">
          <w:marLeft w:val="0"/>
          <w:marRight w:val="0"/>
          <w:marTop w:val="0"/>
          <w:marBottom w:val="0"/>
          <w:divBdr>
            <w:top w:val="none" w:sz="0" w:space="0" w:color="auto"/>
            <w:left w:val="none" w:sz="0" w:space="0" w:color="auto"/>
            <w:bottom w:val="none" w:sz="0" w:space="0" w:color="auto"/>
            <w:right w:val="none" w:sz="0" w:space="0" w:color="auto"/>
          </w:divBdr>
        </w:div>
      </w:divsChild>
    </w:div>
    <w:div w:id="387388543">
      <w:bodyDiv w:val="1"/>
      <w:marLeft w:val="0"/>
      <w:marRight w:val="0"/>
      <w:marTop w:val="0"/>
      <w:marBottom w:val="0"/>
      <w:divBdr>
        <w:top w:val="none" w:sz="0" w:space="0" w:color="auto"/>
        <w:left w:val="none" w:sz="0" w:space="0" w:color="auto"/>
        <w:bottom w:val="none" w:sz="0" w:space="0" w:color="auto"/>
        <w:right w:val="none" w:sz="0" w:space="0" w:color="auto"/>
      </w:divBdr>
    </w:div>
    <w:div w:id="549153180">
      <w:bodyDiv w:val="1"/>
      <w:marLeft w:val="0"/>
      <w:marRight w:val="0"/>
      <w:marTop w:val="0"/>
      <w:marBottom w:val="0"/>
      <w:divBdr>
        <w:top w:val="none" w:sz="0" w:space="0" w:color="auto"/>
        <w:left w:val="none" w:sz="0" w:space="0" w:color="auto"/>
        <w:bottom w:val="none" w:sz="0" w:space="0" w:color="auto"/>
        <w:right w:val="none" w:sz="0" w:space="0" w:color="auto"/>
      </w:divBdr>
    </w:div>
    <w:div w:id="572156382">
      <w:bodyDiv w:val="1"/>
      <w:marLeft w:val="0"/>
      <w:marRight w:val="0"/>
      <w:marTop w:val="0"/>
      <w:marBottom w:val="0"/>
      <w:divBdr>
        <w:top w:val="none" w:sz="0" w:space="0" w:color="auto"/>
        <w:left w:val="none" w:sz="0" w:space="0" w:color="auto"/>
        <w:bottom w:val="none" w:sz="0" w:space="0" w:color="auto"/>
        <w:right w:val="none" w:sz="0" w:space="0" w:color="auto"/>
      </w:divBdr>
    </w:div>
    <w:div w:id="617182148">
      <w:bodyDiv w:val="1"/>
      <w:marLeft w:val="0"/>
      <w:marRight w:val="0"/>
      <w:marTop w:val="0"/>
      <w:marBottom w:val="0"/>
      <w:divBdr>
        <w:top w:val="none" w:sz="0" w:space="0" w:color="auto"/>
        <w:left w:val="none" w:sz="0" w:space="0" w:color="auto"/>
        <w:bottom w:val="none" w:sz="0" w:space="0" w:color="auto"/>
        <w:right w:val="none" w:sz="0" w:space="0" w:color="auto"/>
      </w:divBdr>
    </w:div>
    <w:div w:id="779571411">
      <w:bodyDiv w:val="1"/>
      <w:marLeft w:val="0"/>
      <w:marRight w:val="0"/>
      <w:marTop w:val="0"/>
      <w:marBottom w:val="0"/>
      <w:divBdr>
        <w:top w:val="none" w:sz="0" w:space="0" w:color="auto"/>
        <w:left w:val="none" w:sz="0" w:space="0" w:color="auto"/>
        <w:bottom w:val="none" w:sz="0" w:space="0" w:color="auto"/>
        <w:right w:val="none" w:sz="0" w:space="0" w:color="auto"/>
      </w:divBdr>
    </w:div>
    <w:div w:id="792403237">
      <w:bodyDiv w:val="1"/>
      <w:marLeft w:val="0"/>
      <w:marRight w:val="0"/>
      <w:marTop w:val="0"/>
      <w:marBottom w:val="0"/>
      <w:divBdr>
        <w:top w:val="none" w:sz="0" w:space="0" w:color="auto"/>
        <w:left w:val="none" w:sz="0" w:space="0" w:color="auto"/>
        <w:bottom w:val="none" w:sz="0" w:space="0" w:color="auto"/>
        <w:right w:val="none" w:sz="0" w:space="0" w:color="auto"/>
      </w:divBdr>
    </w:div>
    <w:div w:id="845284995">
      <w:bodyDiv w:val="1"/>
      <w:marLeft w:val="0"/>
      <w:marRight w:val="0"/>
      <w:marTop w:val="0"/>
      <w:marBottom w:val="0"/>
      <w:divBdr>
        <w:top w:val="none" w:sz="0" w:space="0" w:color="auto"/>
        <w:left w:val="none" w:sz="0" w:space="0" w:color="auto"/>
        <w:bottom w:val="none" w:sz="0" w:space="0" w:color="auto"/>
        <w:right w:val="none" w:sz="0" w:space="0" w:color="auto"/>
      </w:divBdr>
      <w:divsChild>
        <w:div w:id="1444614861">
          <w:blockQuote w:val="1"/>
          <w:marLeft w:val="400"/>
          <w:marRight w:val="0"/>
          <w:marTop w:val="160"/>
          <w:marBottom w:val="200"/>
          <w:divBdr>
            <w:top w:val="none" w:sz="0" w:space="0" w:color="auto"/>
            <w:left w:val="none" w:sz="0" w:space="0" w:color="auto"/>
            <w:bottom w:val="none" w:sz="0" w:space="0" w:color="auto"/>
            <w:right w:val="none" w:sz="0" w:space="0" w:color="auto"/>
          </w:divBdr>
        </w:div>
        <w:div w:id="152602199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66068471">
      <w:bodyDiv w:val="1"/>
      <w:marLeft w:val="0"/>
      <w:marRight w:val="0"/>
      <w:marTop w:val="0"/>
      <w:marBottom w:val="0"/>
      <w:divBdr>
        <w:top w:val="none" w:sz="0" w:space="0" w:color="auto"/>
        <w:left w:val="none" w:sz="0" w:space="0" w:color="auto"/>
        <w:bottom w:val="none" w:sz="0" w:space="0" w:color="auto"/>
        <w:right w:val="none" w:sz="0" w:space="0" w:color="auto"/>
      </w:divBdr>
      <w:divsChild>
        <w:div w:id="1727337745">
          <w:marLeft w:val="0"/>
          <w:marRight w:val="0"/>
          <w:marTop w:val="0"/>
          <w:marBottom w:val="0"/>
          <w:divBdr>
            <w:top w:val="none" w:sz="0" w:space="0" w:color="auto"/>
            <w:left w:val="none" w:sz="0" w:space="0" w:color="auto"/>
            <w:bottom w:val="none" w:sz="0" w:space="0" w:color="auto"/>
            <w:right w:val="none" w:sz="0" w:space="0" w:color="auto"/>
          </w:divBdr>
        </w:div>
      </w:divsChild>
    </w:div>
    <w:div w:id="937181207">
      <w:bodyDiv w:val="1"/>
      <w:marLeft w:val="0"/>
      <w:marRight w:val="0"/>
      <w:marTop w:val="0"/>
      <w:marBottom w:val="0"/>
      <w:divBdr>
        <w:top w:val="none" w:sz="0" w:space="0" w:color="auto"/>
        <w:left w:val="none" w:sz="0" w:space="0" w:color="auto"/>
        <w:bottom w:val="none" w:sz="0" w:space="0" w:color="auto"/>
        <w:right w:val="none" w:sz="0" w:space="0" w:color="auto"/>
      </w:divBdr>
    </w:div>
    <w:div w:id="948656483">
      <w:bodyDiv w:val="1"/>
      <w:marLeft w:val="0"/>
      <w:marRight w:val="0"/>
      <w:marTop w:val="0"/>
      <w:marBottom w:val="0"/>
      <w:divBdr>
        <w:top w:val="none" w:sz="0" w:space="0" w:color="auto"/>
        <w:left w:val="none" w:sz="0" w:space="0" w:color="auto"/>
        <w:bottom w:val="none" w:sz="0" w:space="0" w:color="auto"/>
        <w:right w:val="none" w:sz="0" w:space="0" w:color="auto"/>
      </w:divBdr>
    </w:div>
    <w:div w:id="952369410">
      <w:bodyDiv w:val="1"/>
      <w:marLeft w:val="0"/>
      <w:marRight w:val="0"/>
      <w:marTop w:val="0"/>
      <w:marBottom w:val="0"/>
      <w:divBdr>
        <w:top w:val="none" w:sz="0" w:space="0" w:color="auto"/>
        <w:left w:val="none" w:sz="0" w:space="0" w:color="auto"/>
        <w:bottom w:val="none" w:sz="0" w:space="0" w:color="auto"/>
        <w:right w:val="none" w:sz="0" w:space="0" w:color="auto"/>
      </w:divBdr>
    </w:div>
    <w:div w:id="983899642">
      <w:bodyDiv w:val="1"/>
      <w:marLeft w:val="0"/>
      <w:marRight w:val="0"/>
      <w:marTop w:val="0"/>
      <w:marBottom w:val="0"/>
      <w:divBdr>
        <w:top w:val="none" w:sz="0" w:space="0" w:color="auto"/>
        <w:left w:val="none" w:sz="0" w:space="0" w:color="auto"/>
        <w:bottom w:val="none" w:sz="0" w:space="0" w:color="auto"/>
        <w:right w:val="none" w:sz="0" w:space="0" w:color="auto"/>
      </w:divBdr>
      <w:divsChild>
        <w:div w:id="334455141">
          <w:marLeft w:val="720"/>
          <w:marRight w:val="0"/>
          <w:marTop w:val="0"/>
          <w:marBottom w:val="0"/>
          <w:divBdr>
            <w:top w:val="none" w:sz="0" w:space="0" w:color="auto"/>
            <w:left w:val="none" w:sz="0" w:space="0" w:color="auto"/>
            <w:bottom w:val="none" w:sz="0" w:space="0" w:color="auto"/>
            <w:right w:val="none" w:sz="0" w:space="0" w:color="auto"/>
          </w:divBdr>
        </w:div>
        <w:div w:id="1052196826">
          <w:marLeft w:val="720"/>
          <w:marRight w:val="0"/>
          <w:marTop w:val="0"/>
          <w:marBottom w:val="0"/>
          <w:divBdr>
            <w:top w:val="none" w:sz="0" w:space="0" w:color="auto"/>
            <w:left w:val="none" w:sz="0" w:space="0" w:color="auto"/>
            <w:bottom w:val="none" w:sz="0" w:space="0" w:color="auto"/>
            <w:right w:val="none" w:sz="0" w:space="0" w:color="auto"/>
          </w:divBdr>
        </w:div>
      </w:divsChild>
    </w:div>
    <w:div w:id="1117333821">
      <w:bodyDiv w:val="1"/>
      <w:marLeft w:val="0"/>
      <w:marRight w:val="0"/>
      <w:marTop w:val="0"/>
      <w:marBottom w:val="0"/>
      <w:divBdr>
        <w:top w:val="none" w:sz="0" w:space="0" w:color="auto"/>
        <w:left w:val="none" w:sz="0" w:space="0" w:color="auto"/>
        <w:bottom w:val="none" w:sz="0" w:space="0" w:color="auto"/>
        <w:right w:val="none" w:sz="0" w:space="0" w:color="auto"/>
      </w:divBdr>
    </w:div>
    <w:div w:id="1151943606">
      <w:bodyDiv w:val="1"/>
      <w:marLeft w:val="0"/>
      <w:marRight w:val="0"/>
      <w:marTop w:val="0"/>
      <w:marBottom w:val="0"/>
      <w:divBdr>
        <w:top w:val="none" w:sz="0" w:space="0" w:color="auto"/>
        <w:left w:val="none" w:sz="0" w:space="0" w:color="auto"/>
        <w:bottom w:val="none" w:sz="0" w:space="0" w:color="auto"/>
        <w:right w:val="none" w:sz="0" w:space="0" w:color="auto"/>
      </w:divBdr>
    </w:div>
    <w:div w:id="1200364270">
      <w:bodyDiv w:val="1"/>
      <w:marLeft w:val="0"/>
      <w:marRight w:val="0"/>
      <w:marTop w:val="0"/>
      <w:marBottom w:val="0"/>
      <w:divBdr>
        <w:top w:val="none" w:sz="0" w:space="0" w:color="auto"/>
        <w:left w:val="none" w:sz="0" w:space="0" w:color="auto"/>
        <w:bottom w:val="none" w:sz="0" w:space="0" w:color="auto"/>
        <w:right w:val="none" w:sz="0" w:space="0" w:color="auto"/>
      </w:divBdr>
    </w:div>
    <w:div w:id="1295865151">
      <w:bodyDiv w:val="1"/>
      <w:marLeft w:val="0"/>
      <w:marRight w:val="0"/>
      <w:marTop w:val="0"/>
      <w:marBottom w:val="0"/>
      <w:divBdr>
        <w:top w:val="none" w:sz="0" w:space="0" w:color="auto"/>
        <w:left w:val="none" w:sz="0" w:space="0" w:color="auto"/>
        <w:bottom w:val="none" w:sz="0" w:space="0" w:color="auto"/>
        <w:right w:val="none" w:sz="0" w:space="0" w:color="auto"/>
      </w:divBdr>
      <w:divsChild>
        <w:div w:id="23796870">
          <w:marLeft w:val="0"/>
          <w:marRight w:val="0"/>
          <w:marTop w:val="0"/>
          <w:marBottom w:val="0"/>
          <w:divBdr>
            <w:top w:val="none" w:sz="0" w:space="0" w:color="auto"/>
            <w:left w:val="none" w:sz="0" w:space="0" w:color="auto"/>
            <w:bottom w:val="none" w:sz="0" w:space="0" w:color="auto"/>
            <w:right w:val="none" w:sz="0" w:space="0" w:color="auto"/>
          </w:divBdr>
        </w:div>
      </w:divsChild>
    </w:div>
    <w:div w:id="1406028924">
      <w:bodyDiv w:val="1"/>
      <w:marLeft w:val="0"/>
      <w:marRight w:val="0"/>
      <w:marTop w:val="0"/>
      <w:marBottom w:val="0"/>
      <w:divBdr>
        <w:top w:val="none" w:sz="0" w:space="0" w:color="auto"/>
        <w:left w:val="none" w:sz="0" w:space="0" w:color="auto"/>
        <w:bottom w:val="none" w:sz="0" w:space="0" w:color="auto"/>
        <w:right w:val="none" w:sz="0" w:space="0" w:color="auto"/>
      </w:divBdr>
      <w:divsChild>
        <w:div w:id="1610694943">
          <w:marLeft w:val="0"/>
          <w:marRight w:val="0"/>
          <w:marTop w:val="0"/>
          <w:marBottom w:val="0"/>
          <w:divBdr>
            <w:top w:val="none" w:sz="0" w:space="0" w:color="auto"/>
            <w:left w:val="none" w:sz="0" w:space="0" w:color="auto"/>
            <w:bottom w:val="none" w:sz="0" w:space="0" w:color="auto"/>
            <w:right w:val="none" w:sz="0" w:space="0" w:color="auto"/>
          </w:divBdr>
        </w:div>
      </w:divsChild>
    </w:div>
    <w:div w:id="1439448617">
      <w:bodyDiv w:val="1"/>
      <w:marLeft w:val="0"/>
      <w:marRight w:val="0"/>
      <w:marTop w:val="0"/>
      <w:marBottom w:val="0"/>
      <w:divBdr>
        <w:top w:val="none" w:sz="0" w:space="0" w:color="auto"/>
        <w:left w:val="none" w:sz="0" w:space="0" w:color="auto"/>
        <w:bottom w:val="none" w:sz="0" w:space="0" w:color="auto"/>
        <w:right w:val="none" w:sz="0" w:space="0" w:color="auto"/>
      </w:divBdr>
      <w:divsChild>
        <w:div w:id="998079172">
          <w:marLeft w:val="720"/>
          <w:marRight w:val="0"/>
          <w:marTop w:val="0"/>
          <w:marBottom w:val="0"/>
          <w:divBdr>
            <w:top w:val="none" w:sz="0" w:space="0" w:color="auto"/>
            <w:left w:val="none" w:sz="0" w:space="0" w:color="auto"/>
            <w:bottom w:val="none" w:sz="0" w:space="0" w:color="auto"/>
            <w:right w:val="none" w:sz="0" w:space="0" w:color="auto"/>
          </w:divBdr>
        </w:div>
      </w:divsChild>
    </w:div>
    <w:div w:id="1456605905">
      <w:bodyDiv w:val="1"/>
      <w:marLeft w:val="0"/>
      <w:marRight w:val="0"/>
      <w:marTop w:val="0"/>
      <w:marBottom w:val="0"/>
      <w:divBdr>
        <w:top w:val="none" w:sz="0" w:space="0" w:color="auto"/>
        <w:left w:val="none" w:sz="0" w:space="0" w:color="auto"/>
        <w:bottom w:val="none" w:sz="0" w:space="0" w:color="auto"/>
        <w:right w:val="none" w:sz="0" w:space="0" w:color="auto"/>
      </w:divBdr>
      <w:divsChild>
        <w:div w:id="1270048437">
          <w:marLeft w:val="0"/>
          <w:marRight w:val="0"/>
          <w:marTop w:val="0"/>
          <w:marBottom w:val="0"/>
          <w:divBdr>
            <w:top w:val="none" w:sz="0" w:space="0" w:color="auto"/>
            <w:left w:val="none" w:sz="0" w:space="0" w:color="auto"/>
            <w:bottom w:val="none" w:sz="0" w:space="0" w:color="auto"/>
            <w:right w:val="none" w:sz="0" w:space="0" w:color="auto"/>
          </w:divBdr>
        </w:div>
      </w:divsChild>
    </w:div>
    <w:div w:id="1456831318">
      <w:bodyDiv w:val="1"/>
      <w:marLeft w:val="0"/>
      <w:marRight w:val="0"/>
      <w:marTop w:val="0"/>
      <w:marBottom w:val="0"/>
      <w:divBdr>
        <w:top w:val="none" w:sz="0" w:space="0" w:color="auto"/>
        <w:left w:val="none" w:sz="0" w:space="0" w:color="auto"/>
        <w:bottom w:val="none" w:sz="0" w:space="0" w:color="auto"/>
        <w:right w:val="none" w:sz="0" w:space="0" w:color="auto"/>
      </w:divBdr>
    </w:div>
    <w:div w:id="1461535418">
      <w:bodyDiv w:val="1"/>
      <w:marLeft w:val="0"/>
      <w:marRight w:val="0"/>
      <w:marTop w:val="0"/>
      <w:marBottom w:val="0"/>
      <w:divBdr>
        <w:top w:val="none" w:sz="0" w:space="0" w:color="auto"/>
        <w:left w:val="none" w:sz="0" w:space="0" w:color="auto"/>
        <w:bottom w:val="none" w:sz="0" w:space="0" w:color="auto"/>
        <w:right w:val="none" w:sz="0" w:space="0" w:color="auto"/>
      </w:divBdr>
    </w:div>
    <w:div w:id="1492915149">
      <w:bodyDiv w:val="1"/>
      <w:marLeft w:val="0"/>
      <w:marRight w:val="0"/>
      <w:marTop w:val="0"/>
      <w:marBottom w:val="0"/>
      <w:divBdr>
        <w:top w:val="none" w:sz="0" w:space="0" w:color="auto"/>
        <w:left w:val="none" w:sz="0" w:space="0" w:color="auto"/>
        <w:bottom w:val="none" w:sz="0" w:space="0" w:color="auto"/>
        <w:right w:val="none" w:sz="0" w:space="0" w:color="auto"/>
      </w:divBdr>
      <w:divsChild>
        <w:div w:id="127553270">
          <w:marLeft w:val="0"/>
          <w:marRight w:val="0"/>
          <w:marTop w:val="0"/>
          <w:marBottom w:val="0"/>
          <w:divBdr>
            <w:top w:val="none" w:sz="0" w:space="0" w:color="auto"/>
            <w:left w:val="none" w:sz="0" w:space="0" w:color="auto"/>
            <w:bottom w:val="none" w:sz="0" w:space="0" w:color="auto"/>
            <w:right w:val="none" w:sz="0" w:space="0" w:color="auto"/>
          </w:divBdr>
        </w:div>
      </w:divsChild>
    </w:div>
    <w:div w:id="1665547461">
      <w:bodyDiv w:val="1"/>
      <w:marLeft w:val="0"/>
      <w:marRight w:val="0"/>
      <w:marTop w:val="0"/>
      <w:marBottom w:val="0"/>
      <w:divBdr>
        <w:top w:val="none" w:sz="0" w:space="0" w:color="auto"/>
        <w:left w:val="none" w:sz="0" w:space="0" w:color="auto"/>
        <w:bottom w:val="none" w:sz="0" w:space="0" w:color="auto"/>
        <w:right w:val="none" w:sz="0" w:space="0" w:color="auto"/>
      </w:divBdr>
    </w:div>
    <w:div w:id="1713073291">
      <w:bodyDiv w:val="1"/>
      <w:marLeft w:val="0"/>
      <w:marRight w:val="0"/>
      <w:marTop w:val="0"/>
      <w:marBottom w:val="0"/>
      <w:divBdr>
        <w:top w:val="none" w:sz="0" w:space="0" w:color="auto"/>
        <w:left w:val="none" w:sz="0" w:space="0" w:color="auto"/>
        <w:bottom w:val="none" w:sz="0" w:space="0" w:color="auto"/>
        <w:right w:val="none" w:sz="0" w:space="0" w:color="auto"/>
      </w:divBdr>
    </w:div>
    <w:div w:id="1745646813">
      <w:bodyDiv w:val="1"/>
      <w:marLeft w:val="0"/>
      <w:marRight w:val="0"/>
      <w:marTop w:val="0"/>
      <w:marBottom w:val="0"/>
      <w:divBdr>
        <w:top w:val="none" w:sz="0" w:space="0" w:color="auto"/>
        <w:left w:val="none" w:sz="0" w:space="0" w:color="auto"/>
        <w:bottom w:val="none" w:sz="0" w:space="0" w:color="auto"/>
        <w:right w:val="none" w:sz="0" w:space="0" w:color="auto"/>
      </w:divBdr>
    </w:div>
    <w:div w:id="1748069425">
      <w:bodyDiv w:val="1"/>
      <w:marLeft w:val="0"/>
      <w:marRight w:val="0"/>
      <w:marTop w:val="0"/>
      <w:marBottom w:val="0"/>
      <w:divBdr>
        <w:top w:val="none" w:sz="0" w:space="0" w:color="auto"/>
        <w:left w:val="none" w:sz="0" w:space="0" w:color="auto"/>
        <w:bottom w:val="none" w:sz="0" w:space="0" w:color="auto"/>
        <w:right w:val="none" w:sz="0" w:space="0" w:color="auto"/>
      </w:divBdr>
    </w:div>
    <w:div w:id="1769305154">
      <w:bodyDiv w:val="1"/>
      <w:marLeft w:val="0"/>
      <w:marRight w:val="0"/>
      <w:marTop w:val="0"/>
      <w:marBottom w:val="0"/>
      <w:divBdr>
        <w:top w:val="none" w:sz="0" w:space="0" w:color="auto"/>
        <w:left w:val="none" w:sz="0" w:space="0" w:color="auto"/>
        <w:bottom w:val="none" w:sz="0" w:space="0" w:color="auto"/>
        <w:right w:val="none" w:sz="0" w:space="0" w:color="auto"/>
      </w:divBdr>
    </w:div>
    <w:div w:id="1777824944">
      <w:bodyDiv w:val="1"/>
      <w:marLeft w:val="0"/>
      <w:marRight w:val="0"/>
      <w:marTop w:val="0"/>
      <w:marBottom w:val="0"/>
      <w:divBdr>
        <w:top w:val="none" w:sz="0" w:space="0" w:color="auto"/>
        <w:left w:val="none" w:sz="0" w:space="0" w:color="auto"/>
        <w:bottom w:val="none" w:sz="0" w:space="0" w:color="auto"/>
        <w:right w:val="none" w:sz="0" w:space="0" w:color="auto"/>
      </w:divBdr>
    </w:div>
    <w:div w:id="1781954766">
      <w:bodyDiv w:val="1"/>
      <w:marLeft w:val="0"/>
      <w:marRight w:val="0"/>
      <w:marTop w:val="0"/>
      <w:marBottom w:val="0"/>
      <w:divBdr>
        <w:top w:val="none" w:sz="0" w:space="0" w:color="auto"/>
        <w:left w:val="none" w:sz="0" w:space="0" w:color="auto"/>
        <w:bottom w:val="none" w:sz="0" w:space="0" w:color="auto"/>
        <w:right w:val="none" w:sz="0" w:space="0" w:color="auto"/>
      </w:divBdr>
    </w:div>
    <w:div w:id="1868255453">
      <w:bodyDiv w:val="1"/>
      <w:marLeft w:val="0"/>
      <w:marRight w:val="0"/>
      <w:marTop w:val="0"/>
      <w:marBottom w:val="0"/>
      <w:divBdr>
        <w:top w:val="none" w:sz="0" w:space="0" w:color="auto"/>
        <w:left w:val="none" w:sz="0" w:space="0" w:color="auto"/>
        <w:bottom w:val="none" w:sz="0" w:space="0" w:color="auto"/>
        <w:right w:val="none" w:sz="0" w:space="0" w:color="auto"/>
      </w:divBdr>
      <w:divsChild>
        <w:div w:id="1316228246">
          <w:marLeft w:val="0"/>
          <w:marRight w:val="0"/>
          <w:marTop w:val="0"/>
          <w:marBottom w:val="0"/>
          <w:divBdr>
            <w:top w:val="none" w:sz="0" w:space="0" w:color="auto"/>
            <w:left w:val="none" w:sz="0" w:space="0" w:color="auto"/>
            <w:bottom w:val="none" w:sz="0" w:space="0" w:color="auto"/>
            <w:right w:val="none" w:sz="0" w:space="0" w:color="auto"/>
          </w:divBdr>
        </w:div>
      </w:divsChild>
    </w:div>
    <w:div w:id="1925871359">
      <w:bodyDiv w:val="1"/>
      <w:marLeft w:val="0"/>
      <w:marRight w:val="0"/>
      <w:marTop w:val="0"/>
      <w:marBottom w:val="0"/>
      <w:divBdr>
        <w:top w:val="none" w:sz="0" w:space="0" w:color="auto"/>
        <w:left w:val="none" w:sz="0" w:space="0" w:color="auto"/>
        <w:bottom w:val="none" w:sz="0" w:space="0" w:color="auto"/>
        <w:right w:val="none" w:sz="0" w:space="0" w:color="auto"/>
      </w:divBdr>
    </w:div>
    <w:div w:id="1945532756">
      <w:bodyDiv w:val="1"/>
      <w:marLeft w:val="0"/>
      <w:marRight w:val="0"/>
      <w:marTop w:val="0"/>
      <w:marBottom w:val="0"/>
      <w:divBdr>
        <w:top w:val="none" w:sz="0" w:space="0" w:color="auto"/>
        <w:left w:val="none" w:sz="0" w:space="0" w:color="auto"/>
        <w:bottom w:val="none" w:sz="0" w:space="0" w:color="auto"/>
        <w:right w:val="none" w:sz="0" w:space="0" w:color="auto"/>
      </w:divBdr>
      <w:divsChild>
        <w:div w:id="2137287911">
          <w:marLeft w:val="720"/>
          <w:marRight w:val="0"/>
          <w:marTop w:val="0"/>
          <w:marBottom w:val="0"/>
          <w:divBdr>
            <w:top w:val="none" w:sz="0" w:space="0" w:color="auto"/>
            <w:left w:val="none" w:sz="0" w:space="0" w:color="auto"/>
            <w:bottom w:val="none" w:sz="0" w:space="0" w:color="auto"/>
            <w:right w:val="none" w:sz="0" w:space="0" w:color="auto"/>
          </w:divBdr>
        </w:div>
      </w:divsChild>
    </w:div>
    <w:div w:id="1947075835">
      <w:bodyDiv w:val="1"/>
      <w:marLeft w:val="0"/>
      <w:marRight w:val="0"/>
      <w:marTop w:val="0"/>
      <w:marBottom w:val="0"/>
      <w:divBdr>
        <w:top w:val="none" w:sz="0" w:space="0" w:color="auto"/>
        <w:left w:val="none" w:sz="0" w:space="0" w:color="auto"/>
        <w:bottom w:val="none" w:sz="0" w:space="0" w:color="auto"/>
        <w:right w:val="none" w:sz="0" w:space="0" w:color="auto"/>
      </w:divBdr>
      <w:divsChild>
        <w:div w:id="1009219142">
          <w:marLeft w:val="720"/>
          <w:marRight w:val="0"/>
          <w:marTop w:val="0"/>
          <w:marBottom w:val="0"/>
          <w:divBdr>
            <w:top w:val="none" w:sz="0" w:space="0" w:color="auto"/>
            <w:left w:val="none" w:sz="0" w:space="0" w:color="auto"/>
            <w:bottom w:val="none" w:sz="0" w:space="0" w:color="auto"/>
            <w:right w:val="none" w:sz="0" w:space="0" w:color="auto"/>
          </w:divBdr>
        </w:div>
      </w:divsChild>
    </w:div>
    <w:div w:id="1953825259">
      <w:bodyDiv w:val="1"/>
      <w:marLeft w:val="0"/>
      <w:marRight w:val="0"/>
      <w:marTop w:val="0"/>
      <w:marBottom w:val="0"/>
      <w:divBdr>
        <w:top w:val="none" w:sz="0" w:space="0" w:color="auto"/>
        <w:left w:val="none" w:sz="0" w:space="0" w:color="auto"/>
        <w:bottom w:val="none" w:sz="0" w:space="0" w:color="auto"/>
        <w:right w:val="none" w:sz="0" w:space="0" w:color="auto"/>
      </w:divBdr>
    </w:div>
    <w:div w:id="1968730144">
      <w:bodyDiv w:val="1"/>
      <w:marLeft w:val="0"/>
      <w:marRight w:val="0"/>
      <w:marTop w:val="0"/>
      <w:marBottom w:val="0"/>
      <w:divBdr>
        <w:top w:val="none" w:sz="0" w:space="0" w:color="auto"/>
        <w:left w:val="none" w:sz="0" w:space="0" w:color="auto"/>
        <w:bottom w:val="none" w:sz="0" w:space="0" w:color="auto"/>
        <w:right w:val="none" w:sz="0" w:space="0" w:color="auto"/>
      </w:divBdr>
      <w:divsChild>
        <w:div w:id="623536098">
          <w:marLeft w:val="0"/>
          <w:marRight w:val="0"/>
          <w:marTop w:val="0"/>
          <w:marBottom w:val="0"/>
          <w:divBdr>
            <w:top w:val="none" w:sz="0" w:space="0" w:color="auto"/>
            <w:left w:val="none" w:sz="0" w:space="0" w:color="auto"/>
            <w:bottom w:val="none" w:sz="0" w:space="0" w:color="auto"/>
            <w:right w:val="none" w:sz="0" w:space="0" w:color="auto"/>
          </w:divBdr>
        </w:div>
      </w:divsChild>
    </w:div>
    <w:div w:id="2042777915">
      <w:bodyDiv w:val="1"/>
      <w:marLeft w:val="0"/>
      <w:marRight w:val="0"/>
      <w:marTop w:val="0"/>
      <w:marBottom w:val="0"/>
      <w:divBdr>
        <w:top w:val="none" w:sz="0" w:space="0" w:color="auto"/>
        <w:left w:val="none" w:sz="0" w:space="0" w:color="auto"/>
        <w:bottom w:val="none" w:sz="0" w:space="0" w:color="auto"/>
        <w:right w:val="none" w:sz="0" w:space="0" w:color="auto"/>
      </w:divBdr>
    </w:div>
    <w:div w:id="2099859407">
      <w:bodyDiv w:val="1"/>
      <w:marLeft w:val="0"/>
      <w:marRight w:val="0"/>
      <w:marTop w:val="0"/>
      <w:marBottom w:val="0"/>
      <w:divBdr>
        <w:top w:val="none" w:sz="0" w:space="0" w:color="auto"/>
        <w:left w:val="none" w:sz="0" w:space="0" w:color="auto"/>
        <w:bottom w:val="none" w:sz="0" w:space="0" w:color="auto"/>
        <w:right w:val="none" w:sz="0" w:space="0" w:color="auto"/>
      </w:divBdr>
      <w:divsChild>
        <w:div w:id="1133449360">
          <w:marLeft w:val="0"/>
          <w:marRight w:val="0"/>
          <w:marTop w:val="0"/>
          <w:marBottom w:val="0"/>
          <w:divBdr>
            <w:top w:val="none" w:sz="0" w:space="0" w:color="auto"/>
            <w:left w:val="none" w:sz="0" w:space="0" w:color="auto"/>
            <w:bottom w:val="none" w:sz="0" w:space="0" w:color="auto"/>
            <w:right w:val="none" w:sz="0" w:space="0" w:color="auto"/>
          </w:divBdr>
        </w:div>
      </w:divsChild>
    </w:div>
    <w:div w:id="2110008853">
      <w:bodyDiv w:val="1"/>
      <w:marLeft w:val="0"/>
      <w:marRight w:val="0"/>
      <w:marTop w:val="0"/>
      <w:marBottom w:val="0"/>
      <w:divBdr>
        <w:top w:val="none" w:sz="0" w:space="0" w:color="auto"/>
        <w:left w:val="none" w:sz="0" w:space="0" w:color="auto"/>
        <w:bottom w:val="none" w:sz="0" w:space="0" w:color="auto"/>
        <w:right w:val="none" w:sz="0" w:space="0" w:color="auto"/>
      </w:divBdr>
      <w:divsChild>
        <w:div w:id="248851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wd@pwd.org.au" TargetMode="External"/><Relationship Id="rId18" Type="http://schemas.openxmlformats.org/officeDocument/2006/relationships/hyperlink" Target="mailto:pwd@pwd.org.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yidentifiers.com.au/title_registration?isbn=978-0-6459325-1-5&amp;icon_type=New" TargetMode="External"/><Relationship Id="rId10" Type="http://schemas.openxmlformats.org/officeDocument/2006/relationships/endnotes" Target="endnotes.xml"/><Relationship Id="rId19" Type="http://schemas.openxmlformats.org/officeDocument/2006/relationships/hyperlink" Target="mailto:giancarlod@pwd.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wd.org.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8" Type="http://schemas.openxmlformats.org/officeDocument/2006/relationships/hyperlink" Target="https://www.disabilitygateway.gov.au/ads" TargetMode="External"/><Relationship Id="rId13" Type="http://schemas.openxmlformats.org/officeDocument/2006/relationships/hyperlink" Target="https://theconversation.com/nsws-anti-discrimination-law-is-confusing-and-outdated-why-is-it-lagging-behind-the-country-on-reform-166753" TargetMode="External"/><Relationship Id="rId3" Type="http://schemas.openxmlformats.org/officeDocument/2006/relationships/hyperlink" Target="https://antidiscrimination.nsw.gov.au/documents/annual-reports/anti-discrimination-annual-report-2021-22.pdf" TargetMode="External"/><Relationship Id="rId7" Type="http://schemas.openxmlformats.org/officeDocument/2006/relationships/hyperlink" Target="https://humanrights.gov.au/about/news/speeches/new-national-human-rights-framework-australia" TargetMode="External"/><Relationship Id="rId12" Type="http://schemas.openxmlformats.org/officeDocument/2006/relationships/hyperlink" Target="https://www.legislation.gov.uk/ukpga/2010/15/introduction" TargetMode="External"/><Relationship Id="rId2" Type="http://schemas.openxmlformats.org/officeDocument/2006/relationships/hyperlink" Target="https://www.abs.gov.au/statistics/health/disability/disability-ageing-and-carers-australia-summary-findings/latest-release" TargetMode="External"/><Relationship Id="rId1" Type="http://schemas.openxmlformats.org/officeDocument/2006/relationships/hyperlink" Target="https://www.aihw.gov.au/reports/disability/people-with-disability-in-australia/contents/about" TargetMode="External"/><Relationship Id="rId6" Type="http://schemas.openxmlformats.org/officeDocument/2006/relationships/hyperlink" Target="https://humanrights.gov.au/human-rights-act-for-australia" TargetMode="External"/><Relationship Id="rId11" Type="http://schemas.openxmlformats.org/officeDocument/2006/relationships/hyperlink" Target="https://legislation.nsw.gov.au/view/whole/html/inforce/current/act-2014-041" TargetMode="External"/><Relationship Id="rId5" Type="http://schemas.openxmlformats.org/officeDocument/2006/relationships/hyperlink" Target="https://humanrights.gov.au/our-work/legal/submission/submission-inquiry-australias-human-rights-framework" TargetMode="External"/><Relationship Id="rId10" Type="http://schemas.openxmlformats.org/officeDocument/2006/relationships/hyperlink" Target="https://humanrights.gov.au/our-work/rights-and-freedoms/publications/free-and-equal-reform-agenda-federal-discrimination-laws" TargetMode="External"/><Relationship Id="rId4" Type="http://schemas.openxmlformats.org/officeDocument/2006/relationships/hyperlink" Target="https://www.aph.gov.au/parliamentary_business/committees/joint/human_rights" TargetMode="External"/><Relationship Id="rId9" Type="http://schemas.openxmlformats.org/officeDocument/2006/relationships/hyperlink" Target="https://apo.org.au/node/315602"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6" ma:contentTypeDescription="Create a new document." ma:contentTypeScope="" ma:versionID="aaca61e8d9b43b2a7c1abb6231e4c9d7">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09ad2e544060b8c899e33793801b18bf"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34ce3a-5e91-4c3e-a547-d26872c14688}"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56efc0a-87e0-423d-a808-41f60acde31c">
      <Terms xmlns="http://schemas.microsoft.com/office/infopath/2007/PartnerControls"/>
    </lcf76f155ced4ddcb4097134ff3c332f>
    <TaxCatchAll xmlns="02726c10-34f2-49b5-8ce6-b6efaf8f9534" xsi:nil="true"/>
  </documentManagement>
</p:properties>
</file>

<file path=customXml/itemProps1.xml><?xml version="1.0" encoding="utf-8"?>
<ds:datastoreItem xmlns:ds="http://schemas.openxmlformats.org/officeDocument/2006/customXml" ds:itemID="{D8D40434-D625-49F4-AD41-D331595534A6}">
  <ds:schemaRefs>
    <ds:schemaRef ds:uri="http://schemas.microsoft.com/sharepoint/v3/contenttype/forms"/>
  </ds:schemaRefs>
</ds:datastoreItem>
</file>

<file path=customXml/itemProps2.xml><?xml version="1.0" encoding="utf-8"?>
<ds:datastoreItem xmlns:ds="http://schemas.openxmlformats.org/officeDocument/2006/customXml" ds:itemID="{180C640B-1F87-4AFE-B4E7-75E1F5E99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efc0a-87e0-423d-a808-41f60acde31c"/>
    <ds:schemaRef ds:uri="02726c10-34f2-49b5-8ce6-b6efaf8f9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A3E5A5-8F89-4E85-87A1-68DC09914CE7}">
  <ds:schemaRefs>
    <ds:schemaRef ds:uri="http://schemas.openxmlformats.org/officeDocument/2006/bibliography"/>
  </ds:schemaRefs>
</ds:datastoreItem>
</file>

<file path=customXml/itemProps4.xml><?xml version="1.0" encoding="utf-8"?>
<ds:datastoreItem xmlns:ds="http://schemas.openxmlformats.org/officeDocument/2006/customXml" ds:itemID="{CFD467EC-2DC0-4206-AECF-A1FF81333F09}">
  <ds:schemaRefs>
    <ds:schemaRef ds:uri="http://schemas.microsoft.com/office/2006/metadata/properties"/>
    <ds:schemaRef ds:uri="http://schemas.microsoft.com/office/infopath/2007/PartnerControls"/>
    <ds:schemaRef ds:uri="556efc0a-87e0-423d-a808-41f60acde31c"/>
    <ds:schemaRef ds:uri="02726c10-34f2-49b5-8ce6-b6efaf8f9534"/>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6911</Words>
  <Characters>39394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46213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Ira</dc:creator>
  <cp:lastModifiedBy>Giancarlo de Vera</cp:lastModifiedBy>
  <cp:revision>10</cp:revision>
  <cp:lastPrinted>2023-09-28T04:39:00Z</cp:lastPrinted>
  <dcterms:created xsi:type="dcterms:W3CDTF">2023-09-29T05:21:00Z</dcterms:created>
  <dcterms:modified xsi:type="dcterms:W3CDTF">2023-09-29T05:35:00Z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0x010100442E8EBBB996DB47A337624F94F1FFC7</vt:lpwstr>
  </property>
  <property fmtid="{D5CDD505-2E9C-101B-9397-08002B2CF9AE}" pid="3" name="Order">
    <vt:r8>1389400</vt:r8>
  </property>
  <property fmtid="{D5CDD505-2E9C-101B-9397-08002B2CF9AE}" pid="4" name="MediaServiceImageTags">
    <vt:lpwstr/>
  </property>
</Properties>
</file>