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0185350"/>
    <w:bookmarkStart w:id="1" w:name="_Toc120188422"/>
    <w:bookmarkStart w:id="2" w:name="_Toc120256619"/>
    <w:bookmarkStart w:id="3" w:name="_Toc120256787"/>
    <w:bookmarkStart w:id="4" w:name="_Toc120270810"/>
    <w:bookmarkStart w:id="5" w:name="_Toc120876354"/>
    <w:bookmarkStart w:id="6" w:name="_Toc121904076"/>
    <w:bookmarkStart w:id="7" w:name="_Toc121904236"/>
    <w:bookmarkStart w:id="8" w:name="_Toc122010535"/>
    <w:bookmarkStart w:id="9" w:name="_Toc136542537"/>
    <w:bookmarkStart w:id="10" w:name="_Toc136544397"/>
    <w:bookmarkStart w:id="11" w:name="_Toc136805640"/>
    <w:bookmarkStart w:id="12" w:name="_Toc136867588"/>
    <w:bookmarkStart w:id="13" w:name="_Toc140496511"/>
    <w:bookmarkStart w:id="14" w:name="_Toc141200521"/>
    <w:bookmarkStart w:id="15" w:name="_Toc144736899"/>
    <w:bookmarkStart w:id="16" w:name="_Toc144737172"/>
    <w:bookmarkStart w:id="17" w:name="_Toc145675282"/>
    <w:bookmarkStart w:id="18" w:name="_Toc146283609"/>
    <w:bookmarkStart w:id="19" w:name="_Toc146291266"/>
    <w:bookmarkStart w:id="20" w:name="_Toc146799961"/>
    <w:bookmarkStart w:id="21" w:name="_Toc146809461"/>
    <w:bookmarkStart w:id="22" w:name="_Toc146809656"/>
    <w:bookmarkStart w:id="23" w:name="_Toc146877509"/>
    <w:bookmarkStart w:id="24" w:name="_Toc147479595"/>
    <w:bookmarkStart w:id="25" w:name="_Toc147484590"/>
    <w:bookmarkStart w:id="26" w:name="_Toc147489850"/>
    <w:bookmarkStart w:id="27" w:name="_Toc147603437"/>
    <w:bookmarkStart w:id="28" w:name="_Toc147911753"/>
    <w:bookmarkStart w:id="29" w:name="_Toc148013334"/>
    <w:bookmarkStart w:id="30" w:name="_Toc148013425"/>
    <w:bookmarkStart w:id="31" w:name="_Toc148696750"/>
    <w:bookmarkStart w:id="32" w:name="_Toc148957739"/>
    <w:bookmarkStart w:id="33" w:name="_Toc148957816"/>
    <w:p w14:paraId="2ED1F5B0" w14:textId="79667F16" w:rsidR="004F0489" w:rsidRPr="00111074" w:rsidRDefault="007D215F" w:rsidP="008A2313">
      <w:pPr>
        <w:pStyle w:val="Heading1"/>
        <w:rPr>
          <w:color w:val="FFFFFF" w:themeColor="background1"/>
        </w:rPr>
      </w:pPr>
      <w:r w:rsidRPr="00111074">
        <w:rPr>
          <w:noProof/>
          <w:color w:val="FFFFFF" w:themeColor="background1"/>
        </w:rPr>
        <mc:AlternateContent>
          <mc:Choice Requires="wps">
            <w:drawing>
              <wp:inline distT="0" distB="0" distL="0" distR="0" wp14:anchorId="56B519DB" wp14:editId="4A7BA022">
                <wp:extent cx="2394066" cy="556953"/>
                <wp:effectExtent l="0" t="0" r="0" b="0"/>
                <wp:docPr id="1" name="Rectangle 1" descr="People with Disability Australia logo"/>
                <wp:cNvGraphicFramePr/>
                <a:graphic xmlns:a="http://schemas.openxmlformats.org/drawingml/2006/main">
                  <a:graphicData uri="http://schemas.microsoft.com/office/word/2010/wordprocessingShape">
                    <wps:wsp>
                      <wps:cNvSpPr/>
                      <wps:spPr>
                        <a:xfrm>
                          <a:off x="0" y="0"/>
                          <a:ext cx="2394066" cy="556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447042" id="Rectangle 1" o:spid="_x0000_s1026" alt="People with Disability Australia logo" style="width:188.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" filled="f" stroked="f" strokeweight="1pt">
                <w10:anchorlock/>
              </v:rect>
            </w:pict>
          </mc:Fallback>
        </mc:AlternateContent>
      </w:r>
      <w:bookmarkStart w:id="34" w:name="_Toc136542538"/>
      <w:bookmarkStart w:id="35" w:name="_Toc136544398"/>
      <w:bookmarkStart w:id="36" w:name="_Toc136805641"/>
      <w:bookmarkStart w:id="37" w:name="_Toc136867589"/>
      <w:bookmarkStart w:id="38" w:name="_Toc140496512"/>
      <w:bookmarkStart w:id="39" w:name="_Toc121904078"/>
      <w:bookmarkStart w:id="40" w:name="_Toc121904238"/>
      <w:bookmarkStart w:id="41" w:name="_Toc122010537"/>
      <w:bookmarkStart w:id="42" w:name="_Toc136542539"/>
      <w:bookmarkStart w:id="43" w:name="_Toc136544399"/>
      <w:bookmarkStart w:id="44" w:name="_Toc136805642"/>
      <w:bookmarkStart w:id="45" w:name="_Toc1368675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9E450BC" w14:textId="77777777" w:rsidR="00BA364F" w:rsidRPr="00111074" w:rsidRDefault="00BA364F" w:rsidP="008A2313">
      <w:pPr>
        <w:pStyle w:val="Heading1"/>
        <w:rPr>
          <w:color w:val="FFFFFF" w:themeColor="background1"/>
        </w:rPr>
      </w:pPr>
      <w:bookmarkStart w:id="46" w:name="_Toc147405532"/>
      <w:bookmarkStart w:id="47" w:name="_Toc147479596"/>
      <w:bookmarkStart w:id="48" w:name="_Toc147484591"/>
      <w:bookmarkStart w:id="49" w:name="_Toc147489851"/>
      <w:bookmarkStart w:id="50" w:name="_Toc147603438"/>
      <w:bookmarkStart w:id="51" w:name="_Toc147911754"/>
      <w:bookmarkStart w:id="52" w:name="_Toc148013335"/>
      <w:bookmarkStart w:id="53" w:name="_Toc148013426"/>
      <w:bookmarkStart w:id="54" w:name="_Toc148696751"/>
      <w:bookmarkStart w:id="55" w:name="_Toc140496513"/>
      <w:bookmarkStart w:id="56" w:name="_Toc141200524"/>
      <w:bookmarkStart w:id="57" w:name="_Toc144736902"/>
      <w:bookmarkStart w:id="58" w:name="_Toc144737175"/>
      <w:bookmarkStart w:id="59" w:name="_Toc146291268"/>
      <w:bookmarkStart w:id="60" w:name="_Toc146809463"/>
      <w:bookmarkStart w:id="61" w:name="_Toc146877511"/>
      <w:bookmarkStart w:id="62" w:name="_Toc148957740"/>
      <w:bookmarkStart w:id="63" w:name="_Toc148957817"/>
      <w:bookmarkEnd w:id="34"/>
      <w:bookmarkEnd w:id="35"/>
      <w:bookmarkEnd w:id="36"/>
      <w:bookmarkEnd w:id="37"/>
      <w:bookmarkEnd w:id="38"/>
      <w:r w:rsidRPr="00111074">
        <w:rPr>
          <w:color w:val="FFFFFF" w:themeColor="background1"/>
        </w:rPr>
        <w:t>National Housing and Homelessness Plan Response</w:t>
      </w:r>
      <w:bookmarkEnd w:id="46"/>
      <w:bookmarkEnd w:id="47"/>
      <w:bookmarkEnd w:id="48"/>
      <w:bookmarkEnd w:id="49"/>
      <w:bookmarkEnd w:id="50"/>
      <w:bookmarkEnd w:id="51"/>
      <w:bookmarkEnd w:id="52"/>
      <w:bookmarkEnd w:id="53"/>
      <w:bookmarkEnd w:id="54"/>
      <w:bookmarkEnd w:id="62"/>
      <w:bookmarkEnd w:id="63"/>
    </w:p>
    <w:p w14:paraId="2F00B221" w14:textId="30484283" w:rsidR="002D32E8" w:rsidRPr="00111074" w:rsidRDefault="00336BBA" w:rsidP="00111074">
      <w:pPr>
        <w:pStyle w:val="Heading4"/>
        <w:rPr>
          <w:color w:val="FFFFFF" w:themeColor="background1"/>
        </w:rPr>
      </w:pPr>
      <w:bookmarkStart w:id="64" w:name="_Toc147479597"/>
      <w:bookmarkStart w:id="65" w:name="_Toc147484592"/>
      <w:bookmarkStart w:id="66" w:name="_Toc147489852"/>
      <w:bookmarkStart w:id="67" w:name="_Toc147603439"/>
      <w:bookmarkStart w:id="68" w:name="_Toc147911755"/>
      <w:bookmarkStart w:id="69" w:name="_Toc148013336"/>
      <w:bookmarkStart w:id="70" w:name="_Toc148013427"/>
      <w:bookmarkStart w:id="71" w:name="_Toc148696752"/>
      <w:bookmarkStart w:id="72" w:name="_Toc148957741"/>
      <w:bookmarkStart w:id="73" w:name="_Toc148957818"/>
      <w:r w:rsidRPr="00111074">
        <w:rPr>
          <w:rFonts w:eastAsiaTheme="minorHAnsi"/>
          <w:color w:val="FFFFFF" w:themeColor="background1"/>
        </w:rPr>
        <w:t>S</w:t>
      </w:r>
      <w:r w:rsidR="002937C8" w:rsidRPr="00111074">
        <w:rPr>
          <w:noProof/>
          <w:color w:val="FFFFFF" w:themeColor="background1"/>
          <w:lang w:eastAsia="en-AU"/>
        </w:rPr>
        <w:drawing>
          <wp:anchor distT="0" distB="0" distL="114300" distR="114300" simplePos="0" relativeHeight="251662336" behindDoc="1" locked="1" layoutInCell="1" allowOverlap="1" wp14:anchorId="329DC500" wp14:editId="11B763EF">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39"/>
      <w:bookmarkEnd w:id="40"/>
      <w:bookmarkEnd w:id="41"/>
      <w:bookmarkEnd w:id="42"/>
      <w:bookmarkEnd w:id="43"/>
      <w:bookmarkEnd w:id="44"/>
      <w:bookmarkEnd w:id="45"/>
      <w:bookmarkEnd w:id="55"/>
      <w:bookmarkEnd w:id="56"/>
      <w:bookmarkEnd w:id="57"/>
      <w:bookmarkEnd w:id="58"/>
      <w:bookmarkEnd w:id="59"/>
      <w:bookmarkEnd w:id="60"/>
      <w:bookmarkEnd w:id="61"/>
      <w:r w:rsidR="00A96C13" w:rsidRPr="00111074">
        <w:rPr>
          <w:rFonts w:eastAsiaTheme="minorHAnsi"/>
          <w:color w:val="FFFFFF" w:themeColor="background1"/>
        </w:rPr>
        <w:t>ubmission to the National Housing and Homelessness Plan Issues Paper</w:t>
      </w:r>
      <w:bookmarkEnd w:id="64"/>
      <w:bookmarkEnd w:id="65"/>
      <w:bookmarkEnd w:id="66"/>
      <w:bookmarkEnd w:id="67"/>
      <w:bookmarkEnd w:id="68"/>
      <w:bookmarkEnd w:id="69"/>
      <w:bookmarkEnd w:id="70"/>
      <w:bookmarkEnd w:id="71"/>
      <w:bookmarkEnd w:id="72"/>
      <w:bookmarkEnd w:id="73"/>
      <w:r w:rsidR="00A96C13" w:rsidRPr="00111074">
        <w:rPr>
          <w:rFonts w:eastAsiaTheme="minorHAnsi"/>
          <w:color w:val="FFFFFF" w:themeColor="background1"/>
        </w:rPr>
        <w:t xml:space="preserve"> </w:t>
      </w:r>
    </w:p>
    <w:p w14:paraId="7D601F01" w14:textId="187DBEA7" w:rsidR="002937C8" w:rsidRPr="00111074" w:rsidRDefault="006F4C6F" w:rsidP="00241B3B">
      <w:pPr>
        <w:pStyle w:val="BodyText"/>
        <w:rPr>
          <w:color w:val="FFFFFF" w:themeColor="background1"/>
          <w:lang w:val="en-AU"/>
        </w:rPr>
        <w:sectPr w:rsidR="002937C8" w:rsidRPr="00111074" w:rsidSect="007D215F">
          <w:footerReference w:type="default" r:id="rId12"/>
          <w:pgSz w:w="11906" w:h="16838" w:code="9"/>
          <w:pgMar w:top="8222" w:right="1134" w:bottom="1928" w:left="3686" w:header="284" w:footer="510" w:gutter="0"/>
          <w:cols w:space="708"/>
          <w:docGrid w:linePitch="360"/>
        </w:sectPr>
      </w:pPr>
      <w:r w:rsidRPr="00111074">
        <w:rPr>
          <w:noProof/>
          <w:color w:val="FFFFFF" w:themeColor="background1"/>
          <w:lang w:val="en-AU" w:eastAsia="en-AU"/>
        </w:rPr>
        <mc:AlternateContent>
          <mc:Choice Requires="wps">
            <w:drawing>
              <wp:anchor distT="0" distB="0" distL="114300" distR="114300" simplePos="0" relativeHeight="251688960" behindDoc="0" locked="0" layoutInCell="1" allowOverlap="1" wp14:anchorId="3E5E88C6" wp14:editId="30939BDE">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6ED6B8A0" w:rsidR="006F4C6F" w:rsidRPr="00241B3B" w:rsidRDefault="00616927" w:rsidP="006F4C6F">
                            <w:pPr>
                              <w:pStyle w:val="TitleDate"/>
                              <w:rPr>
                                <w:rFonts w:ascii="VAG Rounded" w:hAnsi="VAG Rounded"/>
                              </w:rPr>
                            </w:pPr>
                            <w:r w:rsidRPr="00241B3B">
                              <w:rPr>
                                <w:rFonts w:ascii="VAG Rounded" w:hAnsi="VAG Rounded"/>
                              </w:rPr>
                              <w:t xml:space="preserve">Oct </w:t>
                            </w:r>
                          </w:p>
                          <w:p w14:paraId="794B7526" w14:textId="55E2105E" w:rsidR="006F4C6F" w:rsidRPr="00241B3B" w:rsidRDefault="006F4C6F" w:rsidP="006F4C6F">
                            <w:pPr>
                              <w:pStyle w:val="TitleDate"/>
                              <w:rPr>
                                <w:rFonts w:ascii="VAG Rounded" w:hAnsi="VAG Rounded"/>
                              </w:rPr>
                            </w:pPr>
                            <w:r w:rsidRPr="00241B3B">
                              <w:rPr>
                                <w:rFonts w:ascii="VAG Rounded" w:hAnsi="VAG Rounded"/>
                              </w:rPr>
                              <w:t>202</w:t>
                            </w:r>
                            <w:r w:rsidR="00BB4F37" w:rsidRPr="00241B3B">
                              <w:rPr>
                                <w:rFonts w:ascii="VAG Rounded" w:hAnsi="VAG Rounded"/>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7pt;margin-top:740.1pt;width:102.05pt;height:82.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6ED6B8A0" w:rsidR="006F4C6F" w:rsidRPr="00241B3B" w:rsidRDefault="00616927" w:rsidP="006F4C6F">
                      <w:pPr>
                        <w:pStyle w:val="TitleDate"/>
                        <w:rPr>
                          <w:rFonts w:ascii="VAG Rounded" w:hAnsi="VAG Rounded"/>
                        </w:rPr>
                      </w:pPr>
                      <w:r w:rsidRPr="00241B3B">
                        <w:rPr>
                          <w:rFonts w:ascii="VAG Rounded" w:hAnsi="VAG Rounded"/>
                        </w:rPr>
                        <w:t xml:space="preserve">Oct </w:t>
                      </w:r>
                    </w:p>
                    <w:p w14:paraId="794B7526" w14:textId="55E2105E" w:rsidR="006F4C6F" w:rsidRPr="00241B3B" w:rsidRDefault="006F4C6F" w:rsidP="006F4C6F">
                      <w:pPr>
                        <w:pStyle w:val="TitleDate"/>
                        <w:rPr>
                          <w:rFonts w:ascii="VAG Rounded" w:hAnsi="VAG Rounded"/>
                        </w:rPr>
                      </w:pPr>
                      <w:r w:rsidRPr="00241B3B">
                        <w:rPr>
                          <w:rFonts w:ascii="VAG Rounded" w:hAnsi="VAG Rounded"/>
                        </w:rPr>
                        <w:t>202</w:t>
                      </w:r>
                      <w:r w:rsidR="00BB4F37" w:rsidRPr="00241B3B">
                        <w:rPr>
                          <w:rFonts w:ascii="VAG Rounded" w:hAnsi="VAG Rounded"/>
                        </w:rPr>
                        <w:t>3</w:t>
                      </w:r>
                    </w:p>
                  </w:txbxContent>
                </v:textbox>
                <w10:wrap anchorx="page" anchory="page"/>
              </v:shape>
            </w:pict>
          </mc:Fallback>
        </mc:AlternateContent>
      </w:r>
    </w:p>
    <w:p w14:paraId="6C29C913" w14:textId="77777777" w:rsidR="00D840C3" w:rsidRPr="00241B3B" w:rsidRDefault="00D840C3" w:rsidP="008A2313">
      <w:pPr>
        <w:pStyle w:val="Heading1"/>
      </w:pPr>
      <w:bookmarkStart w:id="74" w:name="_Toc121904239"/>
      <w:bookmarkStart w:id="75" w:name="_Toc122010538"/>
      <w:bookmarkStart w:id="76" w:name="_Toc136542540"/>
      <w:bookmarkStart w:id="77" w:name="_Toc136544400"/>
      <w:bookmarkStart w:id="78" w:name="_Toc136805643"/>
      <w:bookmarkStart w:id="79" w:name="_Toc136867591"/>
      <w:bookmarkStart w:id="80" w:name="_Toc147405534"/>
      <w:bookmarkStart w:id="81" w:name="_Toc147479598"/>
      <w:bookmarkStart w:id="82" w:name="_Toc147484593"/>
      <w:bookmarkStart w:id="83" w:name="_Toc147489853"/>
      <w:bookmarkStart w:id="84" w:name="_Toc147603440"/>
      <w:bookmarkStart w:id="85" w:name="_Toc147911756"/>
      <w:bookmarkStart w:id="86" w:name="_Toc148013337"/>
      <w:bookmarkStart w:id="87" w:name="_Toc148013428"/>
      <w:bookmarkStart w:id="88" w:name="_Toc148957819"/>
      <w:r w:rsidRPr="00241B3B">
        <w:lastRenderedPageBreak/>
        <w:t>Copyright information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473A3A2" w14:textId="6F9551A7" w:rsidR="00D840C3" w:rsidRPr="00241B3B" w:rsidRDefault="00D840C3" w:rsidP="00241B3B">
      <w:pPr>
        <w:pStyle w:val="BodyText"/>
        <w:rPr>
          <w:lang w:val="en-AU"/>
        </w:rPr>
      </w:pPr>
      <w:bookmarkStart w:id="89" w:name="_Hlk120864433"/>
      <w:r w:rsidRPr="00241B3B">
        <w:rPr>
          <w:lang w:val="en-AU"/>
        </w:rPr>
        <w:t>National Housing and Homelessness Plan Response – Submission to the National Housing and Homelessness Plan Issue</w:t>
      </w:r>
      <w:r w:rsidR="00A96C13" w:rsidRPr="00241B3B">
        <w:rPr>
          <w:lang w:val="en-AU"/>
        </w:rPr>
        <w:t>s</w:t>
      </w:r>
      <w:r w:rsidRPr="00241B3B">
        <w:rPr>
          <w:lang w:val="en-AU"/>
        </w:rPr>
        <w:t xml:space="preserve"> Paper</w:t>
      </w:r>
      <w:bookmarkEnd w:id="89"/>
    </w:p>
    <w:p w14:paraId="6EAF61BB" w14:textId="493F2C43" w:rsidR="00D840C3" w:rsidRPr="006E1790" w:rsidRDefault="00D840C3" w:rsidP="00241B3B">
      <w:pPr>
        <w:pStyle w:val="BodyText"/>
        <w:rPr>
          <w:bCs/>
          <w:color w:val="005496"/>
          <w:u w:val="single"/>
          <w:lang w:val="en-AU"/>
        </w:rPr>
      </w:pPr>
      <w:r w:rsidRPr="00241B3B">
        <w:rPr>
          <w:lang w:val="en-AU"/>
        </w:rPr>
        <w:t>First published in 2023 by People with Disability Australia Ltd.</w:t>
      </w:r>
      <w:r w:rsidRPr="00241B3B">
        <w:rPr>
          <w:lang w:val="en-AU"/>
        </w:rPr>
        <w:br/>
        <w:t>Level 8, 418a Elizabeth Street, Surry Hills, New South Wales, Australia 2010</w:t>
      </w:r>
      <w:r w:rsidRPr="00241B3B">
        <w:rPr>
          <w:lang w:val="en-AU"/>
        </w:rPr>
        <w:br/>
        <w:t>Head office also in Sydney</w:t>
      </w:r>
      <w:r w:rsidRPr="00241B3B">
        <w:rPr>
          <w:lang w:val="en-AU"/>
        </w:rPr>
        <w:br/>
        <w:t>Email:</w:t>
      </w:r>
      <w:r w:rsidRPr="00241B3B">
        <w:rPr>
          <w:b/>
          <w:bCs/>
          <w:lang w:val="en-AU"/>
        </w:rPr>
        <w:t xml:space="preserve"> </w:t>
      </w:r>
      <w:hyperlink r:id="rId13" w:history="1">
        <w:r w:rsidR="00651330" w:rsidRPr="00241B3B">
          <w:rPr>
            <w:rStyle w:val="Hyperlink"/>
            <w:bCs/>
            <w:lang w:val="en-AU"/>
          </w:rPr>
          <w:t>pwd@pwd.org.au</w:t>
        </w:r>
      </w:hyperlink>
      <w:r w:rsidRPr="00241B3B">
        <w:rPr>
          <w:lang w:val="en-AU"/>
        </w:rPr>
        <w:br/>
        <w:t>Phone: +61 2 9370 3100 Fax: +61 2 9318 1372</w:t>
      </w:r>
      <w:r w:rsidRPr="00241B3B">
        <w:rPr>
          <w:lang w:val="en-AU"/>
        </w:rPr>
        <w:br/>
        <w:t xml:space="preserve">URL: </w:t>
      </w:r>
      <w:hyperlink r:id="rId14" w:history="1">
        <w:r w:rsidR="00920518" w:rsidRPr="00093F02">
          <w:rPr>
            <w:rStyle w:val="Hyperlink"/>
            <w:bCs/>
            <w:lang w:val="en-AU"/>
          </w:rPr>
          <w:t>www.pwd.org.au/</w:t>
        </w:r>
      </w:hyperlink>
    </w:p>
    <w:p w14:paraId="59452C6E" w14:textId="426C4712" w:rsidR="00D840C3" w:rsidRPr="00241B3B" w:rsidRDefault="00D840C3" w:rsidP="00241B3B">
      <w:pPr>
        <w:pStyle w:val="BodyText"/>
        <w:rPr>
          <w:lang w:val="en-AU"/>
        </w:rPr>
      </w:pPr>
      <w:r w:rsidRPr="00241B3B">
        <w:rPr>
          <w:lang w:val="en-AU"/>
        </w:rPr>
        <w:t xml:space="preserve">Typeset in Arial 12 and 14 pt and VAG Rounded 26 </w:t>
      </w:r>
      <w:r w:rsidR="00C019B6" w:rsidRPr="00241B3B">
        <w:rPr>
          <w:lang w:val="en-AU"/>
        </w:rPr>
        <w:t>pt.</w:t>
      </w:r>
    </w:p>
    <w:p w14:paraId="508CC57C" w14:textId="77777777" w:rsidR="00D840C3" w:rsidRPr="00241B3B" w:rsidRDefault="00D840C3" w:rsidP="00241B3B">
      <w:pPr>
        <w:pStyle w:val="BodyText"/>
        <w:rPr>
          <w:lang w:val="en-AU"/>
        </w:rPr>
      </w:pPr>
      <w:r w:rsidRPr="00241B3B">
        <w:rPr>
          <w:lang w:val="en-AU"/>
        </w:rPr>
        <w:t>© People with Disability Australia Ltd. 2023</w:t>
      </w:r>
    </w:p>
    <w:p w14:paraId="45644A77" w14:textId="30629674" w:rsidR="00D840C3" w:rsidRPr="00241B3B" w:rsidRDefault="00D840C3" w:rsidP="00241B3B">
      <w:pPr>
        <w:pStyle w:val="BodyText"/>
        <w:rPr>
          <w:lang w:val="en-AU"/>
        </w:rPr>
      </w:pPr>
      <w:r w:rsidRPr="00241B3B">
        <w:rPr>
          <w:lang w:val="en-AU"/>
        </w:rPr>
        <w:t xml:space="preserve">The moral rights of the authors have been </w:t>
      </w:r>
      <w:r w:rsidR="00C019B6" w:rsidRPr="00241B3B">
        <w:rPr>
          <w:lang w:val="en-AU"/>
        </w:rPr>
        <w:t>asserted.</w:t>
      </w:r>
    </w:p>
    <w:p w14:paraId="41C297DD" w14:textId="77777777" w:rsidR="00D840C3" w:rsidRPr="00241B3B" w:rsidRDefault="00D840C3" w:rsidP="00241B3B">
      <w:pPr>
        <w:pStyle w:val="BodyText"/>
        <w:rPr>
          <w:lang w:val="en-AU"/>
        </w:rPr>
      </w:pPr>
      <w:r w:rsidRPr="00241B3B">
        <w:rPr>
          <w:lang w:val="en-AU"/>
        </w:rPr>
        <w:t>National Library of Australia Cataloguing-in-Publication data: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D840C3" w:rsidRPr="00241B3B" w14:paraId="6B03C68D" w14:textId="77777777" w:rsidTr="0098071A">
        <w:tc>
          <w:tcPr>
            <w:tcW w:w="1413" w:type="dxa"/>
          </w:tcPr>
          <w:p w14:paraId="7B66E0B7" w14:textId="77777777" w:rsidR="00D840C3" w:rsidRPr="00241B3B" w:rsidRDefault="00D840C3" w:rsidP="00241B3B">
            <w:pPr>
              <w:pStyle w:val="BodyText"/>
              <w:rPr>
                <w:lang w:val="en-AU"/>
              </w:rPr>
            </w:pPr>
            <w:r w:rsidRPr="00241B3B">
              <w:rPr>
                <w:lang w:val="en-AU"/>
              </w:rPr>
              <w:t>Creator(s):</w:t>
            </w:r>
          </w:p>
        </w:tc>
        <w:tc>
          <w:tcPr>
            <w:tcW w:w="8215" w:type="dxa"/>
          </w:tcPr>
          <w:p w14:paraId="6C5DF16D" w14:textId="77777777" w:rsidR="00D840C3" w:rsidRPr="00241B3B" w:rsidRDefault="00D840C3" w:rsidP="00241B3B">
            <w:pPr>
              <w:pStyle w:val="BodyText"/>
              <w:rPr>
                <w:lang w:val="en-AU"/>
              </w:rPr>
            </w:pPr>
            <w:r w:rsidRPr="00241B3B">
              <w:rPr>
                <w:lang w:val="en-AU"/>
              </w:rPr>
              <w:t>Jane</w:t>
            </w:r>
            <w:bookmarkStart w:id="90" w:name="_Toc511064385"/>
            <w:r w:rsidRPr="00241B3B">
              <w:rPr>
                <w:lang w:val="en-AU"/>
              </w:rPr>
              <w:t xml:space="preserve"> Britt </w:t>
            </w:r>
          </w:p>
        </w:tc>
      </w:tr>
      <w:tr w:rsidR="00D840C3" w:rsidRPr="00241B3B" w14:paraId="38E2D33F" w14:textId="77777777" w:rsidTr="0098071A">
        <w:tc>
          <w:tcPr>
            <w:tcW w:w="1413" w:type="dxa"/>
          </w:tcPr>
          <w:p w14:paraId="0AE4F50E" w14:textId="77777777" w:rsidR="00D840C3" w:rsidRPr="00241B3B" w:rsidRDefault="00D840C3" w:rsidP="00241B3B">
            <w:pPr>
              <w:pStyle w:val="BodyText"/>
              <w:rPr>
                <w:lang w:val="en-AU"/>
              </w:rPr>
            </w:pPr>
            <w:r w:rsidRPr="00241B3B">
              <w:rPr>
                <w:lang w:val="en-AU"/>
              </w:rPr>
              <w:t>Title:</w:t>
            </w:r>
          </w:p>
        </w:tc>
        <w:tc>
          <w:tcPr>
            <w:tcW w:w="8215" w:type="dxa"/>
          </w:tcPr>
          <w:p w14:paraId="029568D1" w14:textId="05C14997" w:rsidR="00D840C3" w:rsidRPr="00241B3B" w:rsidRDefault="00D840C3" w:rsidP="00241B3B">
            <w:pPr>
              <w:pStyle w:val="BodyText"/>
              <w:rPr>
                <w:lang w:val="en-AU"/>
              </w:rPr>
            </w:pPr>
            <w:r w:rsidRPr="00241B3B">
              <w:rPr>
                <w:lang w:val="en-AU"/>
              </w:rPr>
              <w:t>National Housing and Homelessness Plan Response – Submission to the National Housing and Homelessness Plan Issue</w:t>
            </w:r>
            <w:r w:rsidR="00A96C13" w:rsidRPr="00241B3B">
              <w:rPr>
                <w:lang w:val="en-AU"/>
              </w:rPr>
              <w:t>s</w:t>
            </w:r>
            <w:r w:rsidRPr="00241B3B">
              <w:rPr>
                <w:lang w:val="en-AU"/>
              </w:rPr>
              <w:t xml:space="preserve"> Paper</w:t>
            </w:r>
          </w:p>
        </w:tc>
      </w:tr>
    </w:tbl>
    <w:p w14:paraId="4DDA3838" w14:textId="77777777" w:rsidR="00D840C3" w:rsidRPr="00241B3B" w:rsidRDefault="00D840C3" w:rsidP="00241B3B">
      <w:pPr>
        <w:pStyle w:val="BodyText"/>
        <w:rPr>
          <w:lang w:val="en-AU"/>
        </w:rPr>
      </w:pPr>
      <w:r w:rsidRPr="00241B3B">
        <w:rPr>
          <w:lang w:val="en-AU"/>
        </w:rPr>
        <w:t xml:space="preserve">All rights reserved. Except as permitted with the </w:t>
      </w:r>
      <w:r w:rsidRPr="00241B3B">
        <w:rPr>
          <w:i/>
          <w:iCs/>
          <w:lang w:val="en-AU"/>
        </w:rPr>
        <w:t>Australian Copyright Act 1968</w:t>
      </w:r>
      <w:r w:rsidRPr="00241B3B">
        <w:rPr>
          <w:lang w:val="en-AU"/>
        </w:rPr>
        <w:t xml:space="preserve"> (for example, a fair dealing for the purposes of study, research, criticism or review), no part of this book may be reproduced, stored in a retrieval system, communication or transmitted in any form or by any means without prior written permission. All inquiries should be made to the publisher at the address above.</w:t>
      </w:r>
    </w:p>
    <w:p w14:paraId="1DFACBBF" w14:textId="77777777" w:rsidR="00D840C3" w:rsidRPr="00241B3B" w:rsidRDefault="00D840C3" w:rsidP="00241B3B">
      <w:pPr>
        <w:pStyle w:val="BodyText"/>
        <w:rPr>
          <w:lang w:val="en-AU"/>
        </w:rPr>
      </w:pPr>
      <w:r w:rsidRPr="00241B3B">
        <w:rPr>
          <w:lang w:val="en-AU"/>
        </w:rPr>
        <w:t>Suggested citation:</w:t>
      </w:r>
    </w:p>
    <w:p w14:paraId="452D3A0A" w14:textId="44B27595" w:rsidR="00D840C3" w:rsidRPr="00241B3B" w:rsidRDefault="00D840C3" w:rsidP="00241B3B">
      <w:pPr>
        <w:pStyle w:val="BodyText"/>
        <w:rPr>
          <w:lang w:val="en-AU"/>
        </w:rPr>
      </w:pPr>
      <w:r w:rsidRPr="00241B3B">
        <w:rPr>
          <w:lang w:val="en-AU"/>
        </w:rPr>
        <w:t xml:space="preserve">Britt, J., </w:t>
      </w:r>
      <w:r w:rsidRPr="00920518">
        <w:rPr>
          <w:i/>
          <w:iCs/>
          <w:lang w:val="en-AU"/>
        </w:rPr>
        <w:t>National Housing and Homelessness Plan Response – Submission to the National Housing and Homelessness Plan Issue</w:t>
      </w:r>
      <w:r w:rsidR="00A96C13" w:rsidRPr="00920518">
        <w:rPr>
          <w:i/>
          <w:iCs/>
          <w:lang w:val="en-AU"/>
        </w:rPr>
        <w:t>s</w:t>
      </w:r>
      <w:r w:rsidRPr="00920518">
        <w:rPr>
          <w:i/>
          <w:iCs/>
          <w:lang w:val="en-AU"/>
        </w:rPr>
        <w:t xml:space="preserve"> Paper</w:t>
      </w:r>
      <w:r w:rsidRPr="00241B3B">
        <w:rPr>
          <w:lang w:val="en-AU"/>
        </w:rPr>
        <w:t xml:space="preserve">, </w:t>
      </w:r>
      <w:r w:rsidR="00CE4F44" w:rsidRPr="00241B3B">
        <w:rPr>
          <w:lang w:val="en-AU"/>
        </w:rPr>
        <w:t xml:space="preserve">20 </w:t>
      </w:r>
      <w:r w:rsidRPr="00241B3B">
        <w:rPr>
          <w:lang w:val="en-AU"/>
        </w:rPr>
        <w:t>October 2023, People with Disability Australia, Sydney.</w:t>
      </w:r>
    </w:p>
    <w:p w14:paraId="73186ADF" w14:textId="77777777" w:rsidR="00D840C3" w:rsidRPr="00241B3B" w:rsidRDefault="00D840C3" w:rsidP="0091255A">
      <w:pPr>
        <w:spacing w:before="0" w:after="0" w:line="240" w:lineRule="auto"/>
      </w:pPr>
    </w:p>
    <w:p w14:paraId="0AC8D3AB" w14:textId="7D69FC68" w:rsidR="00D840C3" w:rsidRPr="00241B3B" w:rsidRDefault="00D840C3" w:rsidP="0091255A">
      <w:pPr>
        <w:spacing w:before="0" w:after="0" w:line="240" w:lineRule="auto"/>
        <w:rPr>
          <w:rFonts w:ascii="Arial" w:hAnsi="Arial" w:cs="Arial"/>
          <w:shd w:val="clear" w:color="auto" w:fill="FFFFFF"/>
        </w:rPr>
      </w:pPr>
      <w:r w:rsidRPr="00241B3B">
        <w:rPr>
          <w:rFonts w:ascii="Arial" w:hAnsi="Arial" w:cs="Arial"/>
        </w:rPr>
        <w:t xml:space="preserve">ISBN </w:t>
      </w:r>
      <w:r w:rsidR="00A55837" w:rsidRPr="00241B3B">
        <w:rPr>
          <w:rFonts w:ascii="Arial" w:hAnsi="Arial" w:cs="Arial"/>
          <w:color w:val="000000"/>
          <w:shd w:val="clear" w:color="auto" w:fill="FFFFFF"/>
        </w:rPr>
        <w:t>978-0-6459325-2-2</w:t>
      </w:r>
    </w:p>
    <w:p w14:paraId="620DB16D" w14:textId="2DF10EA6" w:rsidR="00821B84" w:rsidRPr="00241B3B" w:rsidRDefault="00821B84" w:rsidP="0091255A">
      <w:pPr>
        <w:spacing w:before="0" w:after="0" w:line="312" w:lineRule="auto"/>
        <w:rPr>
          <w:rFonts w:cstheme="minorHAnsi"/>
        </w:rPr>
      </w:pPr>
    </w:p>
    <w:p w14:paraId="4CA24B77" w14:textId="15A78A12" w:rsidR="00AB7E1D" w:rsidRPr="00241B3B" w:rsidRDefault="00060C05" w:rsidP="00060C05">
      <w:pPr>
        <w:pStyle w:val="TOCHeading"/>
        <w:rPr>
          <w:lang w:val="en-AU"/>
        </w:rPr>
      </w:pPr>
      <w:bookmarkStart w:id="91" w:name="_Toc146291270"/>
      <w:bookmarkStart w:id="92" w:name="_Toc136867592"/>
      <w:bookmarkStart w:id="93" w:name="_Toc136805644"/>
      <w:bookmarkStart w:id="94" w:name="_Toc136544401"/>
      <w:bookmarkStart w:id="95" w:name="_Toc136542541"/>
      <w:bookmarkStart w:id="96" w:name="_Toc122010539"/>
      <w:bookmarkStart w:id="97" w:name="_Toc121904240"/>
      <w:bookmarkStart w:id="98" w:name="_Toc119605127"/>
      <w:bookmarkStart w:id="99" w:name="_Toc117749735"/>
      <w:bookmarkStart w:id="100" w:name="_Toc146877513"/>
      <w:bookmarkStart w:id="101" w:name="_Toc147479599"/>
      <w:bookmarkStart w:id="102" w:name="_Toc83718528"/>
      <w:bookmarkStart w:id="103" w:name="_Toc83717712"/>
      <w:r w:rsidRPr="00241B3B">
        <w:rPr>
          <w:lang w:val="en-AU"/>
        </w:rPr>
        <w:lastRenderedPageBreak/>
        <w:t>Table of Contents</w:t>
      </w:r>
    </w:p>
    <w:bookmarkStart w:id="104" w:name="_Toc147911757" w:displacedByCustomXml="next"/>
    <w:bookmarkStart w:id="105" w:name="_Toc147603441" w:displacedByCustomXml="next"/>
    <w:bookmarkStart w:id="106" w:name="_Toc147489854" w:displacedByCustomXml="next"/>
    <w:bookmarkStart w:id="107" w:name="_Toc147484594" w:displacedByCustomXml="next"/>
    <w:sdt>
      <w:sdtPr>
        <w:id w:val="-888718137"/>
        <w:docPartObj>
          <w:docPartGallery w:val="Table of Contents"/>
          <w:docPartUnique/>
        </w:docPartObj>
      </w:sdtPr>
      <w:sdtEndPr>
        <w:rPr>
          <w:rFonts w:asciiTheme="minorHAnsi" w:eastAsiaTheme="minorHAnsi" w:hAnsiTheme="minorHAnsi" w:cstheme="minorBidi"/>
          <w:bCs/>
          <w:color w:val="auto"/>
          <w:lang w:val="en-AU"/>
        </w:rPr>
      </w:sdtEndPr>
      <w:sdtContent>
        <w:p w14:paraId="1586D8BC" w14:textId="712C6548" w:rsidR="000708AB" w:rsidRPr="00241B3B" w:rsidRDefault="000708AB" w:rsidP="008A2313">
          <w:pPr>
            <w:pStyle w:val="BodyText"/>
          </w:pPr>
        </w:p>
        <w:p w14:paraId="2854678A" w14:textId="357200FE" w:rsidR="008A2313" w:rsidRDefault="000708AB">
          <w:pPr>
            <w:pStyle w:val="TOC1"/>
            <w:rPr>
              <w:rFonts w:eastAsiaTheme="minorEastAsia"/>
              <w:b w:val="0"/>
              <w:bCs w:val="0"/>
              <w:kern w:val="2"/>
              <w:sz w:val="22"/>
              <w:szCs w:val="22"/>
              <w:lang w:eastAsia="en-AU"/>
              <w14:ligatures w14:val="standardContextual"/>
            </w:rPr>
          </w:pPr>
          <w:r w:rsidRPr="00241B3B">
            <w:rPr>
              <w:noProof w:val="0"/>
            </w:rPr>
            <w:fldChar w:fldCharType="begin"/>
          </w:r>
          <w:r w:rsidRPr="00241B3B">
            <w:rPr>
              <w:noProof w:val="0"/>
            </w:rPr>
            <w:instrText xml:space="preserve"> TOC \o "1-3" \h \z \u </w:instrText>
          </w:r>
          <w:r w:rsidRPr="00241B3B">
            <w:rPr>
              <w:noProof w:val="0"/>
            </w:rPr>
            <w:fldChar w:fldCharType="separate"/>
          </w:r>
        </w:p>
        <w:p w14:paraId="22ACBEB7" w14:textId="277D7712" w:rsidR="008A2313" w:rsidRDefault="008A2313">
          <w:pPr>
            <w:pStyle w:val="TOC1"/>
            <w:rPr>
              <w:rFonts w:eastAsiaTheme="minorEastAsia"/>
              <w:b w:val="0"/>
              <w:bCs w:val="0"/>
              <w:kern w:val="2"/>
              <w:sz w:val="22"/>
              <w:szCs w:val="22"/>
              <w:lang w:eastAsia="en-AU"/>
              <w14:ligatures w14:val="standardContextual"/>
            </w:rPr>
          </w:pPr>
          <w:hyperlink w:anchor="_Toc148957819" w:history="1">
            <w:r w:rsidRPr="007F228B">
              <w:rPr>
                <w:rStyle w:val="Hyperlink"/>
              </w:rPr>
              <w:t>Copyright info</w:t>
            </w:r>
            <w:r w:rsidRPr="007F228B">
              <w:rPr>
                <w:rStyle w:val="Hyperlink"/>
              </w:rPr>
              <w:t>r</w:t>
            </w:r>
            <w:r w:rsidRPr="007F228B">
              <w:rPr>
                <w:rStyle w:val="Hyperlink"/>
              </w:rPr>
              <w:t>mation</w:t>
            </w:r>
            <w:r>
              <w:rPr>
                <w:webHidden/>
              </w:rPr>
              <w:tab/>
            </w:r>
            <w:r>
              <w:rPr>
                <w:webHidden/>
              </w:rPr>
              <w:fldChar w:fldCharType="begin"/>
            </w:r>
            <w:r>
              <w:rPr>
                <w:webHidden/>
              </w:rPr>
              <w:instrText xml:space="preserve"> PAGEREF _Toc148957819 \h </w:instrText>
            </w:r>
            <w:r>
              <w:rPr>
                <w:webHidden/>
              </w:rPr>
            </w:r>
            <w:r>
              <w:rPr>
                <w:webHidden/>
              </w:rPr>
              <w:fldChar w:fldCharType="separate"/>
            </w:r>
            <w:r w:rsidR="00111074">
              <w:rPr>
                <w:webHidden/>
              </w:rPr>
              <w:t>2</w:t>
            </w:r>
            <w:r>
              <w:rPr>
                <w:webHidden/>
              </w:rPr>
              <w:fldChar w:fldCharType="end"/>
            </w:r>
          </w:hyperlink>
        </w:p>
        <w:p w14:paraId="581D2FC5" w14:textId="5B1F21E9" w:rsidR="008A2313" w:rsidRDefault="008A2313">
          <w:pPr>
            <w:pStyle w:val="TOC1"/>
            <w:rPr>
              <w:rFonts w:eastAsiaTheme="minorEastAsia"/>
              <w:b w:val="0"/>
              <w:bCs w:val="0"/>
              <w:kern w:val="2"/>
              <w:sz w:val="22"/>
              <w:szCs w:val="22"/>
              <w:lang w:eastAsia="en-AU"/>
              <w14:ligatures w14:val="standardContextual"/>
            </w:rPr>
          </w:pPr>
          <w:hyperlink w:anchor="_Toc148957820" w:history="1">
            <w:r w:rsidRPr="007F228B">
              <w:rPr>
                <w:rStyle w:val="Hyperlink"/>
              </w:rPr>
              <w:t>About P</w:t>
            </w:r>
            <w:r w:rsidRPr="007F228B">
              <w:rPr>
                <w:rStyle w:val="Hyperlink"/>
              </w:rPr>
              <w:t>W</w:t>
            </w:r>
            <w:r w:rsidRPr="007F228B">
              <w:rPr>
                <w:rStyle w:val="Hyperlink"/>
              </w:rPr>
              <w:t>DA</w:t>
            </w:r>
            <w:r>
              <w:rPr>
                <w:webHidden/>
              </w:rPr>
              <w:tab/>
            </w:r>
            <w:r>
              <w:rPr>
                <w:webHidden/>
              </w:rPr>
              <w:fldChar w:fldCharType="begin"/>
            </w:r>
            <w:r>
              <w:rPr>
                <w:webHidden/>
              </w:rPr>
              <w:instrText xml:space="preserve"> PAGEREF _Toc148957820 \h </w:instrText>
            </w:r>
            <w:r>
              <w:rPr>
                <w:webHidden/>
              </w:rPr>
            </w:r>
            <w:r>
              <w:rPr>
                <w:webHidden/>
              </w:rPr>
              <w:fldChar w:fldCharType="separate"/>
            </w:r>
            <w:r w:rsidR="00111074">
              <w:rPr>
                <w:webHidden/>
              </w:rPr>
              <w:t>4</w:t>
            </w:r>
            <w:r>
              <w:rPr>
                <w:webHidden/>
              </w:rPr>
              <w:fldChar w:fldCharType="end"/>
            </w:r>
          </w:hyperlink>
        </w:p>
        <w:p w14:paraId="72BE88BB" w14:textId="3D252CC1" w:rsidR="008A2313" w:rsidRDefault="008A2313">
          <w:pPr>
            <w:pStyle w:val="TOC1"/>
            <w:rPr>
              <w:rFonts w:eastAsiaTheme="minorEastAsia"/>
              <w:b w:val="0"/>
              <w:bCs w:val="0"/>
              <w:kern w:val="2"/>
              <w:sz w:val="22"/>
              <w:szCs w:val="22"/>
              <w:lang w:eastAsia="en-AU"/>
              <w14:ligatures w14:val="standardContextual"/>
            </w:rPr>
          </w:pPr>
          <w:hyperlink w:anchor="_Toc148957821" w:history="1">
            <w:r w:rsidRPr="007F228B">
              <w:rPr>
                <w:rStyle w:val="Hyperlink"/>
              </w:rPr>
              <w:t>Introduction</w:t>
            </w:r>
            <w:r>
              <w:rPr>
                <w:webHidden/>
              </w:rPr>
              <w:tab/>
            </w:r>
            <w:r>
              <w:rPr>
                <w:webHidden/>
              </w:rPr>
              <w:fldChar w:fldCharType="begin"/>
            </w:r>
            <w:r>
              <w:rPr>
                <w:webHidden/>
              </w:rPr>
              <w:instrText xml:space="preserve"> PAGEREF _Toc148957821 \h </w:instrText>
            </w:r>
            <w:r>
              <w:rPr>
                <w:webHidden/>
              </w:rPr>
            </w:r>
            <w:r>
              <w:rPr>
                <w:webHidden/>
              </w:rPr>
              <w:fldChar w:fldCharType="separate"/>
            </w:r>
            <w:r w:rsidR="00111074">
              <w:rPr>
                <w:webHidden/>
              </w:rPr>
              <w:t>5</w:t>
            </w:r>
            <w:r>
              <w:rPr>
                <w:webHidden/>
              </w:rPr>
              <w:fldChar w:fldCharType="end"/>
            </w:r>
          </w:hyperlink>
        </w:p>
        <w:p w14:paraId="12906AEB" w14:textId="76330932" w:rsidR="008A2313" w:rsidRDefault="008A2313">
          <w:pPr>
            <w:pStyle w:val="TOC3"/>
            <w:rPr>
              <w:rFonts w:cstheme="minorBidi"/>
              <w:bCs w:val="0"/>
              <w:noProof/>
              <w:kern w:val="2"/>
              <w:lang w:eastAsia="en-AU"/>
              <w14:ligatures w14:val="standardContextual"/>
            </w:rPr>
          </w:pPr>
          <w:hyperlink w:anchor="_Toc148957822" w:history="1">
            <w:r w:rsidRPr="007F228B">
              <w:rPr>
                <w:rStyle w:val="Hyperlink"/>
                <w:noProof/>
              </w:rPr>
              <w:t>Rationale for targeted action</w:t>
            </w:r>
            <w:r>
              <w:rPr>
                <w:noProof/>
                <w:webHidden/>
              </w:rPr>
              <w:tab/>
            </w:r>
            <w:r>
              <w:rPr>
                <w:noProof/>
                <w:webHidden/>
              </w:rPr>
              <w:fldChar w:fldCharType="begin"/>
            </w:r>
            <w:r>
              <w:rPr>
                <w:noProof/>
                <w:webHidden/>
              </w:rPr>
              <w:instrText xml:space="preserve"> PAGEREF _Toc148957822 \h </w:instrText>
            </w:r>
            <w:r>
              <w:rPr>
                <w:noProof/>
                <w:webHidden/>
              </w:rPr>
            </w:r>
            <w:r>
              <w:rPr>
                <w:noProof/>
                <w:webHidden/>
              </w:rPr>
              <w:fldChar w:fldCharType="separate"/>
            </w:r>
            <w:r w:rsidR="00111074">
              <w:rPr>
                <w:noProof/>
                <w:webHidden/>
              </w:rPr>
              <w:t>6</w:t>
            </w:r>
            <w:r>
              <w:rPr>
                <w:noProof/>
                <w:webHidden/>
              </w:rPr>
              <w:fldChar w:fldCharType="end"/>
            </w:r>
          </w:hyperlink>
        </w:p>
        <w:p w14:paraId="49626BF3" w14:textId="2CC7380A" w:rsidR="008A2313" w:rsidRDefault="008A2313">
          <w:pPr>
            <w:pStyle w:val="TOC3"/>
            <w:rPr>
              <w:rFonts w:cstheme="minorBidi"/>
              <w:bCs w:val="0"/>
              <w:noProof/>
              <w:kern w:val="2"/>
              <w:lang w:eastAsia="en-AU"/>
              <w14:ligatures w14:val="standardContextual"/>
            </w:rPr>
          </w:pPr>
          <w:hyperlink w:anchor="_Toc148957823" w:history="1">
            <w:r w:rsidRPr="007F228B">
              <w:rPr>
                <w:rStyle w:val="Hyperlink"/>
                <w:noProof/>
              </w:rPr>
              <w:t>The impact of the Royal Commission into Violence, Abuse, Neglect and Exploitation of People with Disability</w:t>
            </w:r>
            <w:r>
              <w:rPr>
                <w:noProof/>
                <w:webHidden/>
              </w:rPr>
              <w:tab/>
            </w:r>
            <w:r>
              <w:rPr>
                <w:noProof/>
                <w:webHidden/>
              </w:rPr>
              <w:fldChar w:fldCharType="begin"/>
            </w:r>
            <w:r>
              <w:rPr>
                <w:noProof/>
                <w:webHidden/>
              </w:rPr>
              <w:instrText xml:space="preserve"> PAGEREF _Toc148957823 \h </w:instrText>
            </w:r>
            <w:r>
              <w:rPr>
                <w:noProof/>
                <w:webHidden/>
              </w:rPr>
            </w:r>
            <w:r>
              <w:rPr>
                <w:noProof/>
                <w:webHidden/>
              </w:rPr>
              <w:fldChar w:fldCharType="separate"/>
            </w:r>
            <w:r w:rsidR="00111074">
              <w:rPr>
                <w:noProof/>
                <w:webHidden/>
              </w:rPr>
              <w:t>8</w:t>
            </w:r>
            <w:r>
              <w:rPr>
                <w:noProof/>
                <w:webHidden/>
              </w:rPr>
              <w:fldChar w:fldCharType="end"/>
            </w:r>
          </w:hyperlink>
        </w:p>
        <w:p w14:paraId="5FD4140E" w14:textId="14EF64E6" w:rsidR="008A2313" w:rsidRDefault="008A2313">
          <w:pPr>
            <w:pStyle w:val="TOC1"/>
            <w:rPr>
              <w:rFonts w:eastAsiaTheme="minorEastAsia"/>
              <w:b w:val="0"/>
              <w:bCs w:val="0"/>
              <w:kern w:val="2"/>
              <w:sz w:val="22"/>
              <w:szCs w:val="22"/>
              <w:lang w:eastAsia="en-AU"/>
              <w14:ligatures w14:val="standardContextual"/>
            </w:rPr>
          </w:pPr>
          <w:hyperlink w:anchor="_Toc148957824" w:history="1">
            <w:r w:rsidRPr="007F228B">
              <w:rPr>
                <w:rStyle w:val="Hyperlink"/>
              </w:rPr>
              <w:t>Congreg</w:t>
            </w:r>
            <w:r w:rsidRPr="007F228B">
              <w:rPr>
                <w:rStyle w:val="Hyperlink"/>
              </w:rPr>
              <w:t>a</w:t>
            </w:r>
            <w:r w:rsidRPr="007F228B">
              <w:rPr>
                <w:rStyle w:val="Hyperlink"/>
              </w:rPr>
              <w:t>te Housing Transition Plan</w:t>
            </w:r>
            <w:r>
              <w:rPr>
                <w:webHidden/>
              </w:rPr>
              <w:tab/>
            </w:r>
            <w:r>
              <w:rPr>
                <w:webHidden/>
              </w:rPr>
              <w:fldChar w:fldCharType="begin"/>
            </w:r>
            <w:r>
              <w:rPr>
                <w:webHidden/>
              </w:rPr>
              <w:instrText xml:space="preserve"> PAGEREF _Toc148957824 \h </w:instrText>
            </w:r>
            <w:r>
              <w:rPr>
                <w:webHidden/>
              </w:rPr>
            </w:r>
            <w:r>
              <w:rPr>
                <w:webHidden/>
              </w:rPr>
              <w:fldChar w:fldCharType="separate"/>
            </w:r>
            <w:r w:rsidR="00111074">
              <w:rPr>
                <w:webHidden/>
              </w:rPr>
              <w:t>10</w:t>
            </w:r>
            <w:r>
              <w:rPr>
                <w:webHidden/>
              </w:rPr>
              <w:fldChar w:fldCharType="end"/>
            </w:r>
          </w:hyperlink>
        </w:p>
        <w:p w14:paraId="66124190" w14:textId="476FC425" w:rsidR="008A2313" w:rsidRDefault="008A2313">
          <w:pPr>
            <w:pStyle w:val="TOC3"/>
            <w:rPr>
              <w:rFonts w:cstheme="minorBidi"/>
              <w:bCs w:val="0"/>
              <w:noProof/>
              <w:kern w:val="2"/>
              <w:lang w:eastAsia="en-AU"/>
              <w14:ligatures w14:val="standardContextual"/>
            </w:rPr>
          </w:pPr>
          <w:hyperlink w:anchor="_Toc148957825" w:history="1">
            <w:r w:rsidRPr="007F228B">
              <w:rPr>
                <w:rStyle w:val="Hyperlink"/>
                <w:noProof/>
              </w:rPr>
              <w:t>Priority areas for the Congregate Housing Transition Plan</w:t>
            </w:r>
            <w:r>
              <w:rPr>
                <w:noProof/>
                <w:webHidden/>
              </w:rPr>
              <w:tab/>
            </w:r>
            <w:r>
              <w:rPr>
                <w:noProof/>
                <w:webHidden/>
              </w:rPr>
              <w:fldChar w:fldCharType="begin"/>
            </w:r>
            <w:r>
              <w:rPr>
                <w:noProof/>
                <w:webHidden/>
              </w:rPr>
              <w:instrText xml:space="preserve"> PAGEREF _Toc148957825 \h </w:instrText>
            </w:r>
            <w:r>
              <w:rPr>
                <w:noProof/>
                <w:webHidden/>
              </w:rPr>
            </w:r>
            <w:r>
              <w:rPr>
                <w:noProof/>
                <w:webHidden/>
              </w:rPr>
              <w:fldChar w:fldCharType="separate"/>
            </w:r>
            <w:r w:rsidR="00111074">
              <w:rPr>
                <w:noProof/>
                <w:webHidden/>
              </w:rPr>
              <w:t>11</w:t>
            </w:r>
            <w:r>
              <w:rPr>
                <w:noProof/>
                <w:webHidden/>
              </w:rPr>
              <w:fldChar w:fldCharType="end"/>
            </w:r>
          </w:hyperlink>
        </w:p>
        <w:p w14:paraId="656A2167" w14:textId="7FA9CE50" w:rsidR="008A2313" w:rsidRDefault="008A2313">
          <w:pPr>
            <w:pStyle w:val="TOC1"/>
            <w:rPr>
              <w:rFonts w:eastAsiaTheme="minorEastAsia"/>
              <w:b w:val="0"/>
              <w:bCs w:val="0"/>
              <w:kern w:val="2"/>
              <w:sz w:val="22"/>
              <w:szCs w:val="22"/>
              <w:lang w:eastAsia="en-AU"/>
              <w14:ligatures w14:val="standardContextual"/>
            </w:rPr>
          </w:pPr>
          <w:hyperlink w:anchor="_Toc148957826" w:history="1">
            <w:r w:rsidRPr="007F228B">
              <w:rPr>
                <w:rStyle w:val="Hyperlink"/>
              </w:rPr>
              <w:t>Targeted Housing Action Plan for People with Disability</w:t>
            </w:r>
            <w:r>
              <w:rPr>
                <w:webHidden/>
              </w:rPr>
              <w:tab/>
            </w:r>
            <w:r>
              <w:rPr>
                <w:webHidden/>
              </w:rPr>
              <w:fldChar w:fldCharType="begin"/>
            </w:r>
            <w:r>
              <w:rPr>
                <w:webHidden/>
              </w:rPr>
              <w:instrText xml:space="preserve"> PAGEREF _Toc148957826 \h </w:instrText>
            </w:r>
            <w:r>
              <w:rPr>
                <w:webHidden/>
              </w:rPr>
            </w:r>
            <w:r>
              <w:rPr>
                <w:webHidden/>
              </w:rPr>
              <w:fldChar w:fldCharType="separate"/>
            </w:r>
            <w:r w:rsidR="00111074">
              <w:rPr>
                <w:webHidden/>
              </w:rPr>
              <w:t>14</w:t>
            </w:r>
            <w:r>
              <w:rPr>
                <w:webHidden/>
              </w:rPr>
              <w:fldChar w:fldCharType="end"/>
            </w:r>
          </w:hyperlink>
        </w:p>
        <w:p w14:paraId="3390626E" w14:textId="71250BD9" w:rsidR="008A2313" w:rsidRDefault="008A2313">
          <w:pPr>
            <w:pStyle w:val="TOC3"/>
            <w:rPr>
              <w:rFonts w:cstheme="minorBidi"/>
              <w:bCs w:val="0"/>
              <w:noProof/>
              <w:kern w:val="2"/>
              <w:lang w:eastAsia="en-AU"/>
              <w14:ligatures w14:val="standardContextual"/>
            </w:rPr>
          </w:pPr>
          <w:hyperlink w:anchor="_Toc148957827" w:history="1">
            <w:r w:rsidRPr="007F228B">
              <w:rPr>
                <w:rStyle w:val="Hyperlink"/>
                <w:noProof/>
              </w:rPr>
              <w:t>Priority areas for the Targeted Housing Action Plan for People with Disability</w:t>
            </w:r>
            <w:r>
              <w:rPr>
                <w:noProof/>
                <w:webHidden/>
              </w:rPr>
              <w:tab/>
            </w:r>
            <w:r>
              <w:rPr>
                <w:noProof/>
                <w:webHidden/>
              </w:rPr>
              <w:fldChar w:fldCharType="begin"/>
            </w:r>
            <w:r>
              <w:rPr>
                <w:noProof/>
                <w:webHidden/>
              </w:rPr>
              <w:instrText xml:space="preserve"> PAGEREF _Toc148957827 \h </w:instrText>
            </w:r>
            <w:r>
              <w:rPr>
                <w:noProof/>
                <w:webHidden/>
              </w:rPr>
            </w:r>
            <w:r>
              <w:rPr>
                <w:noProof/>
                <w:webHidden/>
              </w:rPr>
              <w:fldChar w:fldCharType="separate"/>
            </w:r>
            <w:r w:rsidR="00111074">
              <w:rPr>
                <w:noProof/>
                <w:webHidden/>
              </w:rPr>
              <w:t>15</w:t>
            </w:r>
            <w:r>
              <w:rPr>
                <w:noProof/>
                <w:webHidden/>
              </w:rPr>
              <w:fldChar w:fldCharType="end"/>
            </w:r>
          </w:hyperlink>
        </w:p>
        <w:p w14:paraId="451CF306" w14:textId="1F118FE3" w:rsidR="008A2313" w:rsidRDefault="008A2313">
          <w:pPr>
            <w:pStyle w:val="TOC3"/>
            <w:rPr>
              <w:rFonts w:cstheme="minorBidi"/>
              <w:bCs w:val="0"/>
              <w:noProof/>
              <w:kern w:val="2"/>
              <w:lang w:eastAsia="en-AU"/>
              <w14:ligatures w14:val="standardContextual"/>
            </w:rPr>
          </w:pPr>
          <w:hyperlink w:anchor="_Toc148957828" w:history="1">
            <w:r w:rsidRPr="007F228B">
              <w:rPr>
                <w:rStyle w:val="Hyperlink"/>
                <w:noProof/>
              </w:rPr>
              <w:t>Outcome areas for the Targeted Housing Action Plan for People with Disability</w:t>
            </w:r>
            <w:r>
              <w:rPr>
                <w:noProof/>
                <w:webHidden/>
              </w:rPr>
              <w:tab/>
            </w:r>
            <w:r>
              <w:rPr>
                <w:noProof/>
                <w:webHidden/>
              </w:rPr>
              <w:fldChar w:fldCharType="begin"/>
            </w:r>
            <w:r>
              <w:rPr>
                <w:noProof/>
                <w:webHidden/>
              </w:rPr>
              <w:instrText xml:space="preserve"> PAGEREF _Toc148957828 \h </w:instrText>
            </w:r>
            <w:r>
              <w:rPr>
                <w:noProof/>
                <w:webHidden/>
              </w:rPr>
            </w:r>
            <w:r>
              <w:rPr>
                <w:noProof/>
                <w:webHidden/>
              </w:rPr>
              <w:fldChar w:fldCharType="separate"/>
            </w:r>
            <w:r w:rsidR="00111074">
              <w:rPr>
                <w:noProof/>
                <w:webHidden/>
              </w:rPr>
              <w:t>20</w:t>
            </w:r>
            <w:r>
              <w:rPr>
                <w:noProof/>
                <w:webHidden/>
              </w:rPr>
              <w:fldChar w:fldCharType="end"/>
            </w:r>
          </w:hyperlink>
        </w:p>
        <w:p w14:paraId="02A3F796" w14:textId="7708CD36" w:rsidR="008A2313" w:rsidRDefault="008A2313">
          <w:pPr>
            <w:pStyle w:val="TOC1"/>
            <w:rPr>
              <w:rFonts w:eastAsiaTheme="minorEastAsia"/>
              <w:b w:val="0"/>
              <w:bCs w:val="0"/>
              <w:kern w:val="2"/>
              <w:sz w:val="22"/>
              <w:szCs w:val="22"/>
              <w:lang w:eastAsia="en-AU"/>
              <w14:ligatures w14:val="standardContextual"/>
            </w:rPr>
          </w:pPr>
          <w:hyperlink w:anchor="_Toc148957829" w:history="1">
            <w:r w:rsidRPr="007F228B">
              <w:rPr>
                <w:rStyle w:val="Hyperlink"/>
              </w:rPr>
              <w:t>Concl</w:t>
            </w:r>
            <w:r w:rsidRPr="007F228B">
              <w:rPr>
                <w:rStyle w:val="Hyperlink"/>
              </w:rPr>
              <w:t>u</w:t>
            </w:r>
            <w:r w:rsidRPr="007F228B">
              <w:rPr>
                <w:rStyle w:val="Hyperlink"/>
              </w:rPr>
              <w:t>sion</w:t>
            </w:r>
            <w:r>
              <w:rPr>
                <w:webHidden/>
              </w:rPr>
              <w:tab/>
            </w:r>
            <w:r>
              <w:rPr>
                <w:webHidden/>
              </w:rPr>
              <w:fldChar w:fldCharType="begin"/>
            </w:r>
            <w:r>
              <w:rPr>
                <w:webHidden/>
              </w:rPr>
              <w:instrText xml:space="preserve"> PAGEREF _Toc148957829 \h </w:instrText>
            </w:r>
            <w:r>
              <w:rPr>
                <w:webHidden/>
              </w:rPr>
            </w:r>
            <w:r>
              <w:rPr>
                <w:webHidden/>
              </w:rPr>
              <w:fldChar w:fldCharType="separate"/>
            </w:r>
            <w:r w:rsidR="00111074">
              <w:rPr>
                <w:webHidden/>
              </w:rPr>
              <w:t>23</w:t>
            </w:r>
            <w:r>
              <w:rPr>
                <w:webHidden/>
              </w:rPr>
              <w:fldChar w:fldCharType="end"/>
            </w:r>
          </w:hyperlink>
        </w:p>
        <w:p w14:paraId="713550CD" w14:textId="675DF721" w:rsidR="000708AB" w:rsidRPr="00241B3B" w:rsidRDefault="000708AB" w:rsidP="00877020">
          <w:pPr>
            <w:tabs>
              <w:tab w:val="left" w:pos="2410"/>
            </w:tabs>
          </w:pPr>
          <w:r w:rsidRPr="00241B3B">
            <w:rPr>
              <w:b/>
              <w:bCs/>
            </w:rPr>
            <w:fldChar w:fldCharType="end"/>
          </w:r>
        </w:p>
      </w:sdtContent>
    </w:sdt>
    <w:p w14:paraId="5A70C867" w14:textId="77777777" w:rsidR="00651330" w:rsidRPr="00241B3B" w:rsidRDefault="00651330" w:rsidP="008A2313">
      <w:pPr>
        <w:pStyle w:val="BodyText"/>
        <w:rPr>
          <w:rFonts w:ascii="VAG Rounded" w:eastAsiaTheme="majorEastAsia" w:hAnsi="VAG Rounded" w:cstheme="majorBidi"/>
          <w:color w:val="005496" w:themeColor="text2"/>
          <w:spacing w:val="14"/>
        </w:rPr>
      </w:pPr>
      <w:bookmarkStart w:id="108" w:name="_Toc148013338"/>
      <w:bookmarkStart w:id="109" w:name="_Toc148013430"/>
      <w:r w:rsidRPr="00241B3B">
        <w:br w:type="page"/>
      </w:r>
    </w:p>
    <w:p w14:paraId="51A549CE" w14:textId="27895439" w:rsidR="005657A2" w:rsidRPr="00241B3B" w:rsidRDefault="005657A2" w:rsidP="008A2313">
      <w:pPr>
        <w:pStyle w:val="Heading1"/>
      </w:pPr>
      <w:bookmarkStart w:id="110" w:name="_Toc148957820"/>
      <w:r w:rsidRPr="008A2313">
        <w:lastRenderedPageBreak/>
        <w:t>About</w:t>
      </w:r>
      <w:r w:rsidRPr="00241B3B">
        <w:t xml:space="preserve"> PWDA</w:t>
      </w:r>
      <w:bookmarkEnd w:id="91"/>
      <w:bookmarkEnd w:id="92"/>
      <w:bookmarkEnd w:id="93"/>
      <w:bookmarkEnd w:id="94"/>
      <w:bookmarkEnd w:id="95"/>
      <w:bookmarkEnd w:id="96"/>
      <w:bookmarkEnd w:id="97"/>
      <w:bookmarkEnd w:id="98"/>
      <w:bookmarkEnd w:id="99"/>
      <w:bookmarkEnd w:id="100"/>
      <w:bookmarkEnd w:id="101"/>
      <w:bookmarkEnd w:id="107"/>
      <w:bookmarkEnd w:id="106"/>
      <w:bookmarkEnd w:id="105"/>
      <w:bookmarkEnd w:id="104"/>
      <w:bookmarkEnd w:id="108"/>
      <w:bookmarkEnd w:id="109"/>
      <w:bookmarkEnd w:id="110"/>
    </w:p>
    <w:p w14:paraId="4D0D49D0" w14:textId="77777777" w:rsidR="005657A2" w:rsidRPr="00241B3B" w:rsidRDefault="005657A2" w:rsidP="00241B3B">
      <w:pPr>
        <w:pStyle w:val="BodyText"/>
        <w:rPr>
          <w:lang w:val="en-AU"/>
        </w:rPr>
      </w:pPr>
      <w:r w:rsidRPr="00241B3B">
        <w:rPr>
          <w:lang w:val="en-AU"/>
        </w:rPr>
        <w:t>People with Disability Australia (PWDA) is a national disability rights and advocacy organisation made up of, and led by, people with disability.</w:t>
      </w:r>
    </w:p>
    <w:p w14:paraId="11D59292" w14:textId="77777777" w:rsidR="005657A2" w:rsidRPr="00241B3B" w:rsidRDefault="005657A2" w:rsidP="00241B3B">
      <w:pPr>
        <w:pStyle w:val="BodyText"/>
        <w:rPr>
          <w:lang w:val="en-AU"/>
        </w:rPr>
      </w:pPr>
      <w:r w:rsidRPr="00241B3B">
        <w:rPr>
          <w:lang w:val="en-AU"/>
        </w:rPr>
        <w:t>We have a vision of a socially just, accessible and inclusive community in which the contribution, potential and diversity of people with disability are not only recognised and respected but also celebrated.</w:t>
      </w:r>
    </w:p>
    <w:p w14:paraId="4964B4FE" w14:textId="77777777" w:rsidR="005657A2" w:rsidRPr="00241B3B" w:rsidRDefault="005657A2" w:rsidP="00241B3B">
      <w:pPr>
        <w:pStyle w:val="BodyText"/>
        <w:rPr>
          <w:lang w:val="en-AU"/>
        </w:rPr>
      </w:pPr>
      <w:r w:rsidRPr="00241B3B">
        <w:rPr>
          <w:lang w:val="en-AU"/>
        </w:rPr>
        <w:t xml:space="preserve">PWDA was established in 1981, during the International Year of Disabled Persons. </w:t>
      </w:r>
    </w:p>
    <w:p w14:paraId="378058D4" w14:textId="698187AD" w:rsidR="005657A2" w:rsidRPr="00241B3B" w:rsidRDefault="005657A2" w:rsidP="00241B3B">
      <w:pPr>
        <w:pStyle w:val="BodyText"/>
        <w:rPr>
          <w:lang w:val="en-AU"/>
        </w:rPr>
      </w:pPr>
      <w:r w:rsidRPr="00241B3B">
        <w:rPr>
          <w:lang w:val="en-AU"/>
        </w:rPr>
        <w:t>We are a peak, non-profit, non-</w:t>
      </w:r>
      <w:r w:rsidR="008E74DA" w:rsidRPr="00241B3B">
        <w:rPr>
          <w:lang w:val="en-AU"/>
        </w:rPr>
        <w:t>Government</w:t>
      </w:r>
      <w:r w:rsidRPr="00241B3B">
        <w:rPr>
          <w:lang w:val="en-AU"/>
        </w:rPr>
        <w:t xml:space="preserve"> organisation that represents the interests of people with all kinds of disability</w:t>
      </w:r>
      <w:r w:rsidR="00C213B5" w:rsidRPr="00241B3B">
        <w:rPr>
          <w:lang w:val="en-AU"/>
        </w:rPr>
        <w:t>.</w:t>
      </w:r>
    </w:p>
    <w:p w14:paraId="51DC8DB6" w14:textId="77777777" w:rsidR="005657A2" w:rsidRPr="00241B3B" w:rsidRDefault="005657A2" w:rsidP="00241B3B">
      <w:pPr>
        <w:pStyle w:val="BodyText"/>
        <w:rPr>
          <w:lang w:val="en-AU"/>
        </w:rPr>
      </w:pPr>
      <w:r w:rsidRPr="00241B3B">
        <w:rPr>
          <w:lang w:val="en-AU"/>
        </w:rPr>
        <w:t>We also represent people with disability at the United Nations, particularly in relation to the United Nations Convention on the Rights of Persons with Disabilities (CRPD).</w:t>
      </w:r>
    </w:p>
    <w:p w14:paraId="15357103" w14:textId="77777777" w:rsidR="005657A2" w:rsidRPr="00241B3B" w:rsidRDefault="005657A2" w:rsidP="00241B3B">
      <w:pPr>
        <w:pStyle w:val="BodyText"/>
        <w:rPr>
          <w:lang w:val="en-AU"/>
        </w:rPr>
      </w:pPr>
      <w:r w:rsidRPr="00241B3B">
        <w:rPr>
          <w:lang w:val="en-AU"/>
        </w:rPr>
        <w:t>Our work is grounded in a human rights framework that recognises the CRPD and related mechanisms as fundamental tools for advancing the rights of people with disability.</w:t>
      </w:r>
    </w:p>
    <w:p w14:paraId="3E3D372A" w14:textId="77777777" w:rsidR="005657A2" w:rsidRPr="00241B3B" w:rsidRDefault="005657A2" w:rsidP="00241B3B">
      <w:pPr>
        <w:pStyle w:val="BodyText"/>
        <w:rPr>
          <w:lang w:val="en-AU"/>
        </w:rPr>
      </w:pPr>
      <w:r w:rsidRPr="00241B3B">
        <w:rPr>
          <w:lang w:val="en-AU"/>
        </w:rPr>
        <w:t>PWDA is a member of Disabled People’s Organisations Australia (DPO Australia), along with the First People’s Disability Network, National Ethnic Disability Alliance, and Women with Disabilities Australia.</w:t>
      </w:r>
    </w:p>
    <w:p w14:paraId="4D7A0D24" w14:textId="77777777" w:rsidR="005657A2" w:rsidRPr="00241B3B" w:rsidRDefault="005657A2" w:rsidP="00241B3B">
      <w:pPr>
        <w:pStyle w:val="BodyText"/>
        <w:rPr>
          <w:lang w:val="en-AU"/>
        </w:rPr>
      </w:pPr>
      <w:r w:rsidRPr="00241B3B">
        <w:rPr>
          <w:lang w:val="en-AU"/>
        </w:rPr>
        <w:t>DPOs collectively form a disability rights movement that places people with disability at the centre of decision-making in all aspects of our lives.</w:t>
      </w:r>
    </w:p>
    <w:p w14:paraId="15A82F5D" w14:textId="5501FEF6" w:rsidR="005657A2" w:rsidRPr="00241B3B" w:rsidRDefault="005657A2" w:rsidP="00241B3B">
      <w:pPr>
        <w:pStyle w:val="BodyText"/>
        <w:rPr>
          <w:lang w:val="en-AU"/>
        </w:rPr>
      </w:pPr>
      <w:r w:rsidRPr="00241B3B">
        <w:rPr>
          <w:lang w:val="en-AU"/>
        </w:rPr>
        <w:t>The work of PWDA embraces the ‘Nothing About Us, Without Us’ motto of the international disability community and Disabled Peoples’ International, the international organisation representing national organisations of people with disability in over 130 countries.</w:t>
      </w:r>
    </w:p>
    <w:p w14:paraId="63B470B3" w14:textId="77777777" w:rsidR="006E1790" w:rsidRDefault="006E1790">
      <w:pPr>
        <w:spacing w:before="0" w:after="120" w:line="280" w:lineRule="atLeast"/>
        <w:rPr>
          <w:rFonts w:ascii="VAG Rounded" w:eastAsiaTheme="majorEastAsia" w:hAnsi="VAG Rounded" w:cstheme="majorBidi"/>
          <w:b/>
          <w:color w:val="005496" w:themeColor="text2"/>
          <w:spacing w:val="14"/>
          <w:sz w:val="52"/>
          <w:szCs w:val="52"/>
        </w:rPr>
      </w:pPr>
      <w:bookmarkStart w:id="111" w:name="_Toc147405536"/>
      <w:bookmarkStart w:id="112" w:name="_Toc147911758"/>
      <w:bookmarkStart w:id="113" w:name="_Toc148013339"/>
      <w:bookmarkEnd w:id="90"/>
      <w:bookmarkEnd w:id="102"/>
      <w:bookmarkEnd w:id="103"/>
      <w:r>
        <w:rPr>
          <w:sz w:val="52"/>
          <w:szCs w:val="52"/>
        </w:rPr>
        <w:br w:type="page"/>
      </w:r>
    </w:p>
    <w:p w14:paraId="6F70BF90" w14:textId="3E4477CB" w:rsidR="005C341E" w:rsidRPr="008A2313" w:rsidRDefault="005C341E" w:rsidP="008A2313">
      <w:pPr>
        <w:pStyle w:val="Heading1"/>
      </w:pPr>
      <w:bookmarkStart w:id="114" w:name="_Toc148957821"/>
      <w:r w:rsidRPr="008A2313">
        <w:lastRenderedPageBreak/>
        <w:t>Introduction</w:t>
      </w:r>
      <w:bookmarkEnd w:id="111"/>
      <w:bookmarkEnd w:id="112"/>
      <w:bookmarkEnd w:id="113"/>
      <w:bookmarkEnd w:id="114"/>
      <w:r w:rsidRPr="008A2313">
        <w:t xml:space="preserve"> </w:t>
      </w:r>
    </w:p>
    <w:p w14:paraId="4C3AEDD2" w14:textId="469C5B15" w:rsidR="008C2AAA" w:rsidRPr="00241B3B" w:rsidRDefault="008C2AAA" w:rsidP="00241B3B">
      <w:pPr>
        <w:pStyle w:val="BodyText"/>
        <w:rPr>
          <w:lang w:val="en-AU"/>
        </w:rPr>
      </w:pPr>
      <w:bookmarkStart w:id="115" w:name="_Toc143170303"/>
      <w:r w:rsidRPr="00241B3B">
        <w:rPr>
          <w:lang w:val="en-AU"/>
        </w:rPr>
        <w:t xml:space="preserve">People with Disability Australia (PWDA) welcomes the development of a National Plan for Housing and Homelessness. We support the development of a plan which provides guidance on a national approach to housing and homelessness, providing direction for intergovernmental approaches and responsibility to </w:t>
      </w:r>
      <w:r w:rsidR="00F130AA" w:rsidRPr="00241B3B">
        <w:rPr>
          <w:lang w:val="en-AU"/>
        </w:rPr>
        <w:t>address</w:t>
      </w:r>
      <w:r w:rsidRPr="00241B3B">
        <w:rPr>
          <w:lang w:val="en-AU"/>
        </w:rPr>
        <w:t xml:space="preserve"> the current housing crisis, both in the short and long-term. </w:t>
      </w:r>
    </w:p>
    <w:p w14:paraId="0BC28009" w14:textId="227E0233" w:rsidR="008C2AAA" w:rsidRPr="00241B3B" w:rsidRDefault="008C2AAA" w:rsidP="00241B3B">
      <w:pPr>
        <w:pStyle w:val="BodyText"/>
        <w:rPr>
          <w:lang w:val="en-AU"/>
        </w:rPr>
      </w:pPr>
      <w:r w:rsidRPr="00241B3B">
        <w:rPr>
          <w:lang w:val="en-AU"/>
        </w:rPr>
        <w:t xml:space="preserve">This submission has been developed based on feedback </w:t>
      </w:r>
      <w:r w:rsidR="00F130AA" w:rsidRPr="00241B3B">
        <w:rPr>
          <w:lang w:val="en-AU"/>
        </w:rPr>
        <w:t>regarding</w:t>
      </w:r>
      <w:r w:rsidRPr="00241B3B">
        <w:rPr>
          <w:lang w:val="en-AU"/>
        </w:rPr>
        <w:t xml:space="preserve"> housing and homelessness provided by PWDA’s individual advocates and our members who are people with disability. </w:t>
      </w:r>
    </w:p>
    <w:p w14:paraId="3FB69E94" w14:textId="7F55AEFC" w:rsidR="008C2AAA" w:rsidRPr="00241B3B" w:rsidRDefault="008C2AAA" w:rsidP="00241B3B">
      <w:pPr>
        <w:pStyle w:val="BodyText"/>
        <w:rPr>
          <w:lang w:val="en-AU"/>
        </w:rPr>
      </w:pPr>
      <w:r w:rsidRPr="00241B3B">
        <w:rPr>
          <w:lang w:val="en-AU"/>
        </w:rPr>
        <w:t>Since 2022, PWDA’s individual advocacy team has supported 1,120 people with housing</w:t>
      </w:r>
      <w:r w:rsidR="00F2589E" w:rsidRPr="00241B3B">
        <w:rPr>
          <w:lang w:val="en-AU"/>
        </w:rPr>
        <w:t xml:space="preserve"> as </w:t>
      </w:r>
      <w:r w:rsidRPr="00241B3B">
        <w:rPr>
          <w:lang w:val="en-AU"/>
        </w:rPr>
        <w:t xml:space="preserve">either a primary or secondary issue. We have also supported 210 </w:t>
      </w:r>
      <w:r w:rsidR="00E22CA6" w:rsidRPr="00241B3B">
        <w:rPr>
          <w:lang w:val="en-AU"/>
        </w:rPr>
        <w:t xml:space="preserve">people </w:t>
      </w:r>
      <w:r w:rsidRPr="00241B3B">
        <w:rPr>
          <w:lang w:val="en-AU"/>
        </w:rPr>
        <w:t xml:space="preserve">with homelessness, either as a primary or secondary issue. The numbers of people seeking advocacy support through PWDA for both issues are increasing. </w:t>
      </w:r>
    </w:p>
    <w:p w14:paraId="5BEE6E47" w14:textId="77777777" w:rsidR="008C2AAA" w:rsidRPr="00241B3B" w:rsidRDefault="008C2AAA" w:rsidP="00241B3B">
      <w:pPr>
        <w:pStyle w:val="BodyText"/>
        <w:rPr>
          <w:shd w:val="clear" w:color="auto" w:fill="FFFFFF"/>
          <w:lang w:val="en-AU"/>
        </w:rPr>
      </w:pPr>
      <w:r w:rsidRPr="00241B3B">
        <w:rPr>
          <w:shd w:val="clear" w:color="auto" w:fill="FFFFFF"/>
          <w:lang w:val="en-AU"/>
        </w:rPr>
        <w:t xml:space="preserve">PWDA has further experience and insights about housing from our Building Access project, funded by Women NSW under the Domestic and Family Violence (DFV) Innovation Fund. The Building Access project aims to better meet the needs of women and children with disability accessing crisis accommodation in NSW and works towards improving the accessibility of these services. </w:t>
      </w:r>
    </w:p>
    <w:p w14:paraId="1B8DD590" w14:textId="4FB69613" w:rsidR="00F0145C" w:rsidRPr="00241B3B" w:rsidRDefault="008C2AAA" w:rsidP="00241B3B">
      <w:pPr>
        <w:pStyle w:val="BodyText"/>
        <w:rPr>
          <w:rStyle w:val="Hyperlink"/>
          <w:color w:val="auto"/>
          <w:u w:val="none"/>
          <w:lang w:val="en-AU"/>
        </w:rPr>
      </w:pPr>
      <w:r w:rsidRPr="00241B3B">
        <w:rPr>
          <w:color w:val="0A0A0A"/>
          <w:shd w:val="clear" w:color="auto" w:fill="FFFFFF"/>
          <w:lang w:val="en-AU"/>
        </w:rPr>
        <w:t xml:space="preserve">PWDA also welcomes the National Housing and Homelessness Plan </w:t>
      </w:r>
      <w:hyperlink r:id="rId15" w:history="1">
        <w:r w:rsidRPr="00241B3B">
          <w:rPr>
            <w:rStyle w:val="Hyperlink"/>
            <w:lang w:val="en-AU"/>
          </w:rPr>
          <w:t>Issues Paper</w:t>
        </w:r>
      </w:hyperlink>
      <w:r w:rsidRPr="00241B3B">
        <w:rPr>
          <w:rStyle w:val="Hyperlink"/>
          <w:lang w:val="en-AU"/>
        </w:rPr>
        <w:t xml:space="preserve"> </w:t>
      </w:r>
      <w:r w:rsidRPr="00241B3B">
        <w:rPr>
          <w:rStyle w:val="Hyperlink"/>
          <w:color w:val="auto"/>
          <w:u w:val="none"/>
          <w:lang w:val="en-AU"/>
        </w:rPr>
        <w:t>articulating that the purpose of the National Housing and Homelessness Plan (NHHP) is to</w:t>
      </w:r>
      <w:r w:rsidR="00F130AA" w:rsidRPr="00241B3B">
        <w:rPr>
          <w:rStyle w:val="Hyperlink"/>
          <w:color w:val="auto"/>
          <w:u w:val="none"/>
          <w:lang w:val="en-AU"/>
        </w:rPr>
        <w:t>:</w:t>
      </w:r>
      <w:r w:rsidRPr="00241B3B">
        <w:rPr>
          <w:rStyle w:val="Hyperlink"/>
          <w:color w:val="auto"/>
          <w:u w:val="none"/>
          <w:lang w:val="en-AU"/>
        </w:rPr>
        <w:t xml:space="preserve"> </w:t>
      </w:r>
    </w:p>
    <w:p w14:paraId="020C544C" w14:textId="5F2FE1A1" w:rsidR="008C7266" w:rsidRPr="00241B3B" w:rsidRDefault="00A73755" w:rsidP="0057701F">
      <w:pPr>
        <w:pStyle w:val="Quote"/>
        <w:spacing w:line="288" w:lineRule="auto"/>
        <w:ind w:left="862" w:right="862"/>
        <w:jc w:val="left"/>
        <w:rPr>
          <w:rStyle w:val="Hyperlink"/>
          <w:rFonts w:ascii="Arial" w:eastAsia="Arial" w:hAnsi="Arial" w:cs="Arial"/>
          <w:i w:val="0"/>
          <w:iCs w:val="0"/>
          <w:color w:val="auto"/>
          <w:u w:val="none"/>
        </w:rPr>
      </w:pPr>
      <w:r w:rsidRPr="00241B3B">
        <w:rPr>
          <w:rStyle w:val="Hyperlink"/>
          <w:color w:val="auto"/>
          <w:u w:val="none"/>
        </w:rPr>
        <w:t>‘</w:t>
      </w:r>
      <w:r w:rsidR="008C7266" w:rsidRPr="00241B3B">
        <w:rPr>
          <w:rStyle w:val="Hyperlink"/>
          <w:color w:val="005496" w:themeColor="accent1"/>
          <w:u w:val="none"/>
        </w:rPr>
        <w:t xml:space="preserve">set out a shared national vision across the responsibilities of different levels of </w:t>
      </w:r>
      <w:r w:rsidR="008E74DA" w:rsidRPr="00241B3B">
        <w:rPr>
          <w:rStyle w:val="Hyperlink"/>
          <w:color w:val="005496" w:themeColor="accent1"/>
          <w:u w:val="none"/>
        </w:rPr>
        <w:t>Government</w:t>
      </w:r>
      <w:r w:rsidR="008C7266" w:rsidRPr="00241B3B">
        <w:rPr>
          <w:rStyle w:val="Hyperlink"/>
          <w:color w:val="005496" w:themeColor="accent1"/>
          <w:u w:val="none"/>
        </w:rPr>
        <w:t xml:space="preserve"> to improve housing outcomes and help address homelessness in Australia</w:t>
      </w:r>
      <w:r w:rsidRPr="00241B3B">
        <w:rPr>
          <w:rStyle w:val="Hyperlink"/>
          <w:color w:val="005496" w:themeColor="accent1"/>
          <w:u w:val="none"/>
        </w:rPr>
        <w:t>’</w:t>
      </w:r>
      <w:r w:rsidR="00564B29" w:rsidRPr="00241B3B">
        <w:rPr>
          <w:rStyle w:val="Hyperlink"/>
          <w:color w:val="005496" w:themeColor="accent1"/>
          <w:u w:val="none"/>
        </w:rPr>
        <w:t xml:space="preserve"> (p.9).</w:t>
      </w:r>
    </w:p>
    <w:p w14:paraId="4C25AD51" w14:textId="77777777" w:rsidR="006024D1" w:rsidRPr="00241B3B" w:rsidRDefault="006024D1" w:rsidP="00241B3B">
      <w:pPr>
        <w:pStyle w:val="BodyText"/>
        <w:rPr>
          <w:lang w:val="en-AU"/>
        </w:rPr>
      </w:pPr>
      <w:r w:rsidRPr="00241B3B">
        <w:rPr>
          <w:rStyle w:val="Hyperlink"/>
          <w:color w:val="auto"/>
          <w:u w:val="none"/>
          <w:lang w:val="en-AU"/>
        </w:rPr>
        <w:t xml:space="preserve">Considering this purpose, </w:t>
      </w:r>
      <w:r w:rsidRPr="00241B3B">
        <w:rPr>
          <w:lang w:val="en-AU"/>
        </w:rPr>
        <w:t xml:space="preserve">PWDA supports the position of the Community Housing Industry Association (CHIA) that: </w:t>
      </w:r>
    </w:p>
    <w:p w14:paraId="45CB59C9" w14:textId="22FDEBE7" w:rsidR="00E22CA6" w:rsidRPr="00241B3B" w:rsidRDefault="006024D1" w:rsidP="004C7B0B">
      <w:pPr>
        <w:pStyle w:val="Quote"/>
        <w:spacing w:line="288" w:lineRule="auto"/>
        <w:jc w:val="left"/>
      </w:pPr>
      <w:r w:rsidRPr="00241B3B">
        <w:t xml:space="preserve">‘while housing outcomes are primarily a state/territory responsibility under the Australian constitution, only with the active participation of both the Commonwealth state/territory </w:t>
      </w:r>
      <w:r w:rsidR="008E74DA" w:rsidRPr="00241B3B">
        <w:t>Government</w:t>
      </w:r>
      <w:r w:rsidRPr="00241B3B">
        <w:t xml:space="preserve">s can any effort to significantly expand social and affordable rental housing provision succeed. Adequate and affordable housing is an aspect of social security which is a formal Commonwealth responsibility, and it is only the Commonwealth that </w:t>
      </w:r>
      <w:r w:rsidRPr="00241B3B">
        <w:lastRenderedPageBreak/>
        <w:t>possesses the scale of tax-raising and borrowing powers required to underpin the scale of investment needed</w:t>
      </w:r>
      <w:r w:rsidR="00A73755" w:rsidRPr="00241B3B">
        <w:t>’</w:t>
      </w:r>
      <w:r w:rsidR="00F0145C" w:rsidRPr="00241B3B">
        <w:t>.</w:t>
      </w:r>
      <w:r w:rsidRPr="00241B3B">
        <w:rPr>
          <w:rStyle w:val="FootnoteReference"/>
        </w:rPr>
        <w:footnoteReference w:id="2"/>
      </w:r>
      <w:r w:rsidRPr="00241B3B">
        <w:t xml:space="preserve"> </w:t>
      </w:r>
    </w:p>
    <w:p w14:paraId="077BE87C" w14:textId="4B302547" w:rsidR="004F30CA" w:rsidRPr="00241B3B" w:rsidRDefault="004F30CA" w:rsidP="00241B3B">
      <w:pPr>
        <w:pStyle w:val="BodyText"/>
        <w:rPr>
          <w:shd w:val="clear" w:color="auto" w:fill="FFFFFF"/>
          <w:lang w:val="en-AU"/>
        </w:rPr>
      </w:pPr>
      <w:r w:rsidRPr="00241B3B">
        <w:rPr>
          <w:color w:val="auto"/>
          <w:lang w:val="en-AU"/>
        </w:rPr>
        <w:t xml:space="preserve">Therefore, the </w:t>
      </w:r>
      <w:r w:rsidRPr="00241B3B">
        <w:rPr>
          <w:shd w:val="clear" w:color="auto" w:fill="FFFFFF"/>
          <w:lang w:val="en-AU"/>
        </w:rPr>
        <w:t xml:space="preserve">NHHP must be ambitious and clearly set out the necessary investments and responsibilities of </w:t>
      </w:r>
      <w:r w:rsidR="0094332A" w:rsidRPr="00241B3B">
        <w:rPr>
          <w:shd w:val="clear" w:color="auto" w:fill="FFFFFF"/>
          <w:lang w:val="en-AU"/>
        </w:rPr>
        <w:t>g</w:t>
      </w:r>
      <w:r w:rsidRPr="00241B3B">
        <w:rPr>
          <w:shd w:val="clear" w:color="auto" w:fill="FFFFFF"/>
          <w:lang w:val="en-AU"/>
        </w:rPr>
        <w:t>overnments need</w:t>
      </w:r>
      <w:r w:rsidR="0094332A" w:rsidRPr="00241B3B">
        <w:rPr>
          <w:shd w:val="clear" w:color="auto" w:fill="FFFFFF"/>
          <w:lang w:val="en-AU"/>
        </w:rPr>
        <w:t>ed</w:t>
      </w:r>
      <w:r w:rsidRPr="00241B3B">
        <w:rPr>
          <w:shd w:val="clear" w:color="auto" w:fill="FFFFFF"/>
          <w:lang w:val="en-AU"/>
        </w:rPr>
        <w:t xml:space="preserve"> to make the plan work for people with disability. Noting this, and based on PWDA’s experience and expertise outlined earlier, for the NHHP to deliver improved housing outcomes for people with disability, the NHHP needs to take a dual targeted approach that:</w:t>
      </w:r>
    </w:p>
    <w:p w14:paraId="0D6E8E77" w14:textId="3B9FC157" w:rsidR="004F30CA" w:rsidRPr="00241B3B" w:rsidRDefault="00070CF8" w:rsidP="00241B3B">
      <w:pPr>
        <w:pStyle w:val="BodyText"/>
        <w:numPr>
          <w:ilvl w:val="0"/>
          <w:numId w:val="35"/>
        </w:numPr>
        <w:rPr>
          <w:shd w:val="clear" w:color="auto" w:fill="FFFFFF"/>
          <w:lang w:val="en-AU"/>
        </w:rPr>
      </w:pPr>
      <w:r w:rsidRPr="00241B3B">
        <w:rPr>
          <w:b/>
          <w:bCs/>
          <w:shd w:val="clear" w:color="auto" w:fill="FFFFFF"/>
          <w:lang w:val="en-AU"/>
        </w:rPr>
        <w:t>i</w:t>
      </w:r>
      <w:r w:rsidR="004F30CA" w:rsidRPr="00241B3B">
        <w:rPr>
          <w:b/>
          <w:bCs/>
          <w:shd w:val="clear" w:color="auto" w:fill="FFFFFF"/>
          <w:lang w:val="en-AU"/>
        </w:rPr>
        <w:t xml:space="preserve">mplements a targeted housing </w:t>
      </w:r>
      <w:r w:rsidR="00D64894" w:rsidRPr="00241B3B">
        <w:rPr>
          <w:b/>
          <w:bCs/>
          <w:shd w:val="clear" w:color="auto" w:fill="FFFFFF"/>
          <w:lang w:val="en-AU"/>
        </w:rPr>
        <w:t xml:space="preserve">action </w:t>
      </w:r>
      <w:r w:rsidR="004F30CA" w:rsidRPr="00241B3B">
        <w:rPr>
          <w:b/>
          <w:bCs/>
          <w:shd w:val="clear" w:color="auto" w:fill="FFFFFF"/>
          <w:lang w:val="en-AU"/>
        </w:rPr>
        <w:t xml:space="preserve">plan for people with disability </w:t>
      </w:r>
      <w:r w:rsidR="004F30CA" w:rsidRPr="00241B3B">
        <w:rPr>
          <w:shd w:val="clear" w:color="auto" w:fill="FFFFFF"/>
          <w:lang w:val="en-AU"/>
        </w:rPr>
        <w:t xml:space="preserve">to address the supply, affordability and accessibility barriers that people with disability face in achieving </w:t>
      </w:r>
      <w:r w:rsidR="002F36D9" w:rsidRPr="00241B3B">
        <w:rPr>
          <w:shd w:val="clear" w:color="auto" w:fill="FFFFFF"/>
          <w:lang w:val="en-AU"/>
        </w:rPr>
        <w:t xml:space="preserve">improved </w:t>
      </w:r>
      <w:r w:rsidR="004F30CA" w:rsidRPr="00241B3B">
        <w:rPr>
          <w:shd w:val="clear" w:color="auto" w:fill="FFFFFF"/>
          <w:lang w:val="en-AU"/>
        </w:rPr>
        <w:t>housing outcomes</w:t>
      </w:r>
      <w:r w:rsidR="00AB7E1D" w:rsidRPr="00241B3B">
        <w:rPr>
          <w:shd w:val="clear" w:color="auto" w:fill="FFFFFF"/>
          <w:lang w:val="en-AU"/>
        </w:rPr>
        <w:t xml:space="preserve"> and within that</w:t>
      </w:r>
      <w:r w:rsidR="005F43D1" w:rsidRPr="00241B3B">
        <w:rPr>
          <w:shd w:val="clear" w:color="auto" w:fill="FFFFFF"/>
          <w:lang w:val="en-AU"/>
        </w:rPr>
        <w:t xml:space="preserve"> action plan</w:t>
      </w:r>
      <w:r w:rsidR="002D45D2" w:rsidRPr="00241B3B">
        <w:rPr>
          <w:shd w:val="clear" w:color="auto" w:fill="FFFFFF"/>
          <w:lang w:val="en-AU"/>
        </w:rPr>
        <w:t xml:space="preserve"> (details from page </w:t>
      </w:r>
      <w:r w:rsidR="000E5E46">
        <w:rPr>
          <w:shd w:val="clear" w:color="auto" w:fill="FFFFFF"/>
          <w:lang w:val="en-AU"/>
        </w:rPr>
        <w:t>10</w:t>
      </w:r>
      <w:r w:rsidR="002D45D2" w:rsidRPr="00241B3B">
        <w:rPr>
          <w:shd w:val="clear" w:color="auto" w:fill="FFFFFF"/>
          <w:lang w:val="en-AU"/>
        </w:rPr>
        <w:t>)</w:t>
      </w:r>
    </w:p>
    <w:p w14:paraId="5CF9E48A" w14:textId="643B4AD3" w:rsidR="00AB7E1D" w:rsidRPr="00241B3B" w:rsidRDefault="00070CF8" w:rsidP="00241B3B">
      <w:pPr>
        <w:pStyle w:val="BodyText"/>
        <w:numPr>
          <w:ilvl w:val="0"/>
          <w:numId w:val="35"/>
        </w:numPr>
        <w:rPr>
          <w:shd w:val="clear" w:color="auto" w:fill="FFFFFF"/>
          <w:lang w:val="en-AU"/>
        </w:rPr>
      </w:pPr>
      <w:r w:rsidRPr="00241B3B">
        <w:rPr>
          <w:shd w:val="clear" w:color="auto" w:fill="FFFFFF"/>
          <w:lang w:val="en-AU"/>
        </w:rPr>
        <w:t>e</w:t>
      </w:r>
      <w:r w:rsidR="00AB7E1D" w:rsidRPr="00241B3B">
        <w:rPr>
          <w:shd w:val="clear" w:color="auto" w:fill="FFFFFF"/>
          <w:lang w:val="en-AU"/>
        </w:rPr>
        <w:t>mbeds a transition plan to phase out congregate living for people with disability</w:t>
      </w:r>
      <w:r w:rsidR="002D45D2" w:rsidRPr="00241B3B">
        <w:rPr>
          <w:shd w:val="clear" w:color="auto" w:fill="FFFFFF"/>
          <w:lang w:val="en-AU"/>
        </w:rPr>
        <w:t xml:space="preserve"> (details from page 1</w:t>
      </w:r>
      <w:r w:rsidR="000E5E46">
        <w:rPr>
          <w:shd w:val="clear" w:color="auto" w:fill="FFFFFF"/>
          <w:lang w:val="en-AU"/>
        </w:rPr>
        <w:t>4</w:t>
      </w:r>
      <w:r w:rsidR="002D45D2" w:rsidRPr="00241B3B">
        <w:rPr>
          <w:shd w:val="clear" w:color="auto" w:fill="FFFFFF"/>
          <w:lang w:val="en-AU"/>
        </w:rPr>
        <w:t>).</w:t>
      </w:r>
    </w:p>
    <w:p w14:paraId="0E75A86F" w14:textId="15263005" w:rsidR="00BE64CC" w:rsidRPr="00241B3B" w:rsidRDefault="00B97A90" w:rsidP="00424471">
      <w:pPr>
        <w:pStyle w:val="Heading3"/>
        <w:spacing w:line="288" w:lineRule="auto"/>
        <w:rPr>
          <w:color w:val="005496" w:themeColor="text2"/>
        </w:rPr>
      </w:pPr>
      <w:bookmarkStart w:id="116" w:name="_Toc147911759"/>
      <w:bookmarkStart w:id="117" w:name="_Toc148013340"/>
      <w:bookmarkStart w:id="118" w:name="_Toc148957822"/>
      <w:r w:rsidRPr="00241B3B">
        <w:t xml:space="preserve">Rationale </w:t>
      </w:r>
      <w:r w:rsidR="009F7F6D" w:rsidRPr="00241B3B">
        <w:t>for targeted action</w:t>
      </w:r>
      <w:bookmarkEnd w:id="116"/>
      <w:bookmarkEnd w:id="117"/>
      <w:bookmarkEnd w:id="118"/>
    </w:p>
    <w:p w14:paraId="5310F831" w14:textId="69E83963" w:rsidR="00E4076F" w:rsidRPr="00241B3B" w:rsidRDefault="00E4076F" w:rsidP="00241B3B">
      <w:pPr>
        <w:pStyle w:val="BodyText"/>
        <w:rPr>
          <w:lang w:val="en-AU"/>
        </w:rPr>
      </w:pPr>
      <w:r w:rsidRPr="00241B3B">
        <w:rPr>
          <w:lang w:val="en-AU"/>
        </w:rPr>
        <w:t xml:space="preserve">As noted in the </w:t>
      </w:r>
      <w:r w:rsidRPr="00241B3B">
        <w:rPr>
          <w:color w:val="0A0A0A"/>
          <w:shd w:val="clear" w:color="auto" w:fill="FFFFFF"/>
          <w:lang w:val="en-AU"/>
        </w:rPr>
        <w:t xml:space="preserve">National Housing and Homelessness Plan </w:t>
      </w:r>
      <w:hyperlink r:id="rId16" w:history="1">
        <w:r w:rsidRPr="00241B3B">
          <w:rPr>
            <w:rStyle w:val="Hyperlink"/>
            <w:lang w:val="en-AU"/>
          </w:rPr>
          <w:t>Issues Paper</w:t>
        </w:r>
      </w:hyperlink>
      <w:r w:rsidRPr="00241B3B">
        <w:rPr>
          <w:lang w:val="en-AU"/>
        </w:rPr>
        <w:t xml:space="preserve">, </w:t>
      </w:r>
      <w:hyperlink r:id="rId17" w:history="1">
        <w:r w:rsidRPr="00241B3B">
          <w:rPr>
            <w:rStyle w:val="Hyperlink"/>
            <w:lang w:val="en-AU"/>
          </w:rPr>
          <w:t>Australia’s Disability Strategy 2021-2031</w:t>
        </w:r>
      </w:hyperlink>
      <w:r w:rsidR="001C6CC3" w:rsidRPr="00241B3B">
        <w:rPr>
          <w:rStyle w:val="Hyperlink"/>
          <w:color w:val="auto"/>
          <w:u w:val="none"/>
          <w:lang w:val="en-AU"/>
        </w:rPr>
        <w:t xml:space="preserve"> (ADS) </w:t>
      </w:r>
      <w:r w:rsidRPr="00241B3B">
        <w:rPr>
          <w:lang w:val="en-AU"/>
        </w:rPr>
        <w:t>includes a focus area on inclusive homes and communities</w:t>
      </w:r>
      <w:r w:rsidR="008607BE" w:rsidRPr="00241B3B">
        <w:rPr>
          <w:lang w:val="en-AU"/>
        </w:rPr>
        <w:t>. This focus area</w:t>
      </w:r>
      <w:r w:rsidRPr="00241B3B">
        <w:rPr>
          <w:lang w:val="en-AU"/>
        </w:rPr>
        <w:t xml:space="preserve"> includes a measure for state and territory </w:t>
      </w:r>
      <w:r w:rsidR="00971CD9" w:rsidRPr="00241B3B">
        <w:rPr>
          <w:lang w:val="en-AU"/>
        </w:rPr>
        <w:t>g</w:t>
      </w:r>
      <w:r w:rsidRPr="00241B3B">
        <w:rPr>
          <w:lang w:val="en-AU"/>
        </w:rPr>
        <w:t xml:space="preserve">overnments to partner with </w:t>
      </w:r>
      <w:r w:rsidR="00971CD9" w:rsidRPr="00241B3B">
        <w:rPr>
          <w:lang w:val="en-AU"/>
        </w:rPr>
        <w:t xml:space="preserve">the </w:t>
      </w:r>
      <w:r w:rsidRPr="00241B3B">
        <w:rPr>
          <w:lang w:val="en-AU"/>
        </w:rPr>
        <w:t>Commonwealth Government, which the Australia</w:t>
      </w:r>
      <w:r w:rsidR="007709CE" w:rsidRPr="00241B3B">
        <w:rPr>
          <w:lang w:val="en-AU"/>
        </w:rPr>
        <w:t>n</w:t>
      </w:r>
      <w:r w:rsidRPr="00241B3B">
        <w:rPr>
          <w:lang w:val="en-AU"/>
        </w:rPr>
        <w:t xml:space="preserve"> Institute of Health and Welfare explains</w:t>
      </w:r>
      <w:r w:rsidR="003566AC" w:rsidRPr="00241B3B">
        <w:rPr>
          <w:lang w:val="en-AU"/>
        </w:rPr>
        <w:t xml:space="preserve"> is</w:t>
      </w:r>
      <w:r w:rsidRPr="00241B3B">
        <w:rPr>
          <w:lang w:val="en-AU"/>
        </w:rPr>
        <w:t xml:space="preserve"> to </w:t>
      </w:r>
      <w:r w:rsidR="00A73755" w:rsidRPr="00241B3B">
        <w:rPr>
          <w:lang w:val="en-AU"/>
        </w:rPr>
        <w:t>‘</w:t>
      </w:r>
      <w:r w:rsidRPr="00241B3B">
        <w:rPr>
          <w:lang w:val="en-AU"/>
        </w:rPr>
        <w:t>increase the accessibility and availability of affordable housing for people with disability.</w:t>
      </w:r>
      <w:r w:rsidR="00A73755" w:rsidRPr="00241B3B">
        <w:rPr>
          <w:lang w:val="en-AU"/>
        </w:rPr>
        <w:t>’</w:t>
      </w:r>
      <w:r w:rsidRPr="00241B3B">
        <w:rPr>
          <w:rStyle w:val="FootnoteReference"/>
          <w:lang w:val="en-AU"/>
        </w:rPr>
        <w:footnoteReference w:id="3"/>
      </w:r>
      <w:r w:rsidRPr="00241B3B">
        <w:rPr>
          <w:lang w:val="en-AU"/>
        </w:rPr>
        <w:t xml:space="preserve"> </w:t>
      </w:r>
    </w:p>
    <w:p w14:paraId="69DF79D7" w14:textId="1092F782" w:rsidR="000D6DDD" w:rsidRPr="00241B3B" w:rsidRDefault="005C341E" w:rsidP="00241B3B">
      <w:pPr>
        <w:pStyle w:val="BodyText"/>
        <w:rPr>
          <w:lang w:val="en-AU"/>
        </w:rPr>
      </w:pPr>
      <w:r w:rsidRPr="00241B3B">
        <w:rPr>
          <w:lang w:val="en-AU"/>
        </w:rPr>
        <w:t xml:space="preserve">However, the ADS does not include any targeted action plans </w:t>
      </w:r>
      <w:r w:rsidR="001C6CC3" w:rsidRPr="00241B3B">
        <w:rPr>
          <w:lang w:val="en-AU"/>
        </w:rPr>
        <w:t>for</w:t>
      </w:r>
      <w:r w:rsidRPr="00241B3B">
        <w:rPr>
          <w:lang w:val="en-AU"/>
        </w:rPr>
        <w:t xml:space="preserve"> housing, despite a </w:t>
      </w:r>
      <w:r w:rsidR="00997E71" w:rsidRPr="00241B3B">
        <w:rPr>
          <w:lang w:val="en-AU"/>
        </w:rPr>
        <w:t xml:space="preserve">2022 </w:t>
      </w:r>
      <w:r w:rsidRPr="00241B3B">
        <w:rPr>
          <w:lang w:val="en-AU"/>
        </w:rPr>
        <w:t xml:space="preserve">Productivity Commission recommendation for </w:t>
      </w:r>
      <w:r w:rsidR="00C37C7C" w:rsidRPr="00241B3B">
        <w:rPr>
          <w:lang w:val="en-AU"/>
        </w:rPr>
        <w:t>Commonwealth</w:t>
      </w:r>
      <w:r w:rsidRPr="00241B3B">
        <w:rPr>
          <w:lang w:val="en-AU"/>
        </w:rPr>
        <w:t xml:space="preserve">, state and territory </w:t>
      </w:r>
      <w:r w:rsidR="00997E71" w:rsidRPr="00241B3B">
        <w:rPr>
          <w:lang w:val="en-AU"/>
        </w:rPr>
        <w:t>g</w:t>
      </w:r>
      <w:r w:rsidR="008E74DA" w:rsidRPr="00241B3B">
        <w:rPr>
          <w:lang w:val="en-AU"/>
        </w:rPr>
        <w:t>overnment</w:t>
      </w:r>
      <w:r w:rsidRPr="00241B3B">
        <w:rPr>
          <w:lang w:val="en-AU"/>
        </w:rPr>
        <w:t xml:space="preserve">s commit to </w:t>
      </w:r>
      <w:r w:rsidR="005F12A0" w:rsidRPr="00241B3B">
        <w:rPr>
          <w:lang w:val="en-AU"/>
        </w:rPr>
        <w:t>‘</w:t>
      </w:r>
      <w:r w:rsidRPr="00241B3B">
        <w:rPr>
          <w:lang w:val="en-AU"/>
        </w:rPr>
        <w:t>commissioning a housing Targeted Action Plan under Australia’s Disability Strategy.</w:t>
      </w:r>
      <w:r w:rsidR="005F12A0" w:rsidRPr="00241B3B">
        <w:rPr>
          <w:lang w:val="en-AU"/>
        </w:rPr>
        <w:t>’</w:t>
      </w:r>
      <w:r w:rsidRPr="00241B3B">
        <w:rPr>
          <w:rStyle w:val="FootnoteReference"/>
          <w:lang w:val="en-AU"/>
        </w:rPr>
        <w:footnoteReference w:id="4"/>
      </w:r>
      <w:r w:rsidR="00671A65" w:rsidRPr="00241B3B">
        <w:rPr>
          <w:lang w:val="en-AU"/>
        </w:rPr>
        <w:t xml:space="preserve"> </w:t>
      </w:r>
    </w:p>
    <w:p w14:paraId="6541A74C" w14:textId="26DA0F7C" w:rsidR="005C341E" w:rsidRPr="00241B3B" w:rsidRDefault="000D6DDD" w:rsidP="00241B3B">
      <w:pPr>
        <w:pStyle w:val="BodyText"/>
        <w:rPr>
          <w:lang w:val="en-AU"/>
        </w:rPr>
      </w:pPr>
      <w:r w:rsidRPr="00241B3B">
        <w:rPr>
          <w:lang w:val="en-AU"/>
        </w:rPr>
        <w:t xml:space="preserve">In addition, </w:t>
      </w:r>
      <w:r w:rsidR="00BA7EE6" w:rsidRPr="00241B3B">
        <w:rPr>
          <w:lang w:val="en-AU"/>
        </w:rPr>
        <w:t xml:space="preserve">Recommendations 5.2 </w:t>
      </w:r>
      <w:r w:rsidR="007C72C5" w:rsidRPr="00241B3B">
        <w:rPr>
          <w:lang w:val="en-AU"/>
        </w:rPr>
        <w:t>(</w:t>
      </w:r>
      <w:r w:rsidR="000E5E46">
        <w:rPr>
          <w:lang w:val="en-AU"/>
        </w:rPr>
        <w:t>‘</w:t>
      </w:r>
      <w:r w:rsidR="00BA7EE6" w:rsidRPr="00241B3B">
        <w:rPr>
          <w:lang w:val="en-AU"/>
        </w:rPr>
        <w:t>Review and update of Australia’s Disability Strategy</w:t>
      </w:r>
      <w:r w:rsidR="000E5E46">
        <w:rPr>
          <w:lang w:val="en-AU"/>
        </w:rPr>
        <w:t>’</w:t>
      </w:r>
      <w:r w:rsidR="007C72C5" w:rsidRPr="00241B3B">
        <w:rPr>
          <w:lang w:val="en-AU"/>
        </w:rPr>
        <w:t>)</w:t>
      </w:r>
      <w:r w:rsidR="00BA7EE6" w:rsidRPr="00241B3B">
        <w:rPr>
          <w:lang w:val="en-AU"/>
        </w:rPr>
        <w:t xml:space="preserve">, 5.3 </w:t>
      </w:r>
      <w:r w:rsidR="007C72C5" w:rsidRPr="00241B3B">
        <w:rPr>
          <w:lang w:val="en-AU"/>
        </w:rPr>
        <w:t>(</w:t>
      </w:r>
      <w:r w:rsidR="00CA6CBE" w:rsidRPr="00241B3B">
        <w:rPr>
          <w:lang w:val="en-AU"/>
        </w:rPr>
        <w:t>‘</w:t>
      </w:r>
      <w:r w:rsidR="00BA7EE6" w:rsidRPr="00241B3B">
        <w:rPr>
          <w:lang w:val="en-AU"/>
        </w:rPr>
        <w:t>Review and update of disability strategies and plans</w:t>
      </w:r>
      <w:r w:rsidR="00CA6CBE" w:rsidRPr="00241B3B">
        <w:rPr>
          <w:lang w:val="en-AU"/>
        </w:rPr>
        <w:t>’</w:t>
      </w:r>
      <w:r w:rsidR="007C72C5" w:rsidRPr="00241B3B">
        <w:rPr>
          <w:lang w:val="en-AU"/>
        </w:rPr>
        <w:t>)</w:t>
      </w:r>
      <w:r w:rsidR="00BA7EE6" w:rsidRPr="00241B3B">
        <w:rPr>
          <w:lang w:val="en-AU"/>
        </w:rPr>
        <w:t xml:space="preserve"> and 5.4 </w:t>
      </w:r>
      <w:r w:rsidR="007C72C5" w:rsidRPr="00241B3B">
        <w:rPr>
          <w:lang w:val="en-AU"/>
        </w:rPr>
        <w:t>(</w:t>
      </w:r>
      <w:r w:rsidR="00CA6CBE" w:rsidRPr="00241B3B">
        <w:rPr>
          <w:lang w:val="en-AU"/>
        </w:rPr>
        <w:t>‘</w:t>
      </w:r>
      <w:r w:rsidR="00BA7EE6" w:rsidRPr="00241B3B">
        <w:rPr>
          <w:lang w:val="en-AU"/>
        </w:rPr>
        <w:t>Review of national agreements, strategies and plans</w:t>
      </w:r>
      <w:r w:rsidR="00CA6CBE" w:rsidRPr="00241B3B">
        <w:rPr>
          <w:lang w:val="en-AU"/>
        </w:rPr>
        <w:t>’</w:t>
      </w:r>
      <w:r w:rsidR="007C72C5" w:rsidRPr="00241B3B">
        <w:rPr>
          <w:lang w:val="en-AU"/>
        </w:rPr>
        <w:t>)</w:t>
      </w:r>
      <w:r w:rsidR="00BA7EE6" w:rsidRPr="00241B3B">
        <w:rPr>
          <w:lang w:val="en-AU"/>
        </w:rPr>
        <w:t xml:space="preserve"> </w:t>
      </w:r>
      <w:r w:rsidR="006F13D6" w:rsidRPr="00241B3B">
        <w:rPr>
          <w:lang w:val="en-AU"/>
        </w:rPr>
        <w:t>from</w:t>
      </w:r>
      <w:r w:rsidR="00F1040A" w:rsidRPr="00241B3B">
        <w:rPr>
          <w:lang w:val="en-AU"/>
        </w:rPr>
        <w:t xml:space="preserve"> last month’s </w:t>
      </w:r>
      <w:hyperlink r:id="rId18" w:history="1">
        <w:r w:rsidR="00F1040A" w:rsidRPr="00241B3B">
          <w:rPr>
            <w:rStyle w:val="Hyperlink"/>
            <w:lang w:val="en-AU"/>
          </w:rPr>
          <w:t>Final</w:t>
        </w:r>
        <w:r w:rsidR="006F13D6" w:rsidRPr="00241B3B">
          <w:rPr>
            <w:rStyle w:val="Hyperlink"/>
            <w:lang w:val="en-AU"/>
          </w:rPr>
          <w:t xml:space="preserve"> Report and recommendations</w:t>
        </w:r>
      </w:hyperlink>
      <w:r w:rsidR="006F13D6" w:rsidRPr="00241B3B">
        <w:rPr>
          <w:lang w:val="en-AU"/>
        </w:rPr>
        <w:t xml:space="preserve"> </w:t>
      </w:r>
      <w:r w:rsidR="00F1040A" w:rsidRPr="00241B3B">
        <w:rPr>
          <w:lang w:val="en-AU"/>
        </w:rPr>
        <w:t>for the Royal Commission into Violence, Abuse, Neglect and Exploitation of People with Disability (Disability Royal Commission)</w:t>
      </w:r>
      <w:r w:rsidR="00F57CB9" w:rsidRPr="00241B3B">
        <w:rPr>
          <w:lang w:val="en-AU"/>
        </w:rPr>
        <w:t xml:space="preserve"> all</w:t>
      </w:r>
      <w:r w:rsidR="00BA7EE6" w:rsidRPr="00241B3B">
        <w:rPr>
          <w:lang w:val="en-AU"/>
        </w:rPr>
        <w:t xml:space="preserve"> recommend updating and review of national </w:t>
      </w:r>
      <w:r w:rsidR="00BA7EE6" w:rsidRPr="00241B3B">
        <w:rPr>
          <w:lang w:val="en-AU"/>
        </w:rPr>
        <w:lastRenderedPageBreak/>
        <w:t>plans and agreements in alignment with</w:t>
      </w:r>
      <w:r w:rsidR="00F57CB9" w:rsidRPr="00241B3B">
        <w:rPr>
          <w:lang w:val="en-AU"/>
        </w:rPr>
        <w:t xml:space="preserve"> the ADS</w:t>
      </w:r>
      <w:r w:rsidR="00BA7EE6" w:rsidRPr="00241B3B">
        <w:rPr>
          <w:lang w:val="en-AU"/>
        </w:rPr>
        <w:t>. This must include a targeted action plan for housing under the ADS.</w:t>
      </w:r>
    </w:p>
    <w:p w14:paraId="0FEE8053" w14:textId="12B882F8" w:rsidR="009509DF" w:rsidRPr="00241B3B" w:rsidRDefault="006C48C4" w:rsidP="00241B3B">
      <w:pPr>
        <w:pStyle w:val="BodyText"/>
        <w:rPr>
          <w:lang w:val="en-AU"/>
        </w:rPr>
      </w:pPr>
      <w:r w:rsidRPr="00241B3B">
        <w:rPr>
          <w:lang w:val="en-AU"/>
        </w:rPr>
        <w:t xml:space="preserve">The need for a </w:t>
      </w:r>
      <w:r w:rsidR="00201E43" w:rsidRPr="00241B3B">
        <w:rPr>
          <w:lang w:val="en-AU"/>
        </w:rPr>
        <w:t>Targeted Housing Action Plan</w:t>
      </w:r>
      <w:r w:rsidRPr="00241B3B">
        <w:rPr>
          <w:lang w:val="en-AU"/>
        </w:rPr>
        <w:t xml:space="preserve"> </w:t>
      </w:r>
      <w:r w:rsidR="00AA5B69" w:rsidRPr="00241B3B">
        <w:rPr>
          <w:lang w:val="en-AU"/>
        </w:rPr>
        <w:t xml:space="preserve">for people with disability </w:t>
      </w:r>
      <w:r w:rsidR="00A714E0" w:rsidRPr="00241B3B">
        <w:rPr>
          <w:lang w:val="en-AU"/>
        </w:rPr>
        <w:t>stems from Australia’s</w:t>
      </w:r>
      <w:r w:rsidR="00BD288D" w:rsidRPr="00241B3B">
        <w:rPr>
          <w:lang w:val="en-AU"/>
        </w:rPr>
        <w:t xml:space="preserve"> international</w:t>
      </w:r>
      <w:r w:rsidR="00A714E0" w:rsidRPr="00241B3B">
        <w:rPr>
          <w:lang w:val="en-AU"/>
        </w:rPr>
        <w:t xml:space="preserve"> human rights obligations </w:t>
      </w:r>
      <w:r w:rsidR="00BD288D" w:rsidRPr="00241B3B">
        <w:rPr>
          <w:lang w:val="en-AU"/>
        </w:rPr>
        <w:t xml:space="preserve">and principles, specifically through the </w:t>
      </w:r>
      <w:hyperlink r:id="rId19" w:history="1">
        <w:r w:rsidR="005C341E" w:rsidRPr="00241B3B">
          <w:rPr>
            <w:rStyle w:val="Hyperlink"/>
            <w:lang w:val="en-AU"/>
          </w:rPr>
          <w:t>United Nations Convention on the Rights of Persons with Disabilit</w:t>
        </w:r>
        <w:r w:rsidR="009509DF" w:rsidRPr="00241B3B">
          <w:rPr>
            <w:rStyle w:val="Hyperlink"/>
            <w:lang w:val="en-AU"/>
          </w:rPr>
          <w:t>ies</w:t>
        </w:r>
        <w:r w:rsidR="005C341E" w:rsidRPr="00241B3B">
          <w:rPr>
            <w:rStyle w:val="Hyperlink"/>
            <w:lang w:val="en-AU"/>
          </w:rPr>
          <w:t xml:space="preserve"> (CRPD)</w:t>
        </w:r>
      </w:hyperlink>
      <w:r w:rsidR="005C341E" w:rsidRPr="00241B3B">
        <w:rPr>
          <w:lang w:val="en-AU"/>
        </w:rPr>
        <w:t xml:space="preserve"> (2008) relating to safe, affordable, secure and accessible housing for people with disability, especially through</w:t>
      </w:r>
      <w:r w:rsidR="009509DF" w:rsidRPr="00241B3B">
        <w:rPr>
          <w:lang w:val="en-AU"/>
        </w:rPr>
        <w:t>:</w:t>
      </w:r>
      <w:r w:rsidR="005C341E" w:rsidRPr="00241B3B">
        <w:rPr>
          <w:lang w:val="en-AU"/>
        </w:rPr>
        <w:t xml:space="preserve"> </w:t>
      </w:r>
    </w:p>
    <w:p w14:paraId="222A6487" w14:textId="51640C65" w:rsidR="00C85372" w:rsidRPr="00241B3B" w:rsidRDefault="00000000" w:rsidP="00241B3B">
      <w:pPr>
        <w:pStyle w:val="BodyText"/>
        <w:numPr>
          <w:ilvl w:val="0"/>
          <w:numId w:val="36"/>
        </w:numPr>
        <w:rPr>
          <w:lang w:val="en-AU"/>
        </w:rPr>
      </w:pPr>
      <w:hyperlink r:id="rId20" w:history="1">
        <w:r w:rsidR="005C341E" w:rsidRPr="00241B3B">
          <w:rPr>
            <w:rStyle w:val="Hyperlink"/>
            <w:lang w:val="en-AU"/>
          </w:rPr>
          <w:t>Article 9</w:t>
        </w:r>
        <w:r w:rsidR="00C85372" w:rsidRPr="00241B3B">
          <w:rPr>
            <w:rStyle w:val="Hyperlink"/>
            <w:lang w:val="en-AU"/>
          </w:rPr>
          <w:t xml:space="preserve"> – Accessibility</w:t>
        </w:r>
      </w:hyperlink>
    </w:p>
    <w:p w14:paraId="49B206E5" w14:textId="5DF7FE08" w:rsidR="009509DF" w:rsidRPr="00241B3B" w:rsidRDefault="00000000" w:rsidP="00241B3B">
      <w:pPr>
        <w:pStyle w:val="BodyText"/>
        <w:numPr>
          <w:ilvl w:val="0"/>
          <w:numId w:val="36"/>
        </w:numPr>
        <w:rPr>
          <w:lang w:val="en-AU"/>
        </w:rPr>
      </w:pPr>
      <w:hyperlink r:id="rId21" w:history="1">
        <w:r w:rsidR="005C341E" w:rsidRPr="00241B3B">
          <w:rPr>
            <w:rStyle w:val="Hyperlink"/>
            <w:rFonts w:cstheme="minorHAnsi"/>
            <w:spacing w:val="4"/>
            <w:lang w:val="en-AU"/>
          </w:rPr>
          <w:t xml:space="preserve">Article 19 </w:t>
        </w:r>
        <w:r w:rsidR="00C85372" w:rsidRPr="00241B3B">
          <w:rPr>
            <w:rStyle w:val="Hyperlink"/>
            <w:rFonts w:cstheme="minorHAnsi"/>
            <w:spacing w:val="4"/>
            <w:lang w:val="en-AU"/>
          </w:rPr>
          <w:t xml:space="preserve">– </w:t>
        </w:r>
        <w:r w:rsidR="005C341E" w:rsidRPr="00241B3B">
          <w:rPr>
            <w:rStyle w:val="Hyperlink"/>
            <w:rFonts w:cstheme="minorHAnsi"/>
            <w:spacing w:val="4"/>
            <w:lang w:val="en-AU"/>
          </w:rPr>
          <w:t>Living Independently and Being Supported in the Community</w:t>
        </w:r>
      </w:hyperlink>
      <w:r w:rsidR="005C341E" w:rsidRPr="00241B3B">
        <w:rPr>
          <w:lang w:val="en-AU"/>
        </w:rPr>
        <w:t xml:space="preserve"> </w:t>
      </w:r>
    </w:p>
    <w:p w14:paraId="2B041F23" w14:textId="6DCA68A7" w:rsidR="002026B3" w:rsidRPr="00241B3B" w:rsidRDefault="00000000" w:rsidP="00241B3B">
      <w:pPr>
        <w:pStyle w:val="BodyText"/>
        <w:numPr>
          <w:ilvl w:val="0"/>
          <w:numId w:val="36"/>
        </w:numPr>
        <w:rPr>
          <w:rFonts w:cstheme="minorHAnsi"/>
          <w:lang w:val="en-AU"/>
        </w:rPr>
      </w:pPr>
      <w:hyperlink r:id="rId22" w:history="1">
        <w:r w:rsidR="005C341E" w:rsidRPr="00241B3B">
          <w:rPr>
            <w:rStyle w:val="Hyperlink"/>
            <w:rFonts w:cstheme="minorHAnsi"/>
            <w:spacing w:val="4"/>
            <w:lang w:val="en-AU"/>
          </w:rPr>
          <w:t xml:space="preserve">Article 28 </w:t>
        </w:r>
        <w:r w:rsidR="00C85372" w:rsidRPr="00241B3B">
          <w:rPr>
            <w:rStyle w:val="Hyperlink"/>
            <w:rFonts w:cstheme="minorHAnsi"/>
            <w:spacing w:val="4"/>
            <w:lang w:val="en-AU"/>
          </w:rPr>
          <w:t xml:space="preserve">– </w:t>
        </w:r>
        <w:r w:rsidR="005C341E" w:rsidRPr="00241B3B">
          <w:rPr>
            <w:rStyle w:val="Hyperlink"/>
            <w:rFonts w:cstheme="minorHAnsi"/>
            <w:spacing w:val="4"/>
            <w:lang w:val="en-AU"/>
          </w:rPr>
          <w:t>Adequate Standard of Living and Social Protection</w:t>
        </w:r>
      </w:hyperlink>
      <w:r w:rsidR="002026B3" w:rsidRPr="00241B3B">
        <w:rPr>
          <w:rFonts w:cstheme="minorHAnsi"/>
          <w:lang w:val="en-AU"/>
        </w:rPr>
        <w:t xml:space="preserve">. </w:t>
      </w:r>
    </w:p>
    <w:p w14:paraId="28CCA023" w14:textId="36E2198E" w:rsidR="00807785" w:rsidRPr="00241B3B" w:rsidRDefault="00807785" w:rsidP="00241B3B">
      <w:pPr>
        <w:pStyle w:val="BodyText"/>
        <w:rPr>
          <w:lang w:val="en-AU"/>
        </w:rPr>
      </w:pPr>
      <w:r w:rsidRPr="00241B3B">
        <w:rPr>
          <w:lang w:val="en-AU"/>
        </w:rPr>
        <w:t>The right to housing is a cascading right, which means that without access to housing, all other human rights are impinged. Therefore, it is imperative that safe, affordable, secure and accessible housing options for people with disability are achieved through the NHHP</w:t>
      </w:r>
      <w:r w:rsidR="003E668A" w:rsidRPr="00241B3B">
        <w:rPr>
          <w:lang w:val="en-AU"/>
        </w:rPr>
        <w:t>.</w:t>
      </w:r>
    </w:p>
    <w:p w14:paraId="4D2823CC" w14:textId="41A78AD2" w:rsidR="00807785" w:rsidRPr="00241B3B" w:rsidRDefault="00807785" w:rsidP="00241B3B">
      <w:pPr>
        <w:pStyle w:val="BodyText"/>
        <w:rPr>
          <w:lang w:val="en-AU"/>
        </w:rPr>
      </w:pPr>
      <w:r w:rsidRPr="00241B3B">
        <w:rPr>
          <w:lang w:val="en-AU"/>
        </w:rPr>
        <w:t xml:space="preserve">There are numerous benefits of </w:t>
      </w:r>
      <w:r w:rsidRPr="00241B3B">
        <w:rPr>
          <w:rFonts w:cstheme="minorHAnsi"/>
          <w:spacing w:val="4"/>
          <w:lang w:val="en-AU"/>
        </w:rPr>
        <w:t>safe, secure, affordable and accessible housing</w:t>
      </w:r>
      <w:r w:rsidRPr="00241B3B">
        <w:rPr>
          <w:lang w:val="en-AU"/>
        </w:rPr>
        <w:t xml:space="preserve"> for people with disability. </w:t>
      </w:r>
      <w:r w:rsidR="00312C1E" w:rsidRPr="00241B3B">
        <w:rPr>
          <w:lang w:val="en-AU"/>
        </w:rPr>
        <w:t>T</w:t>
      </w:r>
      <w:r w:rsidRPr="00241B3B">
        <w:rPr>
          <w:lang w:val="en-AU"/>
        </w:rPr>
        <w:t>he Australian Institute of Health and Welfare</w:t>
      </w:r>
      <w:r w:rsidR="00312C1E" w:rsidRPr="00241B3B">
        <w:rPr>
          <w:lang w:val="en-AU"/>
        </w:rPr>
        <w:t xml:space="preserve"> explain</w:t>
      </w:r>
      <w:r w:rsidR="00F130AA" w:rsidRPr="00241B3B">
        <w:rPr>
          <w:lang w:val="en-AU"/>
        </w:rPr>
        <w:t>s</w:t>
      </w:r>
      <w:r w:rsidR="00312C1E" w:rsidRPr="00241B3B">
        <w:rPr>
          <w:lang w:val="en-AU"/>
        </w:rPr>
        <w:t xml:space="preserve"> the negative consequences of not delivering </w:t>
      </w:r>
      <w:r w:rsidR="00215463" w:rsidRPr="00241B3B">
        <w:rPr>
          <w:lang w:val="en-AU"/>
        </w:rPr>
        <w:t>housing for people with disability</w:t>
      </w:r>
      <w:r w:rsidR="00F130AA" w:rsidRPr="00241B3B">
        <w:rPr>
          <w:lang w:val="en-AU"/>
        </w:rPr>
        <w:t xml:space="preserve"> as</w:t>
      </w:r>
      <w:r w:rsidRPr="00241B3B">
        <w:rPr>
          <w:lang w:val="en-AU"/>
        </w:rPr>
        <w:t>:</w:t>
      </w:r>
    </w:p>
    <w:p w14:paraId="574E6BA5" w14:textId="1C0A8FE5" w:rsidR="00720C91" w:rsidRPr="00241B3B" w:rsidRDefault="005E11C4" w:rsidP="003E668A">
      <w:pPr>
        <w:pStyle w:val="Quote"/>
        <w:spacing w:line="288" w:lineRule="auto"/>
        <w:jc w:val="left"/>
      </w:pPr>
      <w:r w:rsidRPr="00241B3B">
        <w:t>‘</w:t>
      </w:r>
      <w:r w:rsidR="004F7069" w:rsidRPr="00241B3B">
        <w:t>A person who does not have access to affordable, secure and appropriate housing may experience several negative consequences, including homelessness, poor health, and lower rates of employment and education</w:t>
      </w:r>
      <w:r w:rsidRPr="00241B3B">
        <w:t>’</w:t>
      </w:r>
      <w:r w:rsidR="008A5420" w:rsidRPr="00241B3B">
        <w:t>.</w:t>
      </w:r>
      <w:r w:rsidR="004F7069" w:rsidRPr="00241B3B">
        <w:rPr>
          <w:rStyle w:val="FootnoteReference"/>
        </w:rPr>
        <w:footnoteReference w:id="5"/>
      </w:r>
    </w:p>
    <w:p w14:paraId="719E2D5C" w14:textId="3774BD7B" w:rsidR="00791D95" w:rsidRPr="00241B3B" w:rsidRDefault="005E11C4" w:rsidP="00241B3B">
      <w:pPr>
        <w:pStyle w:val="BodyText"/>
        <w:rPr>
          <w:lang w:val="en-AU"/>
        </w:rPr>
      </w:pPr>
      <w:r w:rsidRPr="00241B3B">
        <w:rPr>
          <w:lang w:val="en-AU"/>
        </w:rPr>
        <w:t>P</w:t>
      </w:r>
      <w:r w:rsidR="00704F9C" w:rsidRPr="00241B3B">
        <w:rPr>
          <w:lang w:val="en-AU"/>
        </w:rPr>
        <w:t>eople with disability are far more likely to experience</w:t>
      </w:r>
      <w:r w:rsidR="009A1A6A" w:rsidRPr="00241B3B">
        <w:rPr>
          <w:lang w:val="en-AU"/>
        </w:rPr>
        <w:t xml:space="preserve"> the</w:t>
      </w:r>
      <w:r w:rsidR="00BA20AA" w:rsidRPr="00241B3B">
        <w:rPr>
          <w:lang w:val="en-AU"/>
        </w:rPr>
        <w:t xml:space="preserve"> barriers accessing housing</w:t>
      </w:r>
      <w:r w:rsidR="009A1A6A" w:rsidRPr="00241B3B">
        <w:rPr>
          <w:lang w:val="en-AU"/>
        </w:rPr>
        <w:t xml:space="preserve"> described in this submission, and</w:t>
      </w:r>
      <w:r w:rsidR="005B506F" w:rsidRPr="00241B3B">
        <w:rPr>
          <w:lang w:val="en-AU"/>
        </w:rPr>
        <w:t xml:space="preserve"> </w:t>
      </w:r>
      <w:r w:rsidR="00B77923" w:rsidRPr="00241B3B">
        <w:rPr>
          <w:lang w:val="en-AU"/>
        </w:rPr>
        <w:t>more likely to</w:t>
      </w:r>
      <w:r w:rsidR="00704F9C" w:rsidRPr="00241B3B">
        <w:rPr>
          <w:lang w:val="en-AU"/>
        </w:rPr>
        <w:t xml:space="preserve"> experience homelessness</w:t>
      </w:r>
      <w:r w:rsidR="002B0987" w:rsidRPr="00241B3B">
        <w:rPr>
          <w:lang w:val="en-AU"/>
        </w:rPr>
        <w:t>,</w:t>
      </w:r>
      <w:r w:rsidR="00283895" w:rsidRPr="00241B3B">
        <w:rPr>
          <w:lang w:val="en-AU"/>
        </w:rPr>
        <w:t xml:space="preserve"> </w:t>
      </w:r>
      <w:r w:rsidRPr="00241B3B">
        <w:rPr>
          <w:lang w:val="en-AU"/>
        </w:rPr>
        <w:t xml:space="preserve">than people without disability, </w:t>
      </w:r>
      <w:r w:rsidR="001932A1" w:rsidRPr="00241B3B">
        <w:rPr>
          <w:lang w:val="en-AU"/>
        </w:rPr>
        <w:t>leading to</w:t>
      </w:r>
      <w:r w:rsidR="002B0987" w:rsidRPr="00241B3B">
        <w:rPr>
          <w:lang w:val="en-AU"/>
        </w:rPr>
        <w:t xml:space="preserve"> poor overall life outcomes</w:t>
      </w:r>
      <w:r w:rsidR="00F130AA" w:rsidRPr="00241B3B">
        <w:rPr>
          <w:lang w:val="en-AU"/>
        </w:rPr>
        <w:t>.</w:t>
      </w:r>
      <w:r w:rsidR="00B77923" w:rsidRPr="00241B3B">
        <w:rPr>
          <w:lang w:val="en-AU"/>
        </w:rPr>
        <w:t xml:space="preserve"> </w:t>
      </w:r>
    </w:p>
    <w:p w14:paraId="47F78476" w14:textId="7B25C7F8" w:rsidR="00B77923" w:rsidRPr="00241B3B" w:rsidRDefault="00B77923" w:rsidP="00241B3B">
      <w:pPr>
        <w:pStyle w:val="BodyText"/>
        <w:rPr>
          <w:lang w:val="en-AU"/>
        </w:rPr>
      </w:pPr>
      <w:r w:rsidRPr="00241B3B">
        <w:rPr>
          <w:lang w:val="en-AU"/>
        </w:rPr>
        <w:t xml:space="preserve">According to Australian researchers, empirical evidence </w:t>
      </w:r>
      <w:r w:rsidR="00F130AA" w:rsidRPr="00241B3B">
        <w:rPr>
          <w:lang w:val="en-AU"/>
        </w:rPr>
        <w:t xml:space="preserve">shows </w:t>
      </w:r>
      <w:r w:rsidRPr="00241B3B">
        <w:rPr>
          <w:lang w:val="en-AU"/>
        </w:rPr>
        <w:t>that homelessness correlates</w:t>
      </w:r>
      <w:r w:rsidR="00BA20AA" w:rsidRPr="00241B3B">
        <w:rPr>
          <w:lang w:val="en-AU"/>
        </w:rPr>
        <w:t xml:space="preserve"> with poor life outcomes including</w:t>
      </w:r>
      <w:r w:rsidRPr="00241B3B">
        <w:rPr>
          <w:lang w:val="en-AU"/>
        </w:rPr>
        <w:t xml:space="preserve"> poor health, lower levels of employment, a greater likelihood of experiencing violence and lowered life expectancy.</w:t>
      </w:r>
      <w:r w:rsidRPr="00241B3B">
        <w:rPr>
          <w:rStyle w:val="FootnoteReference"/>
          <w:lang w:val="en-AU"/>
        </w:rPr>
        <w:footnoteReference w:id="6"/>
      </w:r>
    </w:p>
    <w:p w14:paraId="4053C82A" w14:textId="7F4D13C1" w:rsidR="0056597B" w:rsidRPr="00241B3B" w:rsidRDefault="000D27C9" w:rsidP="00241B3B">
      <w:pPr>
        <w:pStyle w:val="BodyText"/>
        <w:rPr>
          <w:lang w:val="en-AU"/>
        </w:rPr>
      </w:pPr>
      <w:r w:rsidRPr="00241B3B">
        <w:rPr>
          <w:lang w:val="en-AU"/>
        </w:rPr>
        <w:t xml:space="preserve">It is opportune timing for action in the NHHP to address </w:t>
      </w:r>
      <w:r w:rsidR="004F0D3E" w:rsidRPr="00241B3B">
        <w:rPr>
          <w:lang w:val="en-AU"/>
        </w:rPr>
        <w:t>barriers to housing access</w:t>
      </w:r>
      <w:r w:rsidR="005E11C4" w:rsidRPr="00241B3B">
        <w:rPr>
          <w:lang w:val="en-AU"/>
        </w:rPr>
        <w:t>,</w:t>
      </w:r>
      <w:r w:rsidR="004F0D3E" w:rsidRPr="00241B3B">
        <w:rPr>
          <w:lang w:val="en-AU"/>
        </w:rPr>
        <w:t xml:space="preserve"> </w:t>
      </w:r>
      <w:r w:rsidRPr="00241B3B">
        <w:rPr>
          <w:lang w:val="en-AU"/>
        </w:rPr>
        <w:t xml:space="preserve">and </w:t>
      </w:r>
      <w:r w:rsidR="00F130AA" w:rsidRPr="00241B3B">
        <w:rPr>
          <w:lang w:val="en-AU"/>
        </w:rPr>
        <w:t xml:space="preserve">to </w:t>
      </w:r>
      <w:r w:rsidR="005E11C4" w:rsidRPr="00241B3B">
        <w:rPr>
          <w:lang w:val="en-AU"/>
        </w:rPr>
        <w:t xml:space="preserve">address </w:t>
      </w:r>
      <w:r w:rsidRPr="00241B3B">
        <w:rPr>
          <w:lang w:val="en-AU"/>
        </w:rPr>
        <w:t>homelessness affecting people with disability in Australia. Recently, the</w:t>
      </w:r>
      <w:r w:rsidR="0056597B" w:rsidRPr="00241B3B">
        <w:rPr>
          <w:lang w:val="en-AU"/>
        </w:rPr>
        <w:t xml:space="preserve"> Housing </w:t>
      </w:r>
      <w:r w:rsidR="0056597B" w:rsidRPr="00241B3B">
        <w:rPr>
          <w:lang w:val="en-AU"/>
        </w:rPr>
        <w:lastRenderedPageBreak/>
        <w:t xml:space="preserve">Australia Future Fund </w:t>
      </w:r>
      <w:r w:rsidRPr="00241B3B">
        <w:rPr>
          <w:lang w:val="en-AU"/>
        </w:rPr>
        <w:t xml:space="preserve">was supported through the </w:t>
      </w:r>
      <w:r w:rsidR="0056597B" w:rsidRPr="00241B3B">
        <w:rPr>
          <w:lang w:val="en-AU"/>
        </w:rPr>
        <w:t xml:space="preserve">passing of the </w:t>
      </w:r>
      <w:hyperlink r:id="rId23" w:anchor=":~:text=1)%20Bill%202023%2C%20the%20bill,social%20housing%20or%20affordable%20housing" w:history="1">
        <w:r w:rsidR="0056597B" w:rsidRPr="00241B3B">
          <w:rPr>
            <w:rStyle w:val="Hyperlink"/>
            <w:rFonts w:asciiTheme="majorHAnsi" w:hAnsiTheme="majorHAnsi" w:cstheme="majorHAnsi"/>
            <w:lang w:val="en-AU" w:eastAsia="en-AU"/>
          </w:rPr>
          <w:t>Housing Australia Future Fund Bill 2023</w:t>
        </w:r>
      </w:hyperlink>
      <w:r w:rsidR="003E2756" w:rsidRPr="00241B3B">
        <w:rPr>
          <w:rStyle w:val="Hyperlink"/>
          <w:rFonts w:asciiTheme="majorHAnsi" w:hAnsiTheme="majorHAnsi" w:cstheme="majorHAnsi"/>
          <w:u w:val="none"/>
          <w:lang w:val="en-AU" w:eastAsia="en-AU"/>
        </w:rPr>
        <w:t>,</w:t>
      </w:r>
      <w:r w:rsidRPr="00241B3B">
        <w:rPr>
          <w:lang w:val="en-AU"/>
        </w:rPr>
        <w:t xml:space="preserve"> and </w:t>
      </w:r>
      <w:r w:rsidR="0056597B" w:rsidRPr="00241B3B">
        <w:rPr>
          <w:lang w:val="en-AU"/>
        </w:rPr>
        <w:t>an independent advisory body to Parliament</w:t>
      </w:r>
      <w:r w:rsidRPr="00241B3B">
        <w:rPr>
          <w:lang w:val="en-AU"/>
        </w:rPr>
        <w:t xml:space="preserve"> </w:t>
      </w:r>
      <w:r w:rsidR="0056597B" w:rsidRPr="00241B3B">
        <w:rPr>
          <w:lang w:val="en-AU"/>
        </w:rPr>
        <w:t xml:space="preserve">(the National Housing Supply and Affordability Council) </w:t>
      </w:r>
      <w:r w:rsidRPr="00241B3B">
        <w:rPr>
          <w:lang w:val="en-AU"/>
        </w:rPr>
        <w:t xml:space="preserve">was established </w:t>
      </w:r>
      <w:r w:rsidR="0056597B" w:rsidRPr="00241B3B">
        <w:rPr>
          <w:lang w:val="en-AU"/>
        </w:rPr>
        <w:t xml:space="preserve">through the </w:t>
      </w:r>
      <w:hyperlink r:id="rId24" w:anchor=":~:text=Introduced%20with%20the%20Housing%20Australia,to%20housing%20supply%20and%20affordability" w:history="1">
        <w:r w:rsidR="0056597B" w:rsidRPr="00241B3B">
          <w:rPr>
            <w:rStyle w:val="Hyperlink"/>
            <w:rFonts w:cstheme="minorHAnsi"/>
            <w:lang w:val="en-AU" w:eastAsia="en-AU"/>
          </w:rPr>
          <w:t>National Housing Supply and Affordability Council Bill 2023</w:t>
        </w:r>
      </w:hyperlink>
      <w:r w:rsidRPr="00241B3B">
        <w:rPr>
          <w:lang w:val="en-AU"/>
        </w:rPr>
        <w:t>.</w:t>
      </w:r>
    </w:p>
    <w:p w14:paraId="3CE9D070" w14:textId="70AE72C9" w:rsidR="00164A0B" w:rsidRPr="00241B3B" w:rsidRDefault="00A165B8" w:rsidP="00241B3B">
      <w:pPr>
        <w:pStyle w:val="BodyText"/>
        <w:rPr>
          <w:color w:val="0A0A0A"/>
          <w:shd w:val="clear" w:color="auto" w:fill="FFFFFF"/>
          <w:lang w:val="en-AU"/>
        </w:rPr>
      </w:pPr>
      <w:r w:rsidRPr="00241B3B">
        <w:rPr>
          <w:lang w:val="en-AU"/>
        </w:rPr>
        <w:t xml:space="preserve">Therefore, </w:t>
      </w:r>
      <w:r w:rsidR="00163143" w:rsidRPr="00241B3B">
        <w:rPr>
          <w:lang w:val="en-AU"/>
        </w:rPr>
        <w:t xml:space="preserve">in this submission, </w:t>
      </w:r>
      <w:r w:rsidR="00164A0B" w:rsidRPr="00241B3B">
        <w:rPr>
          <w:lang w:val="en-AU"/>
        </w:rPr>
        <w:t xml:space="preserve">PWDA proposes </w:t>
      </w:r>
      <w:r w:rsidR="002626F8" w:rsidRPr="00241B3B">
        <w:rPr>
          <w:lang w:val="en-AU"/>
        </w:rPr>
        <w:t xml:space="preserve">that </w:t>
      </w:r>
      <w:r w:rsidR="00164A0B" w:rsidRPr="00241B3B">
        <w:rPr>
          <w:lang w:val="en-AU"/>
        </w:rPr>
        <w:t>mechanisms</w:t>
      </w:r>
      <w:r w:rsidRPr="00241B3B">
        <w:rPr>
          <w:lang w:val="en-AU"/>
        </w:rPr>
        <w:t xml:space="preserve"> be</w:t>
      </w:r>
      <w:r w:rsidR="00164A0B" w:rsidRPr="00241B3B">
        <w:rPr>
          <w:lang w:val="en-AU"/>
        </w:rPr>
        <w:t xml:space="preserve"> embedded within the NHHP to drive necessary changes to address housing and homelessness for people with disability. </w:t>
      </w:r>
      <w:r w:rsidR="00CB23ED" w:rsidRPr="00241B3B">
        <w:rPr>
          <w:lang w:val="en-AU"/>
        </w:rPr>
        <w:t>The issues of undersupply,</w:t>
      </w:r>
      <w:r w:rsidR="00A30BF6" w:rsidRPr="00241B3B">
        <w:rPr>
          <w:lang w:val="en-AU"/>
        </w:rPr>
        <w:t xml:space="preserve"> lack of</w:t>
      </w:r>
      <w:r w:rsidR="00CB23ED" w:rsidRPr="00241B3B">
        <w:rPr>
          <w:lang w:val="en-AU"/>
        </w:rPr>
        <w:t xml:space="preserve"> affordability, and accessibility can be addressed </w:t>
      </w:r>
      <w:r w:rsidR="00164A0B" w:rsidRPr="00241B3B">
        <w:rPr>
          <w:color w:val="0A0A0A"/>
          <w:shd w:val="clear" w:color="auto" w:fill="FFFFFF"/>
          <w:lang w:val="en-AU"/>
        </w:rPr>
        <w:t>through a Targeted Housing Action Plan for People with Disability</w:t>
      </w:r>
      <w:r w:rsidR="00164A0B" w:rsidRPr="00241B3B">
        <w:rPr>
          <w:i/>
          <w:iCs/>
          <w:color w:val="0A0A0A"/>
          <w:shd w:val="clear" w:color="auto" w:fill="FFFFFF"/>
          <w:lang w:val="en-AU"/>
        </w:rPr>
        <w:t xml:space="preserve"> </w:t>
      </w:r>
      <w:r w:rsidR="00164A0B" w:rsidRPr="00241B3B">
        <w:rPr>
          <w:color w:val="0A0A0A"/>
          <w:shd w:val="clear" w:color="auto" w:fill="FFFFFF"/>
          <w:lang w:val="en-AU"/>
        </w:rPr>
        <w:t>under the NHHP. Within this Action Plan, a Congregate Housing Transition Plan</w:t>
      </w:r>
      <w:r w:rsidR="00164A0B" w:rsidRPr="00241B3B">
        <w:rPr>
          <w:i/>
          <w:iCs/>
          <w:color w:val="0A0A0A"/>
          <w:shd w:val="clear" w:color="auto" w:fill="FFFFFF"/>
          <w:lang w:val="en-AU"/>
        </w:rPr>
        <w:t xml:space="preserve"> </w:t>
      </w:r>
      <w:r w:rsidR="00164A0B" w:rsidRPr="00241B3B">
        <w:rPr>
          <w:color w:val="0A0A0A"/>
          <w:shd w:val="clear" w:color="auto" w:fill="FFFFFF"/>
          <w:lang w:val="en-AU"/>
        </w:rPr>
        <w:t xml:space="preserve">must </w:t>
      </w:r>
      <w:r w:rsidR="000D6DDD" w:rsidRPr="00241B3B">
        <w:rPr>
          <w:color w:val="0A0A0A"/>
          <w:shd w:val="clear" w:color="auto" w:fill="FFFFFF"/>
          <w:lang w:val="en-AU"/>
        </w:rPr>
        <w:t xml:space="preserve">also </w:t>
      </w:r>
      <w:r w:rsidR="00164A0B" w:rsidRPr="00241B3B">
        <w:rPr>
          <w:color w:val="0A0A0A"/>
          <w:shd w:val="clear" w:color="auto" w:fill="FFFFFF"/>
          <w:lang w:val="en-AU"/>
        </w:rPr>
        <w:t>exist, to support phasing out group homes and supporting people with disability to access individualised living options</w:t>
      </w:r>
      <w:r w:rsidR="000D6DDD" w:rsidRPr="00241B3B">
        <w:rPr>
          <w:color w:val="0A0A0A"/>
          <w:shd w:val="clear" w:color="auto" w:fill="FFFFFF"/>
          <w:lang w:val="en-AU"/>
        </w:rPr>
        <w:t xml:space="preserve"> in the community.</w:t>
      </w:r>
      <w:r w:rsidR="00CB23ED" w:rsidRPr="00241B3B">
        <w:rPr>
          <w:color w:val="0A0A0A"/>
          <w:shd w:val="clear" w:color="auto" w:fill="FFFFFF"/>
          <w:lang w:val="en-AU"/>
        </w:rPr>
        <w:t xml:space="preserve"> </w:t>
      </w:r>
    </w:p>
    <w:p w14:paraId="4DE3CC57" w14:textId="548E22EA" w:rsidR="008E7351" w:rsidRPr="00241B3B" w:rsidRDefault="00CB23ED" w:rsidP="00241B3B">
      <w:pPr>
        <w:pStyle w:val="BodyText"/>
        <w:rPr>
          <w:rStyle w:val="Hyperlink"/>
          <w:color w:val="auto"/>
          <w:u w:val="none"/>
          <w:lang w:val="en-AU"/>
        </w:rPr>
      </w:pPr>
      <w:r w:rsidRPr="00241B3B">
        <w:rPr>
          <w:color w:val="0A0A0A"/>
          <w:shd w:val="clear" w:color="auto" w:fill="FFFFFF"/>
          <w:lang w:val="en-AU"/>
        </w:rPr>
        <w:t>This submission explores how both plans can be successfully implemented</w:t>
      </w:r>
      <w:r w:rsidR="00164A0B" w:rsidRPr="00241B3B">
        <w:rPr>
          <w:color w:val="0A0A0A"/>
          <w:shd w:val="clear" w:color="auto" w:fill="FFFFFF"/>
          <w:lang w:val="en-AU"/>
        </w:rPr>
        <w:t xml:space="preserve"> with governance and oversight mechanisms delivered through the NHHP,</w:t>
      </w:r>
      <w:r w:rsidRPr="00241B3B">
        <w:rPr>
          <w:color w:val="0A0A0A"/>
          <w:shd w:val="clear" w:color="auto" w:fill="FFFFFF"/>
          <w:lang w:val="en-AU"/>
        </w:rPr>
        <w:t xml:space="preserve"> to improve housing and homelessness outcomes for people with </w:t>
      </w:r>
      <w:r w:rsidR="00164A0B" w:rsidRPr="00241B3B">
        <w:rPr>
          <w:color w:val="0A0A0A"/>
          <w:shd w:val="clear" w:color="auto" w:fill="FFFFFF"/>
          <w:lang w:val="en-AU"/>
        </w:rPr>
        <w:t>d</w:t>
      </w:r>
      <w:r w:rsidRPr="00241B3B">
        <w:rPr>
          <w:color w:val="0A0A0A"/>
          <w:shd w:val="clear" w:color="auto" w:fill="FFFFFF"/>
          <w:lang w:val="en-AU"/>
        </w:rPr>
        <w:t>isability.</w:t>
      </w:r>
    </w:p>
    <w:p w14:paraId="63393621" w14:textId="3E7B263D" w:rsidR="005A0820" w:rsidRPr="00241B3B" w:rsidRDefault="00DD0634" w:rsidP="003E668A">
      <w:pPr>
        <w:pStyle w:val="Heading3"/>
        <w:spacing w:after="0" w:line="240" w:lineRule="auto"/>
        <w:rPr>
          <w:rStyle w:val="Hyperlink"/>
          <w:rFonts w:asciiTheme="minorHAnsi" w:eastAsiaTheme="minorHAnsi" w:hAnsiTheme="minorHAnsi" w:cstheme="minorBidi"/>
          <w:b w:val="0"/>
          <w:color w:val="00884F"/>
          <w:sz w:val="24"/>
          <w:szCs w:val="24"/>
          <w:u w:val="none"/>
        </w:rPr>
      </w:pPr>
      <w:bookmarkStart w:id="119" w:name="_Toc147911760"/>
      <w:bookmarkStart w:id="120" w:name="_Toc148013341"/>
      <w:bookmarkStart w:id="121" w:name="_Toc148957823"/>
      <w:r w:rsidRPr="00241B3B">
        <w:rPr>
          <w:rStyle w:val="Hyperlink"/>
          <w:color w:val="00884F"/>
          <w:u w:val="none"/>
        </w:rPr>
        <w:t xml:space="preserve">The impact of the </w:t>
      </w:r>
      <w:r w:rsidRPr="00241B3B">
        <w:t>Royal Commission into Violence, Abuse, Neglect and Exploitation of People with Disability</w:t>
      </w:r>
      <w:bookmarkEnd w:id="119"/>
      <w:bookmarkEnd w:id="120"/>
      <w:bookmarkEnd w:id="121"/>
    </w:p>
    <w:p w14:paraId="7DAF067B" w14:textId="0D9EE07D" w:rsidR="000D6DDD" w:rsidRPr="00241B3B" w:rsidRDefault="00592D02" w:rsidP="00241B3B">
      <w:pPr>
        <w:pStyle w:val="BodyText"/>
        <w:rPr>
          <w:lang w:val="en-AU"/>
        </w:rPr>
      </w:pPr>
      <w:r w:rsidRPr="00241B3B">
        <w:rPr>
          <w:rStyle w:val="Hyperlink"/>
          <w:color w:val="auto"/>
          <w:u w:val="none"/>
          <w:lang w:val="en-AU"/>
        </w:rPr>
        <w:t>L</w:t>
      </w:r>
      <w:r w:rsidR="00EE186C" w:rsidRPr="00241B3B">
        <w:rPr>
          <w:rStyle w:val="Hyperlink"/>
          <w:color w:val="auto"/>
          <w:u w:val="none"/>
          <w:lang w:val="en-AU"/>
        </w:rPr>
        <w:t>ast month’s release</w:t>
      </w:r>
      <w:r w:rsidR="00F26263" w:rsidRPr="00241B3B">
        <w:rPr>
          <w:rStyle w:val="Hyperlink"/>
          <w:color w:val="auto"/>
          <w:u w:val="none"/>
          <w:lang w:val="en-AU"/>
        </w:rPr>
        <w:t xml:space="preserve"> of the </w:t>
      </w:r>
      <w:hyperlink r:id="rId25" w:history="1">
        <w:r w:rsidR="006F13D6" w:rsidRPr="00241B3B">
          <w:rPr>
            <w:rStyle w:val="Hyperlink"/>
            <w:lang w:val="en-AU"/>
          </w:rPr>
          <w:t>Final Report and recommendations</w:t>
        </w:r>
      </w:hyperlink>
      <w:r w:rsidR="006F13D6" w:rsidRPr="00241B3B">
        <w:rPr>
          <w:rStyle w:val="Hyperlink"/>
          <w:color w:val="auto"/>
          <w:u w:val="none"/>
          <w:lang w:val="en-AU"/>
        </w:rPr>
        <w:t xml:space="preserve"> </w:t>
      </w:r>
      <w:r w:rsidR="00F26263" w:rsidRPr="00241B3B">
        <w:rPr>
          <w:rStyle w:val="Hyperlink"/>
          <w:color w:val="auto"/>
          <w:u w:val="none"/>
          <w:lang w:val="en-AU"/>
        </w:rPr>
        <w:t>from the</w:t>
      </w:r>
      <w:r w:rsidR="00F26263" w:rsidRPr="00241B3B">
        <w:rPr>
          <w:lang w:val="en-AU"/>
        </w:rPr>
        <w:t xml:space="preserve"> Disability Royal Commission </w:t>
      </w:r>
      <w:r w:rsidRPr="00241B3B">
        <w:rPr>
          <w:lang w:val="en-AU"/>
        </w:rPr>
        <w:t xml:space="preserve">provided </w:t>
      </w:r>
      <w:r w:rsidR="00672417" w:rsidRPr="00241B3B">
        <w:rPr>
          <w:lang w:val="en-AU"/>
        </w:rPr>
        <w:t>very clear</w:t>
      </w:r>
      <w:r w:rsidRPr="00241B3B">
        <w:rPr>
          <w:lang w:val="en-AU"/>
        </w:rPr>
        <w:t xml:space="preserve"> evidence</w:t>
      </w:r>
      <w:r w:rsidR="00F26263" w:rsidRPr="00241B3B">
        <w:rPr>
          <w:lang w:val="en-AU"/>
        </w:rPr>
        <w:t xml:space="preserve"> that </w:t>
      </w:r>
      <w:r w:rsidR="003E668A" w:rsidRPr="00241B3B">
        <w:rPr>
          <w:lang w:val="en-AU"/>
        </w:rPr>
        <w:t xml:space="preserve">targeted action on housing for people with disability </w:t>
      </w:r>
      <w:r w:rsidR="00F26263" w:rsidRPr="00241B3B">
        <w:rPr>
          <w:lang w:val="en-AU"/>
        </w:rPr>
        <w:t>is needed</w:t>
      </w:r>
      <w:r w:rsidR="00AA6F97" w:rsidRPr="00241B3B">
        <w:rPr>
          <w:lang w:val="en-AU"/>
        </w:rPr>
        <w:t xml:space="preserve">. </w:t>
      </w:r>
    </w:p>
    <w:p w14:paraId="5863FF34" w14:textId="2E4F47B3" w:rsidR="00F26263" w:rsidRPr="00241B3B" w:rsidRDefault="00AA6F97" w:rsidP="00241B3B">
      <w:pPr>
        <w:pStyle w:val="BodyText"/>
        <w:rPr>
          <w:lang w:val="en-AU"/>
        </w:rPr>
      </w:pPr>
      <w:r w:rsidRPr="00241B3B">
        <w:rPr>
          <w:lang w:val="en-AU"/>
        </w:rPr>
        <w:t xml:space="preserve">The </w:t>
      </w:r>
      <w:r w:rsidR="000D6DDD" w:rsidRPr="00241B3B">
        <w:rPr>
          <w:lang w:val="en-AU"/>
        </w:rPr>
        <w:t xml:space="preserve">Royal </w:t>
      </w:r>
      <w:r w:rsidRPr="00241B3B">
        <w:rPr>
          <w:lang w:val="en-AU"/>
        </w:rPr>
        <w:t>Commission heard</w:t>
      </w:r>
      <w:r w:rsidR="00F26263" w:rsidRPr="00241B3B">
        <w:rPr>
          <w:lang w:val="en-AU"/>
        </w:rPr>
        <w:t xml:space="preserve"> </w:t>
      </w:r>
      <w:r w:rsidRPr="00241B3B">
        <w:rPr>
          <w:lang w:val="en-AU"/>
        </w:rPr>
        <w:t>disturbing</w:t>
      </w:r>
      <w:r w:rsidR="00F26263" w:rsidRPr="00241B3B">
        <w:rPr>
          <w:lang w:val="en-AU"/>
        </w:rPr>
        <w:t xml:space="preserve"> evidence on the correlation between living in </w:t>
      </w:r>
      <w:r w:rsidR="00836592" w:rsidRPr="00241B3B">
        <w:rPr>
          <w:lang w:val="en-AU"/>
        </w:rPr>
        <w:t>congregate</w:t>
      </w:r>
      <w:r w:rsidR="00F26263" w:rsidRPr="00241B3B">
        <w:rPr>
          <w:lang w:val="en-AU"/>
        </w:rPr>
        <w:t xml:space="preserve"> settings including group homes, and</w:t>
      </w:r>
      <w:r w:rsidR="00331B72" w:rsidRPr="00241B3B">
        <w:rPr>
          <w:lang w:val="en-AU"/>
        </w:rPr>
        <w:t xml:space="preserve"> </w:t>
      </w:r>
      <w:r w:rsidR="009A7273" w:rsidRPr="00241B3B">
        <w:rPr>
          <w:lang w:val="en-AU"/>
        </w:rPr>
        <w:t xml:space="preserve">the </w:t>
      </w:r>
      <w:r w:rsidR="00F26263" w:rsidRPr="00241B3B">
        <w:rPr>
          <w:lang w:val="en-AU"/>
        </w:rPr>
        <w:t>increased incidences of violence, abuse, neglect and exploitation towards people with disability</w:t>
      </w:r>
      <w:r w:rsidR="00EE186C" w:rsidRPr="00241B3B">
        <w:rPr>
          <w:lang w:val="en-AU"/>
        </w:rPr>
        <w:t>:</w:t>
      </w:r>
    </w:p>
    <w:p w14:paraId="14ADED81" w14:textId="12B347D0" w:rsidR="005A0820" w:rsidRPr="00241B3B" w:rsidRDefault="005E11C4" w:rsidP="003E668A">
      <w:pPr>
        <w:pStyle w:val="Quote"/>
        <w:spacing w:line="288" w:lineRule="auto"/>
        <w:jc w:val="left"/>
      </w:pPr>
      <w:r w:rsidRPr="00241B3B">
        <w:t>‘</w:t>
      </w:r>
      <w:r w:rsidR="005A0820" w:rsidRPr="00241B3B">
        <w:t>Many of the responses we received detailed incidents of violence, abuse, neglect and exploitation of people with disability in group home settings. These included physical assault, sexual assault and verbal abuse allegedly perpetrated by a range of people including staff, volunteers, community members and other residents in group homes</w:t>
      </w:r>
      <w:r w:rsidRPr="00241B3B">
        <w:t>’</w:t>
      </w:r>
      <w:r w:rsidR="005A0820" w:rsidRPr="00241B3B">
        <w:rPr>
          <w:rStyle w:val="FootnoteReference"/>
        </w:rPr>
        <w:footnoteReference w:id="7"/>
      </w:r>
    </w:p>
    <w:p w14:paraId="5CC4B4DB" w14:textId="3407A027" w:rsidR="00190AB7" w:rsidRPr="00241B3B" w:rsidRDefault="00C8309A" w:rsidP="00241B3B">
      <w:pPr>
        <w:pStyle w:val="BodyText"/>
        <w:rPr>
          <w:rStyle w:val="Hyperlink"/>
          <w:color w:val="auto"/>
          <w:u w:val="none"/>
          <w:lang w:val="en-AU"/>
        </w:rPr>
      </w:pPr>
      <w:r w:rsidRPr="00241B3B">
        <w:rPr>
          <w:rStyle w:val="Hyperlink"/>
          <w:color w:val="auto"/>
          <w:u w:val="none"/>
          <w:lang w:val="en-AU"/>
        </w:rPr>
        <w:t xml:space="preserve">In this submission, PWDA calls </w:t>
      </w:r>
      <w:r w:rsidR="00C3560C" w:rsidRPr="00241B3B">
        <w:rPr>
          <w:rStyle w:val="Hyperlink"/>
          <w:color w:val="auto"/>
          <w:u w:val="none"/>
          <w:lang w:val="en-AU"/>
        </w:rPr>
        <w:t xml:space="preserve">for the </w:t>
      </w:r>
      <w:r w:rsidRPr="00241B3B">
        <w:rPr>
          <w:shd w:val="clear" w:color="auto" w:fill="FFFFFF"/>
          <w:lang w:val="en-AU"/>
        </w:rPr>
        <w:t>implement</w:t>
      </w:r>
      <w:r w:rsidR="00C3560C" w:rsidRPr="00241B3B">
        <w:rPr>
          <w:shd w:val="clear" w:color="auto" w:fill="FFFFFF"/>
          <w:lang w:val="en-AU"/>
        </w:rPr>
        <w:t>ation of</w:t>
      </w:r>
      <w:r w:rsidRPr="00241B3B">
        <w:rPr>
          <w:shd w:val="clear" w:color="auto" w:fill="FFFFFF"/>
          <w:lang w:val="en-AU"/>
        </w:rPr>
        <w:t xml:space="preserve"> a </w:t>
      </w:r>
      <w:r w:rsidR="00806CE5" w:rsidRPr="00241B3B">
        <w:rPr>
          <w:shd w:val="clear" w:color="auto" w:fill="FFFFFF"/>
          <w:lang w:val="en-AU"/>
        </w:rPr>
        <w:t>Targeted Housing Action Plan for People with Disability</w:t>
      </w:r>
      <w:r w:rsidR="00806CE5" w:rsidRPr="00241B3B">
        <w:rPr>
          <w:i/>
          <w:iCs/>
          <w:shd w:val="clear" w:color="auto" w:fill="FFFFFF"/>
          <w:lang w:val="en-AU"/>
        </w:rPr>
        <w:t xml:space="preserve"> </w:t>
      </w:r>
      <w:r w:rsidRPr="00241B3B">
        <w:rPr>
          <w:shd w:val="clear" w:color="auto" w:fill="FFFFFF"/>
          <w:lang w:val="en-AU"/>
        </w:rPr>
        <w:t>to address the supply, affordability and accessibility barriers that people with disability face in achieving housing outcomes</w:t>
      </w:r>
      <w:r w:rsidR="003704C6" w:rsidRPr="00241B3B">
        <w:rPr>
          <w:shd w:val="clear" w:color="auto" w:fill="FFFFFF"/>
          <w:lang w:val="en-AU"/>
        </w:rPr>
        <w:t xml:space="preserve">. Additionally, a </w:t>
      </w:r>
      <w:r w:rsidR="00806CE5" w:rsidRPr="00241B3B">
        <w:rPr>
          <w:shd w:val="clear" w:color="auto" w:fill="FFFFFF"/>
          <w:lang w:val="en-AU"/>
        </w:rPr>
        <w:t>Congregate Housing Transition Plan will sit</w:t>
      </w:r>
      <w:r w:rsidR="003704C6" w:rsidRPr="00241B3B">
        <w:rPr>
          <w:shd w:val="clear" w:color="auto" w:fill="FFFFFF"/>
          <w:lang w:val="en-AU"/>
        </w:rPr>
        <w:t xml:space="preserve"> under the</w:t>
      </w:r>
      <w:r w:rsidR="00201E43" w:rsidRPr="00241B3B">
        <w:rPr>
          <w:shd w:val="clear" w:color="auto" w:fill="FFFFFF"/>
          <w:lang w:val="en-AU"/>
        </w:rPr>
        <w:t xml:space="preserve"> Targeted Housing</w:t>
      </w:r>
      <w:r w:rsidR="003704C6" w:rsidRPr="00241B3B">
        <w:rPr>
          <w:shd w:val="clear" w:color="auto" w:fill="FFFFFF"/>
          <w:lang w:val="en-AU"/>
        </w:rPr>
        <w:t xml:space="preserve"> Action Plan</w:t>
      </w:r>
      <w:r w:rsidR="00806CE5" w:rsidRPr="00241B3B">
        <w:rPr>
          <w:shd w:val="clear" w:color="auto" w:fill="FFFFFF"/>
          <w:lang w:val="en-AU"/>
        </w:rPr>
        <w:t xml:space="preserve">. </w:t>
      </w:r>
      <w:r w:rsidR="009F1C3C" w:rsidRPr="00241B3B">
        <w:rPr>
          <w:shd w:val="clear" w:color="auto" w:fill="FFFFFF"/>
          <w:lang w:val="en-AU"/>
        </w:rPr>
        <w:t xml:space="preserve">This is consistent </w:t>
      </w:r>
      <w:r w:rsidR="009F1C3C" w:rsidRPr="00241B3B">
        <w:rPr>
          <w:shd w:val="clear" w:color="auto" w:fill="FFFFFF"/>
          <w:lang w:val="en-AU"/>
        </w:rPr>
        <w:lastRenderedPageBreak/>
        <w:t>with the recommendations emerging from the Final Report o</w:t>
      </w:r>
      <w:r w:rsidR="00BD3FFC" w:rsidRPr="00241B3B">
        <w:rPr>
          <w:shd w:val="clear" w:color="auto" w:fill="FFFFFF"/>
          <w:lang w:val="en-AU"/>
        </w:rPr>
        <w:t>f</w:t>
      </w:r>
      <w:r w:rsidR="009F1C3C" w:rsidRPr="00241B3B">
        <w:rPr>
          <w:shd w:val="clear" w:color="auto" w:fill="FFFFFF"/>
          <w:lang w:val="en-AU"/>
        </w:rPr>
        <w:t xml:space="preserve"> the Disability Royal Commission.</w:t>
      </w:r>
    </w:p>
    <w:p w14:paraId="4889CBA7" w14:textId="195DED0B" w:rsidR="00C8309A" w:rsidRPr="00241B3B" w:rsidRDefault="00213D80" w:rsidP="00241B3B">
      <w:pPr>
        <w:pStyle w:val="BodyText"/>
        <w:rPr>
          <w:rStyle w:val="Hyperlink"/>
          <w:color w:val="auto"/>
          <w:u w:val="none"/>
          <w:lang w:val="en-AU"/>
        </w:rPr>
      </w:pPr>
      <w:r w:rsidRPr="00241B3B">
        <w:rPr>
          <w:rStyle w:val="Hyperlink"/>
          <w:color w:val="auto"/>
          <w:u w:val="none"/>
          <w:lang w:val="en-AU"/>
        </w:rPr>
        <w:t xml:space="preserve">Notably, the following </w:t>
      </w:r>
      <w:r w:rsidR="00201E43" w:rsidRPr="00241B3B">
        <w:rPr>
          <w:rStyle w:val="Hyperlink"/>
          <w:color w:val="auto"/>
          <w:u w:val="none"/>
          <w:lang w:val="en-AU"/>
        </w:rPr>
        <w:t>recommendations</w:t>
      </w:r>
      <w:r w:rsidRPr="00241B3B">
        <w:rPr>
          <w:rStyle w:val="Hyperlink"/>
          <w:color w:val="auto"/>
          <w:u w:val="none"/>
          <w:lang w:val="en-AU"/>
        </w:rPr>
        <w:t xml:space="preserve"> be addres</w:t>
      </w:r>
      <w:r w:rsidR="00156928" w:rsidRPr="00241B3B">
        <w:rPr>
          <w:rStyle w:val="Hyperlink"/>
          <w:color w:val="auto"/>
          <w:u w:val="none"/>
          <w:lang w:val="en-AU"/>
        </w:rPr>
        <w:t>sed</w:t>
      </w:r>
      <w:r w:rsidRPr="00241B3B">
        <w:rPr>
          <w:rStyle w:val="Hyperlink"/>
          <w:color w:val="auto"/>
          <w:u w:val="none"/>
          <w:lang w:val="en-AU"/>
        </w:rPr>
        <w:t xml:space="preserve"> through these </w:t>
      </w:r>
      <w:r w:rsidR="00246DC0" w:rsidRPr="00241B3B">
        <w:rPr>
          <w:rStyle w:val="Hyperlink"/>
          <w:color w:val="auto"/>
          <w:u w:val="none"/>
          <w:lang w:val="en-AU"/>
        </w:rPr>
        <w:t xml:space="preserve">housing </w:t>
      </w:r>
      <w:r w:rsidRPr="00241B3B">
        <w:rPr>
          <w:rStyle w:val="Hyperlink"/>
          <w:color w:val="auto"/>
          <w:u w:val="none"/>
          <w:lang w:val="en-AU"/>
        </w:rPr>
        <w:t>plans:</w:t>
      </w:r>
    </w:p>
    <w:p w14:paraId="3E5C62FD" w14:textId="3DEC1B24" w:rsidR="00243DFA" w:rsidRPr="00241B3B" w:rsidRDefault="00243DFA" w:rsidP="00241B3B">
      <w:pPr>
        <w:pStyle w:val="BodyText"/>
        <w:numPr>
          <w:ilvl w:val="0"/>
          <w:numId w:val="41"/>
        </w:numPr>
        <w:rPr>
          <w:rStyle w:val="Hyperlink"/>
          <w:color w:val="0A0A0A"/>
          <w:u w:val="none"/>
          <w:shd w:val="clear" w:color="auto" w:fill="FFFFFF"/>
          <w:lang w:val="en-AU"/>
        </w:rPr>
      </w:pPr>
      <w:r w:rsidRPr="00241B3B">
        <w:rPr>
          <w:rStyle w:val="Hyperlink"/>
          <w:color w:val="0A0A0A"/>
          <w:u w:val="none"/>
          <w:shd w:val="clear" w:color="auto" w:fill="FFFFFF"/>
          <w:lang w:val="en-AU"/>
        </w:rPr>
        <w:t xml:space="preserve">Recommendation 7.41 </w:t>
      </w:r>
      <w:r w:rsidR="000E5E46">
        <w:rPr>
          <w:rStyle w:val="Hyperlink"/>
          <w:color w:val="0A0A0A"/>
          <w:u w:val="none"/>
          <w:shd w:val="clear" w:color="auto" w:fill="FFFFFF"/>
          <w:lang w:val="en-AU"/>
        </w:rPr>
        <w:t>‘</w:t>
      </w:r>
      <w:r w:rsidRPr="00241B3B">
        <w:rPr>
          <w:rStyle w:val="Hyperlink"/>
          <w:color w:val="0A0A0A"/>
          <w:u w:val="none"/>
          <w:shd w:val="clear" w:color="auto" w:fill="FFFFFF"/>
          <w:lang w:val="en-AU"/>
        </w:rPr>
        <w:t>Group home reform</w:t>
      </w:r>
      <w:r w:rsidR="000E5E46">
        <w:rPr>
          <w:rStyle w:val="Hyperlink"/>
          <w:color w:val="0A0A0A"/>
          <w:u w:val="none"/>
          <w:shd w:val="clear" w:color="auto" w:fill="FFFFFF"/>
          <w:lang w:val="en-AU"/>
        </w:rPr>
        <w:t>’</w:t>
      </w:r>
    </w:p>
    <w:p w14:paraId="794E4B77" w14:textId="2E75B1DC" w:rsidR="00243DFA" w:rsidRPr="00241B3B" w:rsidRDefault="00243DFA" w:rsidP="00241B3B">
      <w:pPr>
        <w:pStyle w:val="BodyText"/>
        <w:numPr>
          <w:ilvl w:val="0"/>
          <w:numId w:val="41"/>
        </w:numPr>
        <w:rPr>
          <w:rStyle w:val="Hyperlink"/>
          <w:color w:val="0A0A0A"/>
          <w:u w:val="none"/>
          <w:shd w:val="clear" w:color="auto" w:fill="FFFFFF"/>
          <w:lang w:val="en-AU"/>
        </w:rPr>
      </w:pPr>
      <w:r w:rsidRPr="00241B3B">
        <w:rPr>
          <w:rStyle w:val="Hyperlink"/>
          <w:color w:val="0A0A0A"/>
          <w:u w:val="none"/>
          <w:shd w:val="clear" w:color="auto" w:fill="FFFFFF"/>
          <w:lang w:val="en-AU"/>
        </w:rPr>
        <w:t xml:space="preserve">Recommendation 7.42 </w:t>
      </w:r>
      <w:r w:rsidR="000E5E46">
        <w:rPr>
          <w:rStyle w:val="Hyperlink"/>
          <w:color w:val="0A0A0A"/>
          <w:u w:val="none"/>
          <w:shd w:val="clear" w:color="auto" w:fill="FFFFFF"/>
          <w:lang w:val="en-AU"/>
        </w:rPr>
        <w:t>‘</w:t>
      </w:r>
      <w:r w:rsidRPr="00241B3B">
        <w:rPr>
          <w:rStyle w:val="Hyperlink"/>
          <w:color w:val="0A0A0A"/>
          <w:u w:val="none"/>
          <w:shd w:val="clear" w:color="auto" w:fill="FFFFFF"/>
          <w:lang w:val="en-AU"/>
        </w:rPr>
        <w:t xml:space="preserve">Improve access to alternative housing </w:t>
      </w:r>
      <w:proofErr w:type="gramStart"/>
      <w:r w:rsidR="002F6846" w:rsidRPr="00241B3B">
        <w:rPr>
          <w:rStyle w:val="Hyperlink"/>
          <w:color w:val="0A0A0A"/>
          <w:u w:val="none"/>
          <w:shd w:val="clear" w:color="auto" w:fill="FFFFFF"/>
          <w:lang w:val="en-AU"/>
        </w:rPr>
        <w:t>options</w:t>
      </w:r>
      <w:r w:rsidR="000E5E46">
        <w:rPr>
          <w:rStyle w:val="Hyperlink"/>
          <w:color w:val="0A0A0A"/>
          <w:u w:val="none"/>
          <w:shd w:val="clear" w:color="auto" w:fill="FFFFFF"/>
          <w:lang w:val="en-AU"/>
        </w:rPr>
        <w:t>’</w:t>
      </w:r>
      <w:proofErr w:type="gramEnd"/>
    </w:p>
    <w:p w14:paraId="78A4A252" w14:textId="30615F73" w:rsidR="000D6DDD" w:rsidRPr="00241B3B" w:rsidRDefault="00243DFA" w:rsidP="00241B3B">
      <w:pPr>
        <w:pStyle w:val="BodyText"/>
        <w:numPr>
          <w:ilvl w:val="0"/>
          <w:numId w:val="41"/>
        </w:numPr>
        <w:rPr>
          <w:rStyle w:val="Hyperlink"/>
          <w:color w:val="0A0A0A"/>
          <w:u w:val="none"/>
          <w:shd w:val="clear" w:color="auto" w:fill="FFFFFF"/>
          <w:lang w:val="en-AU"/>
        </w:rPr>
      </w:pPr>
      <w:r w:rsidRPr="00241B3B">
        <w:rPr>
          <w:rStyle w:val="Hyperlink"/>
          <w:color w:val="0A0A0A"/>
          <w:u w:val="none"/>
          <w:shd w:val="clear" w:color="auto" w:fill="FFFFFF"/>
          <w:lang w:val="en-AU"/>
        </w:rPr>
        <w:t xml:space="preserve">Recommendation 7.43 </w:t>
      </w:r>
      <w:r w:rsidR="000E5E46">
        <w:rPr>
          <w:rStyle w:val="Hyperlink"/>
          <w:color w:val="0A0A0A"/>
          <w:u w:val="none"/>
          <w:shd w:val="clear" w:color="auto" w:fill="FFFFFF"/>
          <w:lang w:val="en-AU"/>
        </w:rPr>
        <w:t>‘</w:t>
      </w:r>
      <w:r w:rsidRPr="00241B3B">
        <w:rPr>
          <w:rStyle w:val="Hyperlink"/>
          <w:color w:val="0A0A0A"/>
          <w:u w:val="none"/>
          <w:shd w:val="clear" w:color="auto" w:fill="FFFFFF"/>
          <w:lang w:val="en-AU"/>
        </w:rPr>
        <w:t>A roadmap to phase out group homes within 15 years</w:t>
      </w:r>
      <w:r w:rsidR="000E5E46">
        <w:rPr>
          <w:rStyle w:val="Hyperlink"/>
          <w:color w:val="0A0A0A"/>
          <w:u w:val="none"/>
          <w:shd w:val="clear" w:color="auto" w:fill="FFFFFF"/>
          <w:lang w:val="en-AU"/>
        </w:rPr>
        <w:t>’</w:t>
      </w:r>
      <w:r w:rsidR="000E259B" w:rsidRPr="00241B3B">
        <w:rPr>
          <w:rStyle w:val="Hyperlink"/>
          <w:color w:val="0A0A0A"/>
          <w:u w:val="none"/>
          <w:shd w:val="clear" w:color="auto" w:fill="FFFFFF"/>
          <w:lang w:val="en-AU"/>
        </w:rPr>
        <w:t xml:space="preserve">, particularly addressing housing </w:t>
      </w:r>
      <w:r w:rsidR="008C7E9B" w:rsidRPr="00241B3B">
        <w:rPr>
          <w:rStyle w:val="Hyperlink"/>
          <w:color w:val="0A0A0A"/>
          <w:u w:val="none"/>
          <w:shd w:val="clear" w:color="auto" w:fill="FFFFFF"/>
          <w:lang w:val="en-AU"/>
        </w:rPr>
        <w:t>under</w:t>
      </w:r>
      <w:r w:rsidR="000E259B" w:rsidRPr="00241B3B">
        <w:rPr>
          <w:rStyle w:val="Hyperlink"/>
          <w:color w:val="0A0A0A"/>
          <w:u w:val="none"/>
          <w:shd w:val="clear" w:color="auto" w:fill="FFFFFF"/>
          <w:lang w:val="en-AU"/>
        </w:rPr>
        <w:t xml:space="preserve">supply through </w:t>
      </w:r>
      <w:r w:rsidR="00246DC0" w:rsidRPr="00241B3B">
        <w:rPr>
          <w:rStyle w:val="Hyperlink"/>
          <w:color w:val="0A0A0A"/>
          <w:u w:val="none"/>
          <w:shd w:val="clear" w:color="auto" w:fill="FFFFFF"/>
          <w:lang w:val="en-AU"/>
        </w:rPr>
        <w:t>‘</w:t>
      </w:r>
      <w:r w:rsidR="000E259B" w:rsidRPr="00241B3B">
        <w:rPr>
          <w:rStyle w:val="Hyperlink"/>
          <w:color w:val="0A0A0A"/>
          <w:u w:val="none"/>
          <w:shd w:val="clear" w:color="auto" w:fill="FFFFFF"/>
          <w:lang w:val="en-AU"/>
        </w:rPr>
        <w:t xml:space="preserve">assessing projected supply of alternative housing to inform planning for the transition of people out of group homes, including conducting a </w:t>
      </w:r>
      <w:r w:rsidR="000A7186" w:rsidRPr="00241B3B">
        <w:rPr>
          <w:rStyle w:val="Hyperlink"/>
          <w:color w:val="0A0A0A"/>
          <w:u w:val="none"/>
          <w:shd w:val="clear" w:color="auto" w:fill="FFFFFF"/>
          <w:lang w:val="en-AU"/>
        </w:rPr>
        <w:t>stock take</w:t>
      </w:r>
      <w:r w:rsidR="000E259B" w:rsidRPr="00241B3B">
        <w:rPr>
          <w:rStyle w:val="Hyperlink"/>
          <w:color w:val="0A0A0A"/>
          <w:u w:val="none"/>
          <w:shd w:val="clear" w:color="auto" w:fill="FFFFFF"/>
          <w:lang w:val="en-AU"/>
        </w:rPr>
        <w:t xml:space="preserve"> of existing disability housing assets that may be repurposed or used to increase the supply of inclusive housing.</w:t>
      </w:r>
      <w:r w:rsidR="00246DC0" w:rsidRPr="00241B3B">
        <w:rPr>
          <w:rStyle w:val="Hyperlink"/>
          <w:color w:val="0A0A0A"/>
          <w:u w:val="none"/>
          <w:shd w:val="clear" w:color="auto" w:fill="FFFFFF"/>
          <w:lang w:val="en-AU"/>
        </w:rPr>
        <w:t>’</w:t>
      </w:r>
    </w:p>
    <w:p w14:paraId="148313C3" w14:textId="17276CC9" w:rsidR="000D6DDD" w:rsidRPr="00241B3B" w:rsidRDefault="000D6DDD" w:rsidP="00241B3B">
      <w:pPr>
        <w:pStyle w:val="BodyText"/>
        <w:rPr>
          <w:rStyle w:val="Hyperlink"/>
          <w:color w:val="0A0A0A"/>
          <w:u w:val="none"/>
          <w:shd w:val="clear" w:color="auto" w:fill="FFFFFF"/>
          <w:lang w:val="en-AU"/>
        </w:rPr>
      </w:pPr>
      <w:r w:rsidRPr="00241B3B">
        <w:rPr>
          <w:rStyle w:val="Hyperlink"/>
          <w:color w:val="0A0A0A"/>
          <w:u w:val="none"/>
          <w:shd w:val="clear" w:color="auto" w:fill="FFFFFF"/>
          <w:lang w:val="en-AU"/>
        </w:rPr>
        <w:t>These recommendations are consistent with PWDA’s long-standing positions, including our position that enabling segregation in housing is a breach of fundamental human rights</w:t>
      </w:r>
      <w:r w:rsidR="002F6846" w:rsidRPr="00241B3B">
        <w:rPr>
          <w:rStyle w:val="Hyperlink"/>
          <w:color w:val="0A0A0A"/>
          <w:u w:val="none"/>
          <w:shd w:val="clear" w:color="auto" w:fill="FFFFFF"/>
          <w:lang w:val="en-AU"/>
        </w:rPr>
        <w:t xml:space="preserve">. </w:t>
      </w:r>
      <w:r w:rsidR="00F403CD" w:rsidRPr="00241B3B">
        <w:rPr>
          <w:rStyle w:val="Hyperlink"/>
          <w:color w:val="0A0A0A"/>
          <w:u w:val="none"/>
          <w:shd w:val="clear" w:color="auto" w:fill="FFFFFF"/>
          <w:lang w:val="en-AU"/>
        </w:rPr>
        <w:t xml:space="preserve">Along with </w:t>
      </w:r>
      <w:r w:rsidR="00CB5886" w:rsidRPr="00241B3B">
        <w:rPr>
          <w:rStyle w:val="Hyperlink"/>
          <w:color w:val="0A0A0A"/>
          <w:u w:val="none"/>
          <w:shd w:val="clear" w:color="auto" w:fill="FFFFFF"/>
          <w:lang w:val="en-AU"/>
        </w:rPr>
        <w:t>other Disabled People’s Organisations (DPOs)</w:t>
      </w:r>
      <w:r w:rsidR="004F1900" w:rsidRPr="00241B3B">
        <w:rPr>
          <w:rStyle w:val="Hyperlink"/>
          <w:color w:val="0A0A0A"/>
          <w:u w:val="none"/>
          <w:shd w:val="clear" w:color="auto" w:fill="FFFFFF"/>
          <w:lang w:val="en-AU"/>
        </w:rPr>
        <w:t xml:space="preserve">, PWDA asserts that </w:t>
      </w:r>
      <w:r w:rsidRPr="00241B3B">
        <w:rPr>
          <w:rStyle w:val="Hyperlink"/>
          <w:color w:val="0A0A0A"/>
          <w:u w:val="none"/>
          <w:shd w:val="clear" w:color="auto" w:fill="FFFFFF"/>
          <w:lang w:val="en-AU"/>
        </w:rPr>
        <w:t xml:space="preserve">there is no justification for </w:t>
      </w:r>
      <w:r w:rsidR="00467295" w:rsidRPr="00241B3B">
        <w:rPr>
          <w:rStyle w:val="Hyperlink"/>
          <w:color w:val="0A0A0A"/>
          <w:u w:val="none"/>
          <w:shd w:val="clear" w:color="auto" w:fill="FFFFFF"/>
          <w:lang w:val="en-AU"/>
        </w:rPr>
        <w:t>breaches</w:t>
      </w:r>
      <w:r w:rsidRPr="00241B3B">
        <w:rPr>
          <w:rStyle w:val="Hyperlink"/>
          <w:color w:val="0A0A0A"/>
          <w:u w:val="none"/>
          <w:shd w:val="clear" w:color="auto" w:fill="FFFFFF"/>
          <w:lang w:val="en-AU"/>
        </w:rPr>
        <w:t xml:space="preserve"> of human rights through being forced into congregate living arrangements: </w:t>
      </w:r>
    </w:p>
    <w:p w14:paraId="513A9656" w14:textId="05E33D17" w:rsidR="000D6DDD" w:rsidRPr="00241B3B" w:rsidRDefault="00246DC0" w:rsidP="00CB6490">
      <w:pPr>
        <w:pStyle w:val="Quote"/>
        <w:jc w:val="left"/>
        <w:rPr>
          <w:rStyle w:val="Hyperlink"/>
          <w:rFonts w:ascii="Arial" w:eastAsia="Arial" w:hAnsi="Arial" w:cs="Arial"/>
          <w:i w:val="0"/>
          <w:iCs w:val="0"/>
          <w:color w:val="005496" w:themeColor="accent1"/>
          <w:u w:val="none"/>
          <w:shd w:val="clear" w:color="auto" w:fill="FFFFFF"/>
        </w:rPr>
      </w:pPr>
      <w:r w:rsidRPr="00241B3B">
        <w:rPr>
          <w:rStyle w:val="Hyperlink"/>
          <w:color w:val="005496" w:themeColor="accent1"/>
          <w:u w:val="none"/>
          <w:shd w:val="clear" w:color="auto" w:fill="FFFFFF"/>
        </w:rPr>
        <w:t>‘</w:t>
      </w:r>
      <w:r w:rsidR="000D6DDD" w:rsidRPr="00241B3B">
        <w:rPr>
          <w:rStyle w:val="Hyperlink"/>
          <w:color w:val="005496" w:themeColor="accent1"/>
          <w:u w:val="none"/>
          <w:shd w:val="clear" w:color="auto" w:fill="FFFFFF"/>
        </w:rPr>
        <w:t>Segregation and segregated facilities cannot be justified as a specific measure to meet higher support, complex, ‘challenging behaviour’ needs or any other needs of people with disability.</w:t>
      </w:r>
      <w:r w:rsidRPr="00241B3B">
        <w:rPr>
          <w:rStyle w:val="Hyperlink"/>
          <w:color w:val="005496" w:themeColor="accent1"/>
          <w:u w:val="none"/>
          <w:shd w:val="clear" w:color="auto" w:fill="FFFFFF"/>
        </w:rPr>
        <w:t>’</w:t>
      </w:r>
      <w:r w:rsidR="000D6DDD" w:rsidRPr="00241B3B">
        <w:rPr>
          <w:rStyle w:val="FootnoteReference"/>
          <w:shd w:val="clear" w:color="auto" w:fill="FFFFFF"/>
        </w:rPr>
        <w:t xml:space="preserve"> </w:t>
      </w:r>
      <w:r w:rsidR="000D6DDD" w:rsidRPr="00241B3B">
        <w:rPr>
          <w:rStyle w:val="FootnoteReference"/>
          <w:shd w:val="clear" w:color="auto" w:fill="FFFFFF"/>
        </w:rPr>
        <w:footnoteReference w:id="8"/>
      </w:r>
    </w:p>
    <w:p w14:paraId="1FB9656A" w14:textId="1B189F44" w:rsidR="003E711C" w:rsidRPr="00241B3B" w:rsidRDefault="002F6846" w:rsidP="00241B3B">
      <w:pPr>
        <w:pStyle w:val="BodyText"/>
        <w:rPr>
          <w:rStyle w:val="Hyperlink"/>
          <w:color w:val="0A0A0A"/>
          <w:u w:val="none"/>
          <w:shd w:val="clear" w:color="auto" w:fill="FFFFFF"/>
          <w:lang w:val="en-AU"/>
        </w:rPr>
      </w:pPr>
      <w:r w:rsidRPr="00241B3B">
        <w:rPr>
          <w:rStyle w:val="Hyperlink"/>
          <w:color w:val="0A0A0A"/>
          <w:u w:val="none"/>
          <w:shd w:val="clear" w:color="auto" w:fill="FFFFFF"/>
          <w:lang w:val="en-AU"/>
        </w:rPr>
        <w:t>Therefore, t</w:t>
      </w:r>
      <w:r w:rsidR="009035B5" w:rsidRPr="00241B3B">
        <w:rPr>
          <w:rStyle w:val="Hyperlink"/>
          <w:color w:val="0A0A0A"/>
          <w:u w:val="none"/>
          <w:shd w:val="clear" w:color="auto" w:fill="FFFFFF"/>
          <w:lang w:val="en-AU"/>
        </w:rPr>
        <w:t xml:space="preserve">hrough the </w:t>
      </w:r>
      <w:r w:rsidR="00213D80" w:rsidRPr="00241B3B">
        <w:rPr>
          <w:rStyle w:val="Hyperlink"/>
          <w:color w:val="0A0A0A"/>
          <w:u w:val="none"/>
          <w:shd w:val="clear" w:color="auto" w:fill="FFFFFF"/>
          <w:lang w:val="en-AU"/>
        </w:rPr>
        <w:t xml:space="preserve">Congregate Housing Transition Plan, </w:t>
      </w:r>
      <w:r w:rsidR="00243DFA" w:rsidRPr="00241B3B">
        <w:rPr>
          <w:rStyle w:val="Hyperlink"/>
          <w:color w:val="0A0A0A"/>
          <w:u w:val="none"/>
          <w:shd w:val="clear" w:color="auto" w:fill="FFFFFF"/>
          <w:lang w:val="en-AU"/>
        </w:rPr>
        <w:t xml:space="preserve">PWDA supports </w:t>
      </w:r>
      <w:r w:rsidR="00302C5F" w:rsidRPr="00241B3B">
        <w:rPr>
          <w:rStyle w:val="Hyperlink"/>
          <w:color w:val="0A0A0A"/>
          <w:u w:val="none"/>
          <w:shd w:val="clear" w:color="auto" w:fill="FFFFFF"/>
          <w:lang w:val="en-AU"/>
        </w:rPr>
        <w:t xml:space="preserve">immediate action on transitioning </w:t>
      </w:r>
      <w:r w:rsidR="009234CA" w:rsidRPr="00241B3B">
        <w:rPr>
          <w:rStyle w:val="Hyperlink"/>
          <w:color w:val="0A0A0A"/>
          <w:u w:val="none"/>
          <w:shd w:val="clear" w:color="auto" w:fill="FFFFFF"/>
          <w:lang w:val="en-AU"/>
        </w:rPr>
        <w:t xml:space="preserve">away from </w:t>
      </w:r>
      <w:r w:rsidR="004354A7" w:rsidRPr="00241B3B">
        <w:rPr>
          <w:rStyle w:val="Hyperlink"/>
          <w:color w:val="0A0A0A"/>
          <w:u w:val="none"/>
          <w:shd w:val="clear" w:color="auto" w:fill="FFFFFF"/>
          <w:lang w:val="en-AU"/>
        </w:rPr>
        <w:t>group homes</w:t>
      </w:r>
      <w:r w:rsidR="00246DC0" w:rsidRPr="00241B3B">
        <w:rPr>
          <w:rStyle w:val="Hyperlink"/>
          <w:color w:val="0A0A0A"/>
          <w:u w:val="none"/>
          <w:shd w:val="clear" w:color="auto" w:fill="FFFFFF"/>
          <w:lang w:val="en-AU"/>
        </w:rPr>
        <w:t xml:space="preserve">. </w:t>
      </w:r>
      <w:r w:rsidR="004354A7" w:rsidRPr="00241B3B">
        <w:rPr>
          <w:rStyle w:val="Hyperlink"/>
          <w:color w:val="0A0A0A"/>
          <w:u w:val="none"/>
          <w:shd w:val="clear" w:color="auto" w:fill="FFFFFF"/>
          <w:lang w:val="en-AU"/>
        </w:rPr>
        <w:t xml:space="preserve"> It</w:t>
      </w:r>
      <w:r w:rsidR="00F06C0E" w:rsidRPr="00241B3B">
        <w:rPr>
          <w:rStyle w:val="Hyperlink"/>
          <w:color w:val="0A0A0A"/>
          <w:u w:val="none"/>
          <w:shd w:val="clear" w:color="auto" w:fill="FFFFFF"/>
          <w:lang w:val="en-AU"/>
        </w:rPr>
        <w:t xml:space="preserve"> </w:t>
      </w:r>
      <w:r w:rsidR="0012294D" w:rsidRPr="00241B3B">
        <w:rPr>
          <w:rStyle w:val="Hyperlink"/>
          <w:color w:val="0A0A0A"/>
          <w:u w:val="none"/>
          <w:shd w:val="clear" w:color="auto" w:fill="FFFFFF"/>
          <w:lang w:val="en-AU"/>
        </w:rPr>
        <w:t xml:space="preserve">is important that </w:t>
      </w:r>
      <w:r w:rsidR="009234CA" w:rsidRPr="00241B3B">
        <w:rPr>
          <w:rStyle w:val="Hyperlink"/>
          <w:color w:val="0A0A0A"/>
          <w:u w:val="none"/>
          <w:shd w:val="clear" w:color="auto" w:fill="FFFFFF"/>
          <w:lang w:val="en-AU"/>
        </w:rPr>
        <w:t>no new group homes be developed</w:t>
      </w:r>
      <w:r w:rsidR="006F0561" w:rsidRPr="00241B3B">
        <w:rPr>
          <w:rStyle w:val="Hyperlink"/>
          <w:color w:val="0A0A0A"/>
          <w:u w:val="none"/>
          <w:shd w:val="clear" w:color="auto" w:fill="FFFFFF"/>
          <w:lang w:val="en-AU"/>
        </w:rPr>
        <w:t xml:space="preserve"> </w:t>
      </w:r>
      <w:r w:rsidRPr="00241B3B">
        <w:rPr>
          <w:rStyle w:val="Hyperlink"/>
          <w:color w:val="0A0A0A"/>
          <w:u w:val="none"/>
          <w:shd w:val="clear" w:color="auto" w:fill="FFFFFF"/>
          <w:lang w:val="en-AU"/>
        </w:rPr>
        <w:t>as</w:t>
      </w:r>
      <w:r w:rsidR="009234CA" w:rsidRPr="00241B3B">
        <w:rPr>
          <w:rStyle w:val="Hyperlink"/>
          <w:color w:val="0A0A0A"/>
          <w:u w:val="none"/>
          <w:shd w:val="clear" w:color="auto" w:fill="FFFFFF"/>
          <w:lang w:val="en-AU"/>
        </w:rPr>
        <w:t xml:space="preserve"> this w</w:t>
      </w:r>
      <w:r w:rsidR="00190AB7" w:rsidRPr="00241B3B">
        <w:rPr>
          <w:rStyle w:val="Hyperlink"/>
          <w:color w:val="0A0A0A"/>
          <w:u w:val="none"/>
          <w:shd w:val="clear" w:color="auto" w:fill="FFFFFF"/>
          <w:lang w:val="en-AU"/>
        </w:rPr>
        <w:t xml:space="preserve">ould </w:t>
      </w:r>
      <w:r w:rsidR="009234CA" w:rsidRPr="00241B3B">
        <w:rPr>
          <w:rStyle w:val="Hyperlink"/>
          <w:color w:val="0A0A0A"/>
          <w:u w:val="none"/>
          <w:shd w:val="clear" w:color="auto" w:fill="FFFFFF"/>
          <w:lang w:val="en-AU"/>
        </w:rPr>
        <w:t xml:space="preserve">push back the transition by several generations. </w:t>
      </w:r>
    </w:p>
    <w:p w14:paraId="4201F031" w14:textId="00210215" w:rsidR="00C95E0C" w:rsidRPr="00241B3B" w:rsidRDefault="002346D5" w:rsidP="00241B3B">
      <w:pPr>
        <w:pStyle w:val="BodyText"/>
        <w:rPr>
          <w:rStyle w:val="Hyperlink"/>
          <w:color w:val="0A0A0A"/>
          <w:u w:val="none"/>
          <w:shd w:val="clear" w:color="auto" w:fill="FFFFFF"/>
          <w:lang w:val="en-AU"/>
        </w:rPr>
      </w:pPr>
      <w:r w:rsidRPr="00241B3B">
        <w:rPr>
          <w:rStyle w:val="Hyperlink"/>
          <w:color w:val="0A0A0A"/>
          <w:u w:val="none"/>
          <w:shd w:val="clear" w:color="auto" w:fill="FFFFFF"/>
          <w:lang w:val="en-AU"/>
        </w:rPr>
        <w:t xml:space="preserve">A transition away from congregate housing </w:t>
      </w:r>
      <w:r w:rsidR="00981C89" w:rsidRPr="00241B3B">
        <w:rPr>
          <w:rStyle w:val="Hyperlink"/>
          <w:color w:val="0A0A0A"/>
          <w:u w:val="none"/>
          <w:shd w:val="clear" w:color="auto" w:fill="FFFFFF"/>
          <w:lang w:val="en-AU"/>
        </w:rPr>
        <w:t xml:space="preserve">is dependent upon the availability of alternative housing, therefore </w:t>
      </w:r>
      <w:r w:rsidR="0057536D" w:rsidRPr="00241B3B">
        <w:rPr>
          <w:rStyle w:val="Hyperlink"/>
          <w:color w:val="0A0A0A"/>
          <w:u w:val="none"/>
          <w:shd w:val="clear" w:color="auto" w:fill="FFFFFF"/>
          <w:lang w:val="en-AU"/>
        </w:rPr>
        <w:t xml:space="preserve">the </w:t>
      </w:r>
      <w:r w:rsidR="00981C89" w:rsidRPr="00241B3B">
        <w:rPr>
          <w:rStyle w:val="Hyperlink"/>
          <w:color w:val="0A0A0A"/>
          <w:u w:val="none"/>
          <w:shd w:val="clear" w:color="auto" w:fill="FFFFFF"/>
          <w:lang w:val="en-AU"/>
        </w:rPr>
        <w:t>increase of housing supply is an urgent priority to ensure the outcome of phasing out group homes can be met.</w:t>
      </w:r>
      <w:r w:rsidR="00671A0C" w:rsidRPr="00241B3B">
        <w:rPr>
          <w:rStyle w:val="Hyperlink"/>
          <w:color w:val="0A0A0A"/>
          <w:u w:val="none"/>
          <w:shd w:val="clear" w:color="auto" w:fill="FFFFFF"/>
          <w:lang w:val="en-AU"/>
        </w:rPr>
        <w:t xml:space="preserve"> The phasing out of group homes will also require other milestones to be met, such as </w:t>
      </w:r>
      <w:r w:rsidR="00C95E0C" w:rsidRPr="00241B3B">
        <w:rPr>
          <w:rStyle w:val="Hyperlink"/>
          <w:color w:val="0A0A0A"/>
          <w:u w:val="none"/>
          <w:shd w:val="clear" w:color="auto" w:fill="FFFFFF"/>
          <w:lang w:val="en-AU"/>
        </w:rPr>
        <w:t xml:space="preserve">the milestone outlined by Commissioners Bennett, Galbally, Mason and McEwin to have no new residents placed in group homes within the next five years, as specified under </w:t>
      </w:r>
      <w:r w:rsidR="000E5E46">
        <w:rPr>
          <w:rStyle w:val="Hyperlink"/>
          <w:color w:val="0A0A0A"/>
          <w:u w:val="none"/>
          <w:shd w:val="clear" w:color="auto" w:fill="FFFFFF"/>
          <w:lang w:val="en-AU"/>
        </w:rPr>
        <w:t>R</w:t>
      </w:r>
      <w:r w:rsidR="00C95E0C" w:rsidRPr="00241B3B">
        <w:rPr>
          <w:rStyle w:val="Hyperlink"/>
          <w:color w:val="0A0A0A"/>
          <w:u w:val="none"/>
          <w:shd w:val="clear" w:color="auto" w:fill="FFFFFF"/>
          <w:lang w:val="en-AU"/>
        </w:rPr>
        <w:t>ecommendation 7.43</w:t>
      </w:r>
      <w:r w:rsidR="00C55367" w:rsidRPr="00241B3B">
        <w:rPr>
          <w:rStyle w:val="Hyperlink"/>
          <w:color w:val="0A0A0A"/>
          <w:u w:val="none"/>
          <w:shd w:val="clear" w:color="auto" w:fill="FFFFFF"/>
          <w:lang w:val="en-AU"/>
        </w:rPr>
        <w:t xml:space="preserve">. To be clear, PWDA sees these </w:t>
      </w:r>
      <w:r w:rsidR="00A07521" w:rsidRPr="00241B3B">
        <w:rPr>
          <w:rStyle w:val="Hyperlink"/>
          <w:color w:val="0A0A0A"/>
          <w:u w:val="none"/>
          <w:shd w:val="clear" w:color="auto" w:fill="FFFFFF"/>
          <w:lang w:val="en-AU"/>
        </w:rPr>
        <w:t xml:space="preserve">timeframes as </w:t>
      </w:r>
      <w:r w:rsidR="00C019B6" w:rsidRPr="00241B3B">
        <w:rPr>
          <w:rStyle w:val="Hyperlink"/>
          <w:color w:val="0A0A0A"/>
          <w:u w:val="none"/>
          <w:shd w:val="clear" w:color="auto" w:fill="FFFFFF"/>
          <w:lang w:val="en-AU"/>
        </w:rPr>
        <w:t>worst-case</w:t>
      </w:r>
      <w:r w:rsidR="00A07521" w:rsidRPr="00241B3B">
        <w:rPr>
          <w:rStyle w:val="Hyperlink"/>
          <w:color w:val="0A0A0A"/>
          <w:u w:val="none"/>
          <w:shd w:val="clear" w:color="auto" w:fill="FFFFFF"/>
          <w:lang w:val="en-AU"/>
        </w:rPr>
        <w:t xml:space="preserve"> scenarios and all efforts should be made to </w:t>
      </w:r>
      <w:r w:rsidR="00A21912" w:rsidRPr="00241B3B">
        <w:rPr>
          <w:rStyle w:val="Hyperlink"/>
          <w:color w:val="0A0A0A"/>
          <w:u w:val="none"/>
          <w:shd w:val="clear" w:color="auto" w:fill="FFFFFF"/>
          <w:lang w:val="en-AU"/>
        </w:rPr>
        <w:t>meet them earlier</w:t>
      </w:r>
      <w:r w:rsidR="00C95E0C" w:rsidRPr="00241B3B">
        <w:rPr>
          <w:rStyle w:val="Hyperlink"/>
          <w:color w:val="0A0A0A"/>
          <w:u w:val="none"/>
          <w:shd w:val="clear" w:color="auto" w:fill="FFFFFF"/>
          <w:lang w:val="en-AU"/>
        </w:rPr>
        <w:t xml:space="preserve"> </w:t>
      </w:r>
      <w:r w:rsidR="00864239" w:rsidRPr="00241B3B">
        <w:rPr>
          <w:rStyle w:val="Hyperlink"/>
          <w:color w:val="0A0A0A"/>
          <w:u w:val="none"/>
          <w:shd w:val="clear" w:color="auto" w:fill="FFFFFF"/>
          <w:lang w:val="en-AU"/>
        </w:rPr>
        <w:t xml:space="preserve">(please see further comments </w:t>
      </w:r>
      <w:r w:rsidR="00FB79B1" w:rsidRPr="00241B3B">
        <w:rPr>
          <w:rStyle w:val="Hyperlink"/>
          <w:color w:val="0A0A0A"/>
          <w:u w:val="none"/>
          <w:shd w:val="clear" w:color="auto" w:fill="FFFFFF"/>
          <w:lang w:val="en-AU"/>
        </w:rPr>
        <w:t xml:space="preserve">on the milestones on page </w:t>
      </w:r>
      <w:r w:rsidR="0044122A" w:rsidRPr="00241B3B">
        <w:rPr>
          <w:rStyle w:val="Hyperlink"/>
          <w:color w:val="0A0A0A"/>
          <w:u w:val="none"/>
          <w:shd w:val="clear" w:color="auto" w:fill="FFFFFF"/>
          <w:lang w:val="en-AU"/>
        </w:rPr>
        <w:t>11)</w:t>
      </w:r>
      <w:r w:rsidR="00C55367" w:rsidRPr="00241B3B">
        <w:rPr>
          <w:rStyle w:val="Hyperlink"/>
          <w:color w:val="0A0A0A"/>
          <w:u w:val="none"/>
          <w:shd w:val="clear" w:color="auto" w:fill="FFFFFF"/>
          <w:lang w:val="en-AU"/>
        </w:rPr>
        <w:t>.</w:t>
      </w:r>
      <w:r w:rsidR="00C95E0C" w:rsidRPr="00241B3B">
        <w:rPr>
          <w:rStyle w:val="Hyperlink"/>
          <w:color w:val="0A0A0A"/>
          <w:u w:val="none"/>
          <w:shd w:val="clear" w:color="auto" w:fill="FFFFFF"/>
          <w:lang w:val="en-AU"/>
        </w:rPr>
        <w:t xml:space="preserve"> </w:t>
      </w:r>
    </w:p>
    <w:p w14:paraId="07BE349C" w14:textId="73B2465C" w:rsidR="006F1D8D" w:rsidRPr="00241B3B" w:rsidRDefault="00F66F15" w:rsidP="00241B3B">
      <w:pPr>
        <w:pStyle w:val="BodyText"/>
        <w:rPr>
          <w:rStyle w:val="Hyperlink"/>
          <w:color w:val="0A0A0A"/>
          <w:u w:val="none"/>
          <w:shd w:val="clear" w:color="auto" w:fill="FFFFFF"/>
          <w:lang w:val="en-AU"/>
        </w:rPr>
      </w:pPr>
      <w:r w:rsidRPr="00241B3B">
        <w:rPr>
          <w:rStyle w:val="Hyperlink"/>
          <w:color w:val="0A0A0A"/>
          <w:u w:val="none"/>
          <w:shd w:val="clear" w:color="auto" w:fill="FFFFFF"/>
          <w:lang w:val="en-AU"/>
        </w:rPr>
        <w:lastRenderedPageBreak/>
        <w:t>Additionally</w:t>
      </w:r>
      <w:r w:rsidR="00467295" w:rsidRPr="00241B3B">
        <w:rPr>
          <w:rStyle w:val="Hyperlink"/>
          <w:color w:val="0A0A0A"/>
          <w:u w:val="none"/>
          <w:shd w:val="clear" w:color="auto" w:fill="FFFFFF"/>
          <w:lang w:val="en-AU"/>
        </w:rPr>
        <w:t>, PWD</w:t>
      </w:r>
      <w:r w:rsidR="008248F1" w:rsidRPr="00241B3B">
        <w:rPr>
          <w:rStyle w:val="Hyperlink"/>
          <w:color w:val="0A0A0A"/>
          <w:u w:val="none"/>
          <w:shd w:val="clear" w:color="auto" w:fill="FFFFFF"/>
          <w:lang w:val="en-AU"/>
        </w:rPr>
        <w:t xml:space="preserve">A </w:t>
      </w:r>
      <w:r w:rsidR="00467295" w:rsidRPr="00241B3B">
        <w:rPr>
          <w:rStyle w:val="Hyperlink"/>
          <w:color w:val="0A0A0A"/>
          <w:u w:val="none"/>
          <w:shd w:val="clear" w:color="auto" w:fill="FFFFFF"/>
          <w:lang w:val="en-AU"/>
        </w:rPr>
        <w:t xml:space="preserve">strongly </w:t>
      </w:r>
      <w:r w:rsidR="00651022" w:rsidRPr="00241B3B">
        <w:rPr>
          <w:rStyle w:val="Hyperlink"/>
          <w:color w:val="0A0A0A"/>
          <w:u w:val="none"/>
          <w:shd w:val="clear" w:color="auto" w:fill="FFFFFF"/>
          <w:lang w:val="en-AU"/>
        </w:rPr>
        <w:t>recommends</w:t>
      </w:r>
      <w:r w:rsidR="00467295" w:rsidRPr="00241B3B">
        <w:rPr>
          <w:rStyle w:val="Hyperlink"/>
          <w:color w:val="0A0A0A"/>
          <w:u w:val="none"/>
          <w:shd w:val="clear" w:color="auto" w:fill="FFFFFF"/>
          <w:lang w:val="en-AU"/>
        </w:rPr>
        <w:t xml:space="preserve"> that oversight and safeguarding during the transition phase </w:t>
      </w:r>
      <w:r w:rsidR="002A376E" w:rsidRPr="00241B3B">
        <w:rPr>
          <w:rStyle w:val="Hyperlink"/>
          <w:color w:val="0A0A0A"/>
          <w:u w:val="none"/>
          <w:shd w:val="clear" w:color="auto" w:fill="FFFFFF"/>
          <w:lang w:val="en-AU"/>
        </w:rPr>
        <w:t xml:space="preserve">away from group housing </w:t>
      </w:r>
      <w:r w:rsidR="00467295" w:rsidRPr="00241B3B">
        <w:rPr>
          <w:rStyle w:val="Hyperlink"/>
          <w:color w:val="0A0A0A"/>
          <w:u w:val="none"/>
          <w:shd w:val="clear" w:color="auto" w:fill="FFFFFF"/>
          <w:lang w:val="en-AU"/>
        </w:rPr>
        <w:t>are</w:t>
      </w:r>
      <w:r w:rsidR="005031A8" w:rsidRPr="00241B3B">
        <w:rPr>
          <w:rStyle w:val="Hyperlink"/>
          <w:color w:val="0A0A0A"/>
          <w:u w:val="none"/>
          <w:shd w:val="clear" w:color="auto" w:fill="FFFFFF"/>
          <w:lang w:val="en-AU"/>
        </w:rPr>
        <w:t xml:space="preserve"> </w:t>
      </w:r>
      <w:r w:rsidR="00467295" w:rsidRPr="00241B3B">
        <w:rPr>
          <w:rStyle w:val="Hyperlink"/>
          <w:color w:val="0A0A0A"/>
          <w:u w:val="none"/>
          <w:shd w:val="clear" w:color="auto" w:fill="FFFFFF"/>
          <w:lang w:val="en-AU"/>
        </w:rPr>
        <w:t>strengthened</w:t>
      </w:r>
      <w:r w:rsidR="0012798D" w:rsidRPr="00241B3B">
        <w:rPr>
          <w:rStyle w:val="Hyperlink"/>
          <w:color w:val="0A0A0A"/>
          <w:u w:val="none"/>
          <w:shd w:val="clear" w:color="auto" w:fill="FFFFFF"/>
          <w:lang w:val="en-AU"/>
        </w:rPr>
        <w:t xml:space="preserve"> to prevent</w:t>
      </w:r>
      <w:r w:rsidR="00467295" w:rsidRPr="00241B3B">
        <w:rPr>
          <w:rStyle w:val="Hyperlink"/>
          <w:color w:val="0A0A0A"/>
          <w:u w:val="none"/>
          <w:shd w:val="clear" w:color="auto" w:fill="FFFFFF"/>
          <w:lang w:val="en-AU"/>
        </w:rPr>
        <w:t xml:space="preserve"> ongoing violence and abuse in group homes. </w:t>
      </w:r>
      <w:r w:rsidR="00FA5178" w:rsidRPr="00241B3B">
        <w:rPr>
          <w:rStyle w:val="Hyperlink"/>
          <w:color w:val="0A0A0A"/>
          <w:u w:val="none"/>
          <w:shd w:val="clear" w:color="auto" w:fill="FFFFFF"/>
          <w:lang w:val="en-AU"/>
        </w:rPr>
        <w:t>This aligns with</w:t>
      </w:r>
      <w:r w:rsidR="00152895" w:rsidRPr="00241B3B">
        <w:rPr>
          <w:rStyle w:val="Hyperlink"/>
          <w:color w:val="0A0A0A"/>
          <w:u w:val="none"/>
          <w:shd w:val="clear" w:color="auto" w:fill="FFFFFF"/>
          <w:lang w:val="en-AU"/>
        </w:rPr>
        <w:t xml:space="preserve"> DRC</w:t>
      </w:r>
      <w:r w:rsidR="00FA5178" w:rsidRPr="00241B3B">
        <w:rPr>
          <w:rStyle w:val="Hyperlink"/>
          <w:color w:val="0A0A0A"/>
          <w:u w:val="none"/>
          <w:shd w:val="clear" w:color="auto" w:fill="FFFFFF"/>
          <w:lang w:val="en-AU"/>
        </w:rPr>
        <w:t xml:space="preserve"> </w:t>
      </w:r>
      <w:r w:rsidR="00152895" w:rsidRPr="00241B3B">
        <w:rPr>
          <w:rStyle w:val="Hyperlink"/>
          <w:color w:val="0A0A0A"/>
          <w:u w:val="none"/>
          <w:shd w:val="clear" w:color="auto" w:fill="FFFFFF"/>
          <w:lang w:val="en-AU"/>
        </w:rPr>
        <w:t>R</w:t>
      </w:r>
      <w:r w:rsidR="00467295" w:rsidRPr="00241B3B">
        <w:rPr>
          <w:rStyle w:val="Hyperlink"/>
          <w:color w:val="0A0A0A"/>
          <w:u w:val="none"/>
          <w:shd w:val="clear" w:color="auto" w:fill="FFFFFF"/>
          <w:lang w:val="en-AU"/>
        </w:rPr>
        <w:t>ecommendation 7.</w:t>
      </w:r>
      <w:r w:rsidR="00027C4A" w:rsidRPr="00241B3B">
        <w:rPr>
          <w:rStyle w:val="Hyperlink"/>
          <w:color w:val="0A0A0A"/>
          <w:u w:val="none"/>
          <w:shd w:val="clear" w:color="auto" w:fill="FFFFFF"/>
          <w:lang w:val="en-AU"/>
        </w:rPr>
        <w:t>43 (</w:t>
      </w:r>
      <w:r w:rsidR="002A376E" w:rsidRPr="00241B3B">
        <w:rPr>
          <w:rStyle w:val="Hyperlink"/>
          <w:color w:val="0A0A0A"/>
          <w:u w:val="none"/>
          <w:shd w:val="clear" w:color="auto" w:fill="FFFFFF"/>
          <w:lang w:val="en-AU"/>
        </w:rPr>
        <w:t>‘</w:t>
      </w:r>
      <w:r w:rsidR="0031091D" w:rsidRPr="00241B3B">
        <w:rPr>
          <w:rStyle w:val="Hyperlink"/>
          <w:color w:val="0A0A0A"/>
          <w:u w:val="none"/>
          <w:shd w:val="clear" w:color="auto" w:fill="FFFFFF"/>
          <w:lang w:val="en-AU"/>
        </w:rPr>
        <w:t>A roadmap to phase out group homes with</w:t>
      </w:r>
      <w:r w:rsidR="000E5E46">
        <w:rPr>
          <w:rStyle w:val="Hyperlink"/>
          <w:color w:val="0A0A0A"/>
          <w:u w:val="none"/>
          <w:shd w:val="clear" w:color="auto" w:fill="FFFFFF"/>
          <w:lang w:val="en-AU"/>
        </w:rPr>
        <w:t>in</w:t>
      </w:r>
      <w:r w:rsidR="0031091D" w:rsidRPr="00241B3B">
        <w:rPr>
          <w:rStyle w:val="Hyperlink"/>
          <w:color w:val="0A0A0A"/>
          <w:u w:val="none"/>
          <w:shd w:val="clear" w:color="auto" w:fill="FFFFFF"/>
          <w:lang w:val="en-AU"/>
        </w:rPr>
        <w:t xml:space="preserve"> 15 years’</w:t>
      </w:r>
      <w:r w:rsidR="00DA1867" w:rsidRPr="00241B3B">
        <w:rPr>
          <w:rStyle w:val="Hyperlink"/>
          <w:color w:val="0A0A0A"/>
          <w:u w:val="none"/>
          <w:shd w:val="clear" w:color="auto" w:fill="FFFFFF"/>
          <w:lang w:val="en-AU"/>
        </w:rPr>
        <w:t>)</w:t>
      </w:r>
      <w:r w:rsidR="005031A8" w:rsidRPr="00241B3B">
        <w:rPr>
          <w:rStyle w:val="Hyperlink"/>
          <w:color w:val="0A0A0A"/>
          <w:u w:val="none"/>
          <w:shd w:val="clear" w:color="auto" w:fill="FFFFFF"/>
          <w:lang w:val="en-AU"/>
        </w:rPr>
        <w:t xml:space="preserve"> part </w:t>
      </w:r>
      <w:r w:rsidR="000E5E46">
        <w:rPr>
          <w:rStyle w:val="Hyperlink"/>
          <w:color w:val="0A0A0A"/>
          <w:u w:val="none"/>
          <w:shd w:val="clear" w:color="auto" w:fill="FFFFFF"/>
          <w:lang w:val="en-AU"/>
        </w:rPr>
        <w:t>C</w:t>
      </w:r>
      <w:r w:rsidR="005031A8" w:rsidRPr="00241B3B">
        <w:rPr>
          <w:rStyle w:val="Hyperlink"/>
          <w:color w:val="0A0A0A"/>
          <w:u w:val="none"/>
          <w:shd w:val="clear" w:color="auto" w:fill="FFFFFF"/>
          <w:lang w:val="en-AU"/>
        </w:rPr>
        <w:t xml:space="preserve">, </w:t>
      </w:r>
      <w:r w:rsidR="002A376E" w:rsidRPr="00241B3B">
        <w:rPr>
          <w:rStyle w:val="Hyperlink"/>
          <w:color w:val="0A0A0A"/>
          <w:u w:val="none"/>
          <w:shd w:val="clear" w:color="auto" w:fill="FFFFFF"/>
          <w:lang w:val="en-AU"/>
        </w:rPr>
        <w:t>‘</w:t>
      </w:r>
      <w:r w:rsidR="005031A8" w:rsidRPr="00241B3B">
        <w:rPr>
          <w:rStyle w:val="Hyperlink"/>
          <w:color w:val="0A0A0A"/>
          <w:u w:val="none"/>
          <w:shd w:val="clear" w:color="auto" w:fill="FFFFFF"/>
          <w:lang w:val="en-AU"/>
        </w:rPr>
        <w:t>transition support for people currently living in group homes, including - interim improvements in group home oversight and practices to ensure that people with disability living in group homes are safe and have greater choice and control during this transition period.</w:t>
      </w:r>
      <w:r w:rsidR="002A376E" w:rsidRPr="00241B3B">
        <w:rPr>
          <w:rStyle w:val="Hyperlink"/>
          <w:color w:val="0A0A0A"/>
          <w:u w:val="none"/>
          <w:shd w:val="clear" w:color="auto" w:fill="FFFFFF"/>
          <w:lang w:val="en-AU"/>
        </w:rPr>
        <w:t>’</w:t>
      </w:r>
    </w:p>
    <w:p w14:paraId="4FAEAFCD" w14:textId="2D87A7DB" w:rsidR="00027C4A" w:rsidRPr="00241B3B" w:rsidRDefault="0087438A" w:rsidP="00241B3B">
      <w:pPr>
        <w:pStyle w:val="BodyText"/>
        <w:rPr>
          <w:rStyle w:val="Hyperlink"/>
          <w:color w:val="0A0A0A"/>
          <w:u w:val="none"/>
          <w:shd w:val="clear" w:color="auto" w:fill="FFFFFF"/>
          <w:lang w:val="en-AU"/>
        </w:rPr>
      </w:pPr>
      <w:r w:rsidRPr="00241B3B">
        <w:rPr>
          <w:rStyle w:val="Hyperlink"/>
          <w:color w:val="0A0A0A"/>
          <w:u w:val="none"/>
          <w:shd w:val="clear" w:color="auto" w:fill="FFFFFF"/>
          <w:lang w:val="en-AU"/>
        </w:rPr>
        <w:t>Further</w:t>
      </w:r>
      <w:r w:rsidR="00163143" w:rsidRPr="00241B3B">
        <w:rPr>
          <w:rStyle w:val="Hyperlink"/>
          <w:color w:val="0A0A0A"/>
          <w:u w:val="none"/>
          <w:shd w:val="clear" w:color="auto" w:fill="FFFFFF"/>
          <w:lang w:val="en-AU"/>
        </w:rPr>
        <w:t>,</w:t>
      </w:r>
      <w:r w:rsidR="00970BBA" w:rsidRPr="00241B3B">
        <w:rPr>
          <w:rStyle w:val="Hyperlink"/>
          <w:color w:val="0A0A0A"/>
          <w:u w:val="none"/>
          <w:shd w:val="clear" w:color="auto" w:fill="FFFFFF"/>
          <w:lang w:val="en-AU"/>
        </w:rPr>
        <w:t xml:space="preserve"> as an additional and necessary safeguard</w:t>
      </w:r>
      <w:r w:rsidRPr="00241B3B">
        <w:rPr>
          <w:rStyle w:val="Hyperlink"/>
          <w:color w:val="0A0A0A"/>
          <w:u w:val="none"/>
          <w:shd w:val="clear" w:color="auto" w:fill="FFFFFF"/>
          <w:lang w:val="en-AU"/>
        </w:rPr>
        <w:t xml:space="preserve">, </w:t>
      </w:r>
      <w:r w:rsidR="006072AB" w:rsidRPr="00241B3B">
        <w:rPr>
          <w:rStyle w:val="Hyperlink"/>
          <w:color w:val="0A0A0A"/>
          <w:u w:val="none"/>
          <w:shd w:val="clear" w:color="auto" w:fill="FFFFFF"/>
          <w:lang w:val="en-AU"/>
        </w:rPr>
        <w:t xml:space="preserve">PWDA strongly advocates for the </w:t>
      </w:r>
      <w:r w:rsidRPr="00241B3B">
        <w:rPr>
          <w:rStyle w:val="Hyperlink"/>
          <w:color w:val="0A0A0A"/>
          <w:u w:val="none"/>
          <w:shd w:val="clear" w:color="auto" w:fill="FFFFFF"/>
          <w:lang w:val="en-AU"/>
        </w:rPr>
        <w:t xml:space="preserve">separation of housing provision and provision of other services </w:t>
      </w:r>
      <w:r w:rsidR="007F104C" w:rsidRPr="00241B3B">
        <w:rPr>
          <w:rStyle w:val="Hyperlink"/>
          <w:color w:val="0A0A0A"/>
          <w:u w:val="none"/>
          <w:shd w:val="clear" w:color="auto" w:fill="FFFFFF"/>
          <w:lang w:val="en-AU"/>
        </w:rPr>
        <w:t>as a key safeguard</w:t>
      </w:r>
      <w:r w:rsidR="00163143" w:rsidRPr="00241B3B">
        <w:rPr>
          <w:rStyle w:val="Hyperlink"/>
          <w:color w:val="0A0A0A"/>
          <w:u w:val="none"/>
          <w:shd w:val="clear" w:color="auto" w:fill="FFFFFF"/>
          <w:lang w:val="en-AU"/>
        </w:rPr>
        <w:t>,</w:t>
      </w:r>
      <w:r w:rsidR="007F104C" w:rsidRPr="00241B3B">
        <w:rPr>
          <w:rStyle w:val="Hyperlink"/>
          <w:color w:val="0A0A0A"/>
          <w:u w:val="none"/>
          <w:shd w:val="clear" w:color="auto" w:fill="FFFFFF"/>
          <w:lang w:val="en-AU"/>
        </w:rPr>
        <w:t xml:space="preserve"> </w:t>
      </w:r>
      <w:r w:rsidR="002A376E" w:rsidRPr="00241B3B">
        <w:rPr>
          <w:rStyle w:val="Hyperlink"/>
          <w:color w:val="0A0A0A"/>
          <w:u w:val="none"/>
          <w:shd w:val="clear" w:color="auto" w:fill="FFFFFF"/>
          <w:lang w:val="en-AU"/>
        </w:rPr>
        <w:t xml:space="preserve">meaning that </w:t>
      </w:r>
      <w:r w:rsidRPr="00241B3B">
        <w:rPr>
          <w:rStyle w:val="Hyperlink"/>
          <w:color w:val="0A0A0A"/>
          <w:u w:val="none"/>
          <w:shd w:val="clear" w:color="auto" w:fill="FFFFFF"/>
          <w:lang w:val="en-AU"/>
        </w:rPr>
        <w:t xml:space="preserve">the </w:t>
      </w:r>
      <w:r w:rsidR="00E93DC3" w:rsidRPr="00241B3B">
        <w:rPr>
          <w:rStyle w:val="Hyperlink"/>
          <w:color w:val="0A0A0A"/>
          <w:u w:val="none"/>
          <w:shd w:val="clear" w:color="auto" w:fill="FFFFFF"/>
          <w:lang w:val="en-AU"/>
        </w:rPr>
        <w:t>same provider cannot provide both housing and other support</w:t>
      </w:r>
      <w:r w:rsidR="007F104C" w:rsidRPr="00241B3B">
        <w:rPr>
          <w:rStyle w:val="Hyperlink"/>
          <w:color w:val="0A0A0A"/>
          <w:u w:val="none"/>
          <w:shd w:val="clear" w:color="auto" w:fill="FFFFFF"/>
          <w:lang w:val="en-AU"/>
        </w:rPr>
        <w:t>s. Th</w:t>
      </w:r>
      <w:r w:rsidR="00E93DC3" w:rsidRPr="00241B3B">
        <w:rPr>
          <w:rStyle w:val="Hyperlink"/>
          <w:color w:val="0A0A0A"/>
          <w:u w:val="none"/>
          <w:shd w:val="clear" w:color="auto" w:fill="FFFFFF"/>
          <w:lang w:val="en-AU"/>
        </w:rPr>
        <w:t>ere must be a clear separation, with no conflicts of interest between providers</w:t>
      </w:r>
      <w:r w:rsidR="00E70033" w:rsidRPr="00241B3B">
        <w:rPr>
          <w:rStyle w:val="Hyperlink"/>
          <w:color w:val="0A0A0A"/>
          <w:u w:val="none"/>
          <w:shd w:val="clear" w:color="auto" w:fill="FFFFFF"/>
          <w:lang w:val="en-AU"/>
        </w:rPr>
        <w:t xml:space="preserve"> and the capacity for people with disability to raise issues without fear </w:t>
      </w:r>
      <w:r w:rsidR="00D33571" w:rsidRPr="00241B3B">
        <w:rPr>
          <w:rStyle w:val="Hyperlink"/>
          <w:color w:val="0A0A0A"/>
          <w:u w:val="none"/>
          <w:shd w:val="clear" w:color="auto" w:fill="FFFFFF"/>
          <w:lang w:val="en-AU"/>
        </w:rPr>
        <w:t>o</w:t>
      </w:r>
      <w:r w:rsidR="00E70033" w:rsidRPr="00241B3B">
        <w:rPr>
          <w:rStyle w:val="Hyperlink"/>
          <w:color w:val="0A0A0A"/>
          <w:u w:val="none"/>
          <w:shd w:val="clear" w:color="auto" w:fill="FFFFFF"/>
          <w:lang w:val="en-AU"/>
        </w:rPr>
        <w:t xml:space="preserve">r concern of losing </w:t>
      </w:r>
      <w:r w:rsidR="00D33571" w:rsidRPr="00241B3B">
        <w:rPr>
          <w:rStyle w:val="Hyperlink"/>
          <w:color w:val="0A0A0A"/>
          <w:u w:val="none"/>
          <w:shd w:val="clear" w:color="auto" w:fill="FFFFFF"/>
          <w:lang w:val="en-AU"/>
        </w:rPr>
        <w:t>their housing and/or supports</w:t>
      </w:r>
      <w:r w:rsidR="00E93DC3" w:rsidRPr="00241B3B">
        <w:rPr>
          <w:rStyle w:val="Hyperlink"/>
          <w:color w:val="0A0A0A"/>
          <w:u w:val="none"/>
          <w:shd w:val="clear" w:color="auto" w:fill="FFFFFF"/>
          <w:lang w:val="en-AU"/>
        </w:rPr>
        <w:t xml:space="preserve">. This </w:t>
      </w:r>
      <w:r w:rsidR="00451A6D" w:rsidRPr="00241B3B">
        <w:rPr>
          <w:rStyle w:val="Hyperlink"/>
          <w:color w:val="0A0A0A"/>
          <w:u w:val="none"/>
          <w:shd w:val="clear" w:color="auto" w:fill="FFFFFF"/>
          <w:lang w:val="en-AU"/>
        </w:rPr>
        <w:t xml:space="preserve">relates to the DRC’s </w:t>
      </w:r>
      <w:r w:rsidR="00E93DC3" w:rsidRPr="00241B3B">
        <w:rPr>
          <w:rStyle w:val="Hyperlink"/>
          <w:color w:val="0A0A0A"/>
          <w:u w:val="none"/>
          <w:shd w:val="clear" w:color="auto" w:fill="FFFFFF"/>
          <w:lang w:val="en-AU"/>
        </w:rPr>
        <w:t>Recommendation 7.41 (</w:t>
      </w:r>
      <w:r w:rsidR="000E5E46">
        <w:rPr>
          <w:rStyle w:val="Hyperlink"/>
          <w:color w:val="0A0A0A"/>
          <w:u w:val="none"/>
          <w:shd w:val="clear" w:color="auto" w:fill="FFFFFF"/>
          <w:lang w:val="en-AU"/>
        </w:rPr>
        <w:t>‘</w:t>
      </w:r>
      <w:r w:rsidR="00E93DC3" w:rsidRPr="00241B3B">
        <w:rPr>
          <w:rStyle w:val="Hyperlink"/>
          <w:color w:val="0A0A0A"/>
          <w:u w:val="none"/>
          <w:shd w:val="clear" w:color="auto" w:fill="FFFFFF"/>
          <w:lang w:val="en-AU"/>
        </w:rPr>
        <w:t>Group home reform</w:t>
      </w:r>
      <w:r w:rsidR="000E5E46">
        <w:rPr>
          <w:rStyle w:val="Hyperlink"/>
          <w:color w:val="0A0A0A"/>
          <w:u w:val="none"/>
          <w:shd w:val="clear" w:color="auto" w:fill="FFFFFF"/>
          <w:lang w:val="en-AU"/>
        </w:rPr>
        <w:t>’</w:t>
      </w:r>
      <w:r w:rsidR="00E93DC3" w:rsidRPr="00241B3B">
        <w:rPr>
          <w:rStyle w:val="Hyperlink"/>
          <w:color w:val="0A0A0A"/>
          <w:u w:val="none"/>
          <w:shd w:val="clear" w:color="auto" w:fill="FFFFFF"/>
          <w:lang w:val="en-AU"/>
        </w:rPr>
        <w:t>)</w:t>
      </w:r>
      <w:r w:rsidR="0012798D" w:rsidRPr="00241B3B">
        <w:rPr>
          <w:rStyle w:val="Hyperlink"/>
          <w:color w:val="0A0A0A"/>
          <w:u w:val="none"/>
          <w:shd w:val="clear" w:color="auto" w:fill="FFFFFF"/>
          <w:lang w:val="en-AU"/>
        </w:rPr>
        <w:t xml:space="preserve">, that the NDIS Quality and Safeguards Commission conducts </w:t>
      </w:r>
      <w:r w:rsidR="00672806" w:rsidRPr="00241B3B">
        <w:rPr>
          <w:rStyle w:val="Hyperlink"/>
          <w:color w:val="0A0A0A"/>
          <w:u w:val="none"/>
          <w:shd w:val="clear" w:color="auto" w:fill="FFFFFF"/>
          <w:lang w:val="en-AU"/>
        </w:rPr>
        <w:t>‘</w:t>
      </w:r>
      <w:r w:rsidR="0012798D" w:rsidRPr="00241B3B">
        <w:rPr>
          <w:rStyle w:val="Hyperlink"/>
          <w:color w:val="0A0A0A"/>
          <w:u w:val="none"/>
          <w:shd w:val="clear" w:color="auto" w:fill="FFFFFF"/>
          <w:lang w:val="en-AU"/>
        </w:rPr>
        <w:t>a specific review of mechanisms to transition away from allowing the same provider to provide Supported Independent Living and Specialist Disability Accommodation services, with interim arrangements to strengthen oversight to address and monitor conflicts of interest.</w:t>
      </w:r>
      <w:r w:rsidR="00672806" w:rsidRPr="00241B3B">
        <w:rPr>
          <w:rStyle w:val="Hyperlink"/>
          <w:color w:val="0A0A0A"/>
          <w:u w:val="none"/>
          <w:shd w:val="clear" w:color="auto" w:fill="FFFFFF"/>
          <w:lang w:val="en-AU"/>
        </w:rPr>
        <w:t>’</w:t>
      </w:r>
    </w:p>
    <w:p w14:paraId="31419B5A" w14:textId="77777777" w:rsidR="005C341E" w:rsidRPr="00241B3B" w:rsidRDefault="005C341E" w:rsidP="008A2313">
      <w:pPr>
        <w:pStyle w:val="Heading1"/>
      </w:pPr>
      <w:bookmarkStart w:id="122" w:name="_Toc147405538"/>
      <w:bookmarkStart w:id="123" w:name="_Toc147911761"/>
      <w:bookmarkStart w:id="124" w:name="_Toc148013342"/>
      <w:bookmarkStart w:id="125" w:name="_Toc148957824"/>
      <w:bookmarkEnd w:id="115"/>
      <w:r w:rsidRPr="00241B3B">
        <w:t>Congregate Housing Transition Plan</w:t>
      </w:r>
      <w:bookmarkEnd w:id="122"/>
      <w:bookmarkEnd w:id="123"/>
      <w:bookmarkEnd w:id="124"/>
      <w:bookmarkEnd w:id="125"/>
    </w:p>
    <w:p w14:paraId="5294F641" w14:textId="25266805" w:rsidR="00F16F22" w:rsidRPr="00241B3B" w:rsidRDefault="00F16F22" w:rsidP="00241B3B">
      <w:pPr>
        <w:pStyle w:val="BodyText"/>
        <w:rPr>
          <w:lang w:val="en-AU"/>
        </w:rPr>
      </w:pPr>
      <w:r w:rsidRPr="00241B3B">
        <w:rPr>
          <w:lang w:val="en-AU"/>
        </w:rPr>
        <w:t xml:space="preserve">As highlighted earlier, the Disability Royal Commission has established a clear correlation between living in </w:t>
      </w:r>
      <w:r w:rsidR="0035028A" w:rsidRPr="00241B3B">
        <w:rPr>
          <w:lang w:val="en-AU"/>
        </w:rPr>
        <w:t>congregate</w:t>
      </w:r>
      <w:r w:rsidRPr="00241B3B">
        <w:rPr>
          <w:lang w:val="en-AU"/>
        </w:rPr>
        <w:t xml:space="preserve"> settings including group homes, and</w:t>
      </w:r>
      <w:r w:rsidR="00DC6933" w:rsidRPr="00241B3B">
        <w:rPr>
          <w:lang w:val="en-AU"/>
        </w:rPr>
        <w:t xml:space="preserve"> the</w:t>
      </w:r>
      <w:r w:rsidRPr="00241B3B">
        <w:rPr>
          <w:lang w:val="en-AU"/>
        </w:rPr>
        <w:t xml:space="preserve"> increased incidences of violence, abuse, neglect and exploitation towards people with disability.</w:t>
      </w:r>
    </w:p>
    <w:p w14:paraId="37B80410" w14:textId="4AF0E1EE" w:rsidR="00F16F22" w:rsidRPr="00241B3B" w:rsidRDefault="00F16F22" w:rsidP="00241B3B">
      <w:pPr>
        <w:pStyle w:val="BodyText"/>
        <w:rPr>
          <w:lang w:val="en-AU"/>
        </w:rPr>
      </w:pPr>
      <w:r w:rsidRPr="00241B3B">
        <w:rPr>
          <w:lang w:val="en-AU"/>
        </w:rPr>
        <w:t xml:space="preserve">The prevention of violence, abuse, neglect and exploitation of people with disability in their living environment can be supported by enabling choice and control to live independently in the </w:t>
      </w:r>
      <w:r w:rsidR="002F6846" w:rsidRPr="00241B3B">
        <w:rPr>
          <w:lang w:val="en-AU"/>
        </w:rPr>
        <w:t>community</w:t>
      </w:r>
      <w:r w:rsidR="00637C4C" w:rsidRPr="00241B3B">
        <w:rPr>
          <w:lang w:val="en-AU"/>
        </w:rPr>
        <w:t xml:space="preserve"> </w:t>
      </w:r>
      <w:r w:rsidR="002F6846" w:rsidRPr="00241B3B">
        <w:rPr>
          <w:lang w:val="en-AU"/>
        </w:rPr>
        <w:t>and</w:t>
      </w:r>
      <w:r w:rsidRPr="00241B3B">
        <w:rPr>
          <w:lang w:val="en-AU"/>
        </w:rPr>
        <w:t xml:space="preserve"> enabling accessibility in a person’s living environment. </w:t>
      </w:r>
    </w:p>
    <w:p w14:paraId="2980BB98" w14:textId="76A60363" w:rsidR="00F16F22" w:rsidRPr="00241B3B" w:rsidRDefault="00F16F22" w:rsidP="00241B3B">
      <w:pPr>
        <w:pStyle w:val="BodyText"/>
        <w:rPr>
          <w:lang w:val="en-AU"/>
        </w:rPr>
      </w:pPr>
      <w:r w:rsidRPr="00241B3B">
        <w:rPr>
          <w:lang w:val="en-AU"/>
        </w:rPr>
        <w:t>The separation of disability supports from the provision of housing i</w:t>
      </w:r>
      <w:r w:rsidR="004D3E95" w:rsidRPr="00241B3B">
        <w:rPr>
          <w:lang w:val="en-AU"/>
        </w:rPr>
        <w:t>s</w:t>
      </w:r>
      <w:r w:rsidRPr="00241B3B">
        <w:rPr>
          <w:lang w:val="en-AU"/>
        </w:rPr>
        <w:t xml:space="preserve"> the key mechanism </w:t>
      </w:r>
      <w:r w:rsidR="004D3E95" w:rsidRPr="00241B3B">
        <w:rPr>
          <w:lang w:val="en-AU"/>
        </w:rPr>
        <w:t>that</w:t>
      </w:r>
      <w:r w:rsidRPr="00241B3B">
        <w:rPr>
          <w:lang w:val="en-AU"/>
        </w:rPr>
        <w:t xml:space="preserve"> can support this shift</w:t>
      </w:r>
      <w:r w:rsidR="00B0249A" w:rsidRPr="00241B3B">
        <w:rPr>
          <w:lang w:val="en-AU"/>
        </w:rPr>
        <w:t>,</w:t>
      </w:r>
      <w:r w:rsidR="006902E2" w:rsidRPr="00241B3B">
        <w:rPr>
          <w:lang w:val="en-AU"/>
        </w:rPr>
        <w:t xml:space="preserve"> alongside</w:t>
      </w:r>
      <w:r w:rsidR="00B0249A" w:rsidRPr="00241B3B">
        <w:rPr>
          <w:lang w:val="en-AU"/>
        </w:rPr>
        <w:t xml:space="preserve"> </w:t>
      </w:r>
      <w:r w:rsidR="006902E2" w:rsidRPr="00241B3B">
        <w:rPr>
          <w:lang w:val="en-AU"/>
        </w:rPr>
        <w:t xml:space="preserve">effective support for </w:t>
      </w:r>
      <w:r w:rsidR="00B0249A" w:rsidRPr="00241B3B">
        <w:rPr>
          <w:lang w:val="en-AU"/>
        </w:rPr>
        <w:t xml:space="preserve">home </w:t>
      </w:r>
      <w:r w:rsidRPr="00241B3B">
        <w:rPr>
          <w:lang w:val="en-AU"/>
        </w:rPr>
        <w:t xml:space="preserve">modifications </w:t>
      </w:r>
      <w:r w:rsidR="00F11610" w:rsidRPr="00241B3B">
        <w:rPr>
          <w:lang w:val="en-AU"/>
        </w:rPr>
        <w:t>so there is meaningful</w:t>
      </w:r>
      <w:r w:rsidRPr="00241B3B">
        <w:rPr>
          <w:lang w:val="en-AU"/>
        </w:rPr>
        <w:t xml:space="preserve"> choice of where, and with whom people with disability live.</w:t>
      </w:r>
      <w:r w:rsidR="006111BA" w:rsidRPr="00241B3B">
        <w:rPr>
          <w:lang w:val="en-AU"/>
        </w:rPr>
        <w:t xml:space="preserve"> </w:t>
      </w:r>
      <w:r w:rsidRPr="00241B3B">
        <w:rPr>
          <w:lang w:val="en-AU"/>
        </w:rPr>
        <w:t>This needs to be driven through a</w:t>
      </w:r>
      <w:r w:rsidRPr="00241B3B">
        <w:rPr>
          <w:b/>
          <w:bCs/>
          <w:lang w:val="en-AU"/>
        </w:rPr>
        <w:t xml:space="preserve"> </w:t>
      </w:r>
      <w:r w:rsidR="00A42EA2" w:rsidRPr="00241B3B">
        <w:rPr>
          <w:lang w:val="en-AU"/>
        </w:rPr>
        <w:t>Congregate Housing Transition Plan</w:t>
      </w:r>
      <w:r w:rsidRPr="00241B3B">
        <w:rPr>
          <w:b/>
          <w:bCs/>
          <w:lang w:val="en-AU"/>
        </w:rPr>
        <w:t>.</w:t>
      </w:r>
      <w:r w:rsidRPr="00241B3B">
        <w:rPr>
          <w:lang w:val="en-AU"/>
        </w:rPr>
        <w:t xml:space="preserve">  </w:t>
      </w:r>
    </w:p>
    <w:p w14:paraId="6644BE67" w14:textId="692C0486" w:rsidR="00F16F22" w:rsidRPr="00241B3B" w:rsidRDefault="00F16F22" w:rsidP="00241B3B">
      <w:pPr>
        <w:pStyle w:val="BodyText"/>
        <w:rPr>
          <w:lang w:val="en-AU"/>
        </w:rPr>
      </w:pPr>
      <w:r w:rsidRPr="00241B3B">
        <w:rPr>
          <w:lang w:val="en-AU"/>
        </w:rPr>
        <w:t xml:space="preserve">The effectiveness of a </w:t>
      </w:r>
      <w:r w:rsidR="001E1A31" w:rsidRPr="00241B3B">
        <w:rPr>
          <w:lang w:val="en-AU"/>
        </w:rPr>
        <w:t xml:space="preserve">Congregate Housing Transition Plan </w:t>
      </w:r>
      <w:r w:rsidRPr="00241B3B">
        <w:rPr>
          <w:lang w:val="en-AU"/>
        </w:rPr>
        <w:t>is contingent on meeting key priority areas</w:t>
      </w:r>
      <w:r w:rsidR="008E2D0E" w:rsidRPr="00241B3B">
        <w:rPr>
          <w:lang w:val="en-AU"/>
        </w:rPr>
        <w:t>,</w:t>
      </w:r>
      <w:r w:rsidRPr="00241B3B">
        <w:rPr>
          <w:lang w:val="en-AU"/>
        </w:rPr>
        <w:t xml:space="preserve"> which address the current issues of housing undersuppl</w:t>
      </w:r>
      <w:r w:rsidR="000C37EF" w:rsidRPr="00241B3B">
        <w:rPr>
          <w:lang w:val="en-AU"/>
        </w:rPr>
        <w:t xml:space="preserve">y </w:t>
      </w:r>
      <w:r w:rsidRPr="00241B3B">
        <w:rPr>
          <w:lang w:val="en-AU"/>
        </w:rPr>
        <w:t>and the lack of accessibility in legacy and future housing stock</w:t>
      </w:r>
      <w:r w:rsidR="000C37EF" w:rsidRPr="00241B3B">
        <w:rPr>
          <w:lang w:val="en-AU"/>
        </w:rPr>
        <w:t xml:space="preserve"> for people with disability.</w:t>
      </w:r>
    </w:p>
    <w:p w14:paraId="2EAD81CF" w14:textId="44F9238C" w:rsidR="00D27F89" w:rsidRPr="00241B3B" w:rsidRDefault="00F16F22" w:rsidP="00241B3B">
      <w:pPr>
        <w:pStyle w:val="BodyText"/>
        <w:rPr>
          <w:lang w:val="en-AU"/>
        </w:rPr>
      </w:pPr>
      <w:r w:rsidRPr="00241B3B">
        <w:rPr>
          <w:lang w:val="en-AU"/>
        </w:rPr>
        <w:t xml:space="preserve">Across all key priority areas, improved housing outcomes for people with disability </w:t>
      </w:r>
      <w:r w:rsidR="001E1A31" w:rsidRPr="00241B3B">
        <w:rPr>
          <w:lang w:val="en-AU"/>
        </w:rPr>
        <w:t>is</w:t>
      </w:r>
      <w:r w:rsidR="00E43297" w:rsidRPr="00241B3B">
        <w:rPr>
          <w:lang w:val="en-AU"/>
        </w:rPr>
        <w:t xml:space="preserve"> best </w:t>
      </w:r>
      <w:r w:rsidRPr="00241B3B">
        <w:rPr>
          <w:lang w:val="en-AU"/>
        </w:rPr>
        <w:t>supported through</w:t>
      </w:r>
      <w:r w:rsidR="001E1A31" w:rsidRPr="00241B3B">
        <w:rPr>
          <w:lang w:val="en-AU"/>
        </w:rPr>
        <w:t xml:space="preserve"> strong</w:t>
      </w:r>
      <w:r w:rsidR="008A4165" w:rsidRPr="00241B3B">
        <w:rPr>
          <w:lang w:val="en-AU"/>
        </w:rPr>
        <w:t xml:space="preserve">, </w:t>
      </w:r>
      <w:r w:rsidR="001E1A31" w:rsidRPr="00241B3B">
        <w:rPr>
          <w:lang w:val="en-AU"/>
        </w:rPr>
        <w:t>clear</w:t>
      </w:r>
      <w:r w:rsidRPr="00241B3B">
        <w:rPr>
          <w:lang w:val="en-AU"/>
        </w:rPr>
        <w:t xml:space="preserve"> direction and leadership</w:t>
      </w:r>
      <w:r w:rsidR="001E1A31" w:rsidRPr="00241B3B">
        <w:rPr>
          <w:lang w:val="en-AU"/>
        </w:rPr>
        <w:t>,</w:t>
      </w:r>
      <w:r w:rsidRPr="00241B3B">
        <w:rPr>
          <w:lang w:val="en-AU"/>
        </w:rPr>
        <w:t xml:space="preserve"> </w:t>
      </w:r>
      <w:r w:rsidR="007C1F1D" w:rsidRPr="00241B3B">
        <w:rPr>
          <w:lang w:val="en-AU"/>
        </w:rPr>
        <w:t>through</w:t>
      </w:r>
      <w:r w:rsidRPr="00241B3B">
        <w:rPr>
          <w:lang w:val="en-AU"/>
        </w:rPr>
        <w:t xml:space="preserve"> governance and </w:t>
      </w:r>
      <w:r w:rsidRPr="00241B3B">
        <w:rPr>
          <w:lang w:val="en-AU"/>
        </w:rPr>
        <w:lastRenderedPageBreak/>
        <w:t xml:space="preserve">leadership roles </w:t>
      </w:r>
      <w:r w:rsidR="009F6560" w:rsidRPr="00241B3B">
        <w:rPr>
          <w:lang w:val="en-AU"/>
        </w:rPr>
        <w:t xml:space="preserve">being </w:t>
      </w:r>
      <w:r w:rsidRPr="00241B3B">
        <w:rPr>
          <w:lang w:val="en-AU"/>
        </w:rPr>
        <w:t>held by people with disability</w:t>
      </w:r>
      <w:r w:rsidR="001E1A31" w:rsidRPr="00241B3B">
        <w:rPr>
          <w:lang w:val="en-AU"/>
        </w:rPr>
        <w:t>,</w:t>
      </w:r>
      <w:r w:rsidRPr="00241B3B">
        <w:rPr>
          <w:lang w:val="en-AU"/>
        </w:rPr>
        <w:t xml:space="preserve"> and people with expertise in </w:t>
      </w:r>
      <w:r w:rsidR="00D5234A" w:rsidRPr="00241B3B">
        <w:rPr>
          <w:lang w:val="en-AU"/>
        </w:rPr>
        <w:t>accessible housing that works for people with disability</w:t>
      </w:r>
      <w:r w:rsidR="00011007" w:rsidRPr="00241B3B">
        <w:rPr>
          <w:lang w:val="en-AU"/>
        </w:rPr>
        <w:t>.</w:t>
      </w:r>
    </w:p>
    <w:p w14:paraId="773D1934" w14:textId="6D11D476" w:rsidR="005C341E" w:rsidRPr="00241B3B" w:rsidRDefault="00F20C00" w:rsidP="00424471">
      <w:pPr>
        <w:pStyle w:val="Heading3"/>
        <w:spacing w:line="288" w:lineRule="auto"/>
      </w:pPr>
      <w:bookmarkStart w:id="126" w:name="_Toc147405539"/>
      <w:bookmarkStart w:id="127" w:name="_Toc147911762"/>
      <w:bookmarkStart w:id="128" w:name="_Toc148013343"/>
      <w:bookmarkStart w:id="129" w:name="_Toc148957825"/>
      <w:r w:rsidRPr="00241B3B">
        <w:t>P</w:t>
      </w:r>
      <w:r w:rsidR="005C341E" w:rsidRPr="00241B3B">
        <w:t>riority areas for the Congregate Housing Transition Plan</w:t>
      </w:r>
      <w:bookmarkEnd w:id="126"/>
      <w:bookmarkEnd w:id="127"/>
      <w:bookmarkEnd w:id="128"/>
      <w:bookmarkEnd w:id="129"/>
    </w:p>
    <w:p w14:paraId="7DFCE975" w14:textId="06F1F5E1" w:rsidR="005C341E" w:rsidRPr="00241B3B" w:rsidRDefault="005C341E" w:rsidP="00241B3B">
      <w:pPr>
        <w:pStyle w:val="BodyText"/>
        <w:rPr>
          <w:rFonts w:ascii="VAG Rounded" w:hAnsi="VAG Rounded" w:cs="Times New Roman"/>
          <w:b/>
          <w:color w:val="005496"/>
          <w:sz w:val="52"/>
          <w:szCs w:val="26"/>
          <w:lang w:val="en-AU"/>
        </w:rPr>
      </w:pPr>
      <w:r w:rsidRPr="00241B3B">
        <w:rPr>
          <w:lang w:val="en-AU"/>
        </w:rPr>
        <w:t>The following section will</w:t>
      </w:r>
      <w:r w:rsidR="00B31AF2" w:rsidRPr="00241B3B">
        <w:rPr>
          <w:lang w:val="en-AU"/>
        </w:rPr>
        <w:t xml:space="preserve"> outline the</w:t>
      </w:r>
      <w:r w:rsidR="0091540C" w:rsidRPr="00241B3B">
        <w:rPr>
          <w:lang w:val="en-AU"/>
        </w:rPr>
        <w:t xml:space="preserve"> </w:t>
      </w:r>
      <w:r w:rsidRPr="00241B3B">
        <w:rPr>
          <w:lang w:val="en-AU"/>
        </w:rPr>
        <w:t>six priority areas</w:t>
      </w:r>
      <w:r w:rsidR="0091540C" w:rsidRPr="00241B3B">
        <w:rPr>
          <w:lang w:val="en-AU"/>
        </w:rPr>
        <w:t xml:space="preserve"> PWDA </w:t>
      </w:r>
      <w:r w:rsidR="003D0F30" w:rsidRPr="00241B3B">
        <w:rPr>
          <w:lang w:val="en-AU"/>
        </w:rPr>
        <w:t>view</w:t>
      </w:r>
      <w:r w:rsidR="00695538" w:rsidRPr="00241B3B">
        <w:rPr>
          <w:lang w:val="en-AU"/>
        </w:rPr>
        <w:t>s</w:t>
      </w:r>
      <w:r w:rsidR="003D0F30" w:rsidRPr="00241B3B">
        <w:rPr>
          <w:lang w:val="en-AU"/>
        </w:rPr>
        <w:t xml:space="preserve"> as key</w:t>
      </w:r>
      <w:r w:rsidRPr="00241B3B">
        <w:rPr>
          <w:lang w:val="en-AU"/>
        </w:rPr>
        <w:t xml:space="preserve"> for the Congregate Housing Transition Plan</w:t>
      </w:r>
      <w:r w:rsidR="00BD6B19" w:rsidRPr="00241B3B">
        <w:rPr>
          <w:lang w:val="en-AU"/>
        </w:rPr>
        <w:t xml:space="preserve"> to be successful. </w:t>
      </w:r>
    </w:p>
    <w:p w14:paraId="78EFCBEC" w14:textId="5F31C4E6" w:rsidR="00BD57D6" w:rsidRPr="00241B3B" w:rsidRDefault="00BD57D6" w:rsidP="00424471">
      <w:pPr>
        <w:pStyle w:val="Heading4"/>
        <w:spacing w:line="288" w:lineRule="auto"/>
      </w:pPr>
      <w:r w:rsidRPr="00241B3B">
        <w:t>Priority Area 1: Transitioning out of congregate housing settings</w:t>
      </w:r>
    </w:p>
    <w:p w14:paraId="5D879473" w14:textId="6185108A" w:rsidR="007F3DCB" w:rsidRPr="00241B3B" w:rsidRDefault="00E954FC" w:rsidP="00241B3B">
      <w:pPr>
        <w:pStyle w:val="BodyText"/>
        <w:rPr>
          <w:lang w:val="en-AU"/>
        </w:rPr>
      </w:pPr>
      <w:r w:rsidRPr="00241B3B">
        <w:rPr>
          <w:lang w:val="en-AU"/>
        </w:rPr>
        <w:t>This priority area is addressed by</w:t>
      </w:r>
      <w:r w:rsidR="00BD57D6" w:rsidRPr="00241B3B">
        <w:rPr>
          <w:lang w:val="en-AU"/>
        </w:rPr>
        <w:t xml:space="preserve"> </w:t>
      </w:r>
      <w:r w:rsidR="002F6846" w:rsidRPr="00241B3B">
        <w:rPr>
          <w:lang w:val="en-AU"/>
        </w:rPr>
        <w:t xml:space="preserve">the </w:t>
      </w:r>
      <w:r w:rsidR="00C37C7C" w:rsidRPr="00241B3B">
        <w:rPr>
          <w:lang w:val="en-AU"/>
        </w:rPr>
        <w:t>Commonwealth</w:t>
      </w:r>
      <w:r w:rsidR="00BD57D6" w:rsidRPr="00241B3B">
        <w:rPr>
          <w:lang w:val="en-AU"/>
        </w:rPr>
        <w:t xml:space="preserve"> </w:t>
      </w:r>
      <w:r w:rsidR="008E74DA" w:rsidRPr="00241B3B">
        <w:rPr>
          <w:lang w:val="en-AU"/>
        </w:rPr>
        <w:t>Government</w:t>
      </w:r>
      <w:r w:rsidR="00BD57D6" w:rsidRPr="00241B3B">
        <w:rPr>
          <w:lang w:val="en-AU"/>
        </w:rPr>
        <w:t xml:space="preserve"> mandat</w:t>
      </w:r>
      <w:r w:rsidR="002F6846" w:rsidRPr="00241B3B">
        <w:rPr>
          <w:lang w:val="en-AU"/>
        </w:rPr>
        <w:t>ing</w:t>
      </w:r>
      <w:r w:rsidR="00BD57D6" w:rsidRPr="00241B3B">
        <w:rPr>
          <w:lang w:val="en-AU"/>
        </w:rPr>
        <w:t xml:space="preserve"> and report</w:t>
      </w:r>
      <w:r w:rsidR="002F6846" w:rsidRPr="00241B3B">
        <w:rPr>
          <w:lang w:val="en-AU"/>
        </w:rPr>
        <w:t>ing</w:t>
      </w:r>
      <w:r w:rsidR="00BD57D6" w:rsidRPr="00241B3B">
        <w:rPr>
          <w:lang w:val="en-AU"/>
        </w:rPr>
        <w:t xml:space="preserve"> against targets for closing all congregate housing and supporting</w:t>
      </w:r>
      <w:r w:rsidR="007F3DCB" w:rsidRPr="00241B3B">
        <w:rPr>
          <w:lang w:val="en-AU"/>
        </w:rPr>
        <w:t xml:space="preserve"> the</w:t>
      </w:r>
      <w:r w:rsidR="00414A35" w:rsidRPr="00241B3B">
        <w:rPr>
          <w:lang w:val="en-AU"/>
        </w:rPr>
        <w:t xml:space="preserve"> immediate</w:t>
      </w:r>
      <w:r w:rsidR="00BD57D6" w:rsidRPr="00241B3B">
        <w:rPr>
          <w:lang w:val="en-AU"/>
        </w:rPr>
        <w:t xml:space="preserve"> transition</w:t>
      </w:r>
      <w:r w:rsidR="007F3DCB" w:rsidRPr="00241B3B">
        <w:rPr>
          <w:lang w:val="en-AU"/>
        </w:rPr>
        <w:t xml:space="preserve"> of people with disability</w:t>
      </w:r>
      <w:r w:rsidR="00414A35" w:rsidRPr="00241B3B">
        <w:rPr>
          <w:lang w:val="en-AU"/>
        </w:rPr>
        <w:t xml:space="preserve"> away from congregate </w:t>
      </w:r>
      <w:r w:rsidR="00011007" w:rsidRPr="00241B3B">
        <w:rPr>
          <w:lang w:val="en-AU"/>
        </w:rPr>
        <w:t>living into</w:t>
      </w:r>
      <w:r w:rsidR="00BD57D6" w:rsidRPr="00241B3B">
        <w:rPr>
          <w:lang w:val="en-AU"/>
        </w:rPr>
        <w:t xml:space="preserve"> alternate housing </w:t>
      </w:r>
      <w:r w:rsidR="00011007" w:rsidRPr="00241B3B">
        <w:rPr>
          <w:lang w:val="en-AU"/>
        </w:rPr>
        <w:t>options, with</w:t>
      </w:r>
      <w:r w:rsidR="00BD57D6" w:rsidRPr="00241B3B">
        <w:rPr>
          <w:lang w:val="en-AU"/>
        </w:rPr>
        <w:t xml:space="preserve"> choice and control for alternate options provided to people with disability.</w:t>
      </w:r>
      <w:r w:rsidR="00D27F89" w:rsidRPr="00241B3B">
        <w:rPr>
          <w:lang w:val="en-AU"/>
        </w:rPr>
        <w:t xml:space="preserve"> </w:t>
      </w:r>
    </w:p>
    <w:p w14:paraId="47405EA8" w14:textId="18B70A81" w:rsidR="00672806" w:rsidRPr="00241B3B" w:rsidRDefault="00B31AF2" w:rsidP="00241B3B">
      <w:pPr>
        <w:pStyle w:val="BodyText"/>
        <w:rPr>
          <w:lang w:val="en-AU"/>
        </w:rPr>
      </w:pPr>
      <w:r w:rsidRPr="00241B3B">
        <w:rPr>
          <w:lang w:val="en-AU"/>
        </w:rPr>
        <w:t xml:space="preserve">Achieving this priority is consistent </w:t>
      </w:r>
      <w:r w:rsidR="009E731F" w:rsidRPr="00241B3B">
        <w:rPr>
          <w:lang w:val="en-AU"/>
        </w:rPr>
        <w:t xml:space="preserve">with </w:t>
      </w:r>
      <w:r w:rsidR="00BD57D6" w:rsidRPr="00241B3B">
        <w:rPr>
          <w:lang w:val="en-AU"/>
        </w:rPr>
        <w:t xml:space="preserve">the following recommendations of the Disability Royal Commission: Recommendation 7.41 </w:t>
      </w:r>
      <w:r w:rsidR="00907280" w:rsidRPr="00241B3B">
        <w:rPr>
          <w:lang w:val="en-AU"/>
        </w:rPr>
        <w:t>(</w:t>
      </w:r>
      <w:r w:rsidR="0031091D" w:rsidRPr="00241B3B">
        <w:rPr>
          <w:lang w:val="en-AU"/>
        </w:rPr>
        <w:t>‘</w:t>
      </w:r>
      <w:r w:rsidR="00BD57D6" w:rsidRPr="00241B3B">
        <w:rPr>
          <w:lang w:val="en-AU"/>
        </w:rPr>
        <w:t>Group home reform</w:t>
      </w:r>
      <w:r w:rsidR="0031091D" w:rsidRPr="00241B3B">
        <w:rPr>
          <w:lang w:val="en-AU"/>
        </w:rPr>
        <w:t>’</w:t>
      </w:r>
      <w:r w:rsidR="00907280" w:rsidRPr="00241B3B">
        <w:rPr>
          <w:lang w:val="en-AU"/>
        </w:rPr>
        <w:t>);</w:t>
      </w:r>
      <w:r w:rsidR="00BD57D6" w:rsidRPr="00241B3B">
        <w:rPr>
          <w:lang w:val="en-AU"/>
        </w:rPr>
        <w:t xml:space="preserve"> Recommendation 7.42 </w:t>
      </w:r>
      <w:r w:rsidR="00907280" w:rsidRPr="00241B3B">
        <w:rPr>
          <w:lang w:val="en-AU"/>
        </w:rPr>
        <w:t>(</w:t>
      </w:r>
      <w:r w:rsidR="0031091D" w:rsidRPr="00241B3B">
        <w:rPr>
          <w:lang w:val="en-AU"/>
        </w:rPr>
        <w:t>‘</w:t>
      </w:r>
      <w:r w:rsidR="00907280" w:rsidRPr="00241B3B">
        <w:rPr>
          <w:lang w:val="en-AU"/>
        </w:rPr>
        <w:t>I</w:t>
      </w:r>
      <w:r w:rsidR="00BD57D6" w:rsidRPr="00241B3B">
        <w:rPr>
          <w:lang w:val="en-AU"/>
        </w:rPr>
        <w:t>mprove access to alternative housing options</w:t>
      </w:r>
      <w:r w:rsidR="0031091D" w:rsidRPr="00241B3B">
        <w:rPr>
          <w:lang w:val="en-AU"/>
        </w:rPr>
        <w:t>’</w:t>
      </w:r>
      <w:r w:rsidR="00907280" w:rsidRPr="00241B3B">
        <w:rPr>
          <w:lang w:val="en-AU"/>
        </w:rPr>
        <w:t>)</w:t>
      </w:r>
      <w:r w:rsidR="00BD57D6" w:rsidRPr="00241B3B">
        <w:rPr>
          <w:lang w:val="en-AU"/>
        </w:rPr>
        <w:t>;</w:t>
      </w:r>
      <w:r w:rsidR="00907280" w:rsidRPr="00241B3B">
        <w:rPr>
          <w:lang w:val="en-AU"/>
        </w:rPr>
        <w:t xml:space="preserve"> </w:t>
      </w:r>
      <w:r w:rsidR="008E74DA" w:rsidRPr="00241B3B">
        <w:rPr>
          <w:lang w:val="en-AU"/>
        </w:rPr>
        <w:t>and Recommendation</w:t>
      </w:r>
      <w:r w:rsidR="00BD57D6" w:rsidRPr="00241B3B">
        <w:rPr>
          <w:lang w:val="en-AU"/>
        </w:rPr>
        <w:t xml:space="preserve"> 7.43 </w:t>
      </w:r>
      <w:r w:rsidR="00907280" w:rsidRPr="00241B3B">
        <w:rPr>
          <w:lang w:val="en-AU"/>
        </w:rPr>
        <w:t>(</w:t>
      </w:r>
      <w:r w:rsidR="0031091D" w:rsidRPr="00241B3B">
        <w:rPr>
          <w:lang w:val="en-AU"/>
        </w:rPr>
        <w:t>‘</w:t>
      </w:r>
      <w:r w:rsidR="00BD57D6" w:rsidRPr="00241B3B">
        <w:rPr>
          <w:lang w:val="en-AU"/>
        </w:rPr>
        <w:t>A roadmap to phase out group homes within 15 years</w:t>
      </w:r>
      <w:r w:rsidR="0031091D" w:rsidRPr="00241B3B">
        <w:rPr>
          <w:lang w:val="en-AU"/>
        </w:rPr>
        <w:t>’</w:t>
      </w:r>
      <w:r w:rsidR="00907280" w:rsidRPr="00241B3B">
        <w:rPr>
          <w:lang w:val="en-AU"/>
        </w:rPr>
        <w:t>)</w:t>
      </w:r>
      <w:r w:rsidR="00BD57D6" w:rsidRPr="00241B3B">
        <w:rPr>
          <w:lang w:val="en-AU"/>
        </w:rPr>
        <w:t>.</w:t>
      </w:r>
      <w:r w:rsidR="00D27F89" w:rsidRPr="00241B3B">
        <w:rPr>
          <w:lang w:val="en-AU"/>
        </w:rPr>
        <w:t xml:space="preserve">  </w:t>
      </w:r>
    </w:p>
    <w:p w14:paraId="05DD68CC" w14:textId="6E78DC09" w:rsidR="002145E5" w:rsidRPr="00241B3B" w:rsidRDefault="002145E5" w:rsidP="00241B3B">
      <w:pPr>
        <w:pStyle w:val="BodyText"/>
        <w:rPr>
          <w:lang w:val="en-AU"/>
        </w:rPr>
      </w:pPr>
      <w:r w:rsidRPr="00241B3B">
        <w:rPr>
          <w:lang w:val="en-AU"/>
        </w:rPr>
        <w:t>Additionally, the milestones within these</w:t>
      </w:r>
      <w:r w:rsidR="0035429B" w:rsidRPr="00241B3B">
        <w:rPr>
          <w:lang w:val="en-AU"/>
        </w:rPr>
        <w:t xml:space="preserve"> DRC</w:t>
      </w:r>
      <w:r w:rsidRPr="00241B3B">
        <w:rPr>
          <w:lang w:val="en-AU"/>
        </w:rPr>
        <w:t xml:space="preserve"> recommendations</w:t>
      </w:r>
      <w:r w:rsidR="00B34554" w:rsidRPr="00241B3B">
        <w:rPr>
          <w:lang w:val="en-AU"/>
        </w:rPr>
        <w:t xml:space="preserve"> that</w:t>
      </w:r>
      <w:r w:rsidR="00672806" w:rsidRPr="00241B3B">
        <w:rPr>
          <w:lang w:val="en-AU"/>
        </w:rPr>
        <w:t xml:space="preserve"> </w:t>
      </w:r>
      <w:r w:rsidRPr="00241B3B">
        <w:rPr>
          <w:lang w:val="en-AU"/>
        </w:rPr>
        <w:t xml:space="preserve">must be </w:t>
      </w:r>
      <w:r w:rsidR="00CA403F" w:rsidRPr="00241B3B">
        <w:rPr>
          <w:lang w:val="en-AU"/>
        </w:rPr>
        <w:t>met are</w:t>
      </w:r>
      <w:r w:rsidRPr="00241B3B">
        <w:rPr>
          <w:lang w:val="en-AU"/>
        </w:rPr>
        <w:t xml:space="preserve">: </w:t>
      </w:r>
    </w:p>
    <w:p w14:paraId="08C4B0DB" w14:textId="5D7AE13A" w:rsidR="002145E5" w:rsidRPr="00241B3B" w:rsidRDefault="002145E5" w:rsidP="00241B3B">
      <w:pPr>
        <w:pStyle w:val="BodyText"/>
        <w:numPr>
          <w:ilvl w:val="0"/>
          <w:numId w:val="41"/>
        </w:numPr>
        <w:rPr>
          <w:rStyle w:val="Hyperlink"/>
          <w:color w:val="0A0A0A"/>
          <w:u w:val="none"/>
          <w:shd w:val="clear" w:color="auto" w:fill="FFFFFF"/>
          <w:lang w:val="en-AU"/>
        </w:rPr>
      </w:pPr>
      <w:r w:rsidRPr="00241B3B">
        <w:rPr>
          <w:rStyle w:val="Hyperlink"/>
          <w:color w:val="0A0A0A"/>
          <w:u w:val="none"/>
          <w:shd w:val="clear" w:color="auto" w:fill="FFFFFF"/>
          <w:lang w:val="en-AU"/>
        </w:rPr>
        <w:t xml:space="preserve">ceasing construction of any new group homes (within the next two years) </w:t>
      </w:r>
    </w:p>
    <w:p w14:paraId="7CC182E5" w14:textId="5A148DB5" w:rsidR="002145E5" w:rsidRPr="00241B3B" w:rsidRDefault="002145E5" w:rsidP="00241B3B">
      <w:pPr>
        <w:pStyle w:val="ListBullet"/>
        <w:rPr>
          <w:rStyle w:val="Hyperlink"/>
          <w:color w:val="0A0A0A"/>
          <w:u w:val="none"/>
          <w:lang w:val="en-AU"/>
        </w:rPr>
      </w:pPr>
      <w:r w:rsidRPr="00241B3B">
        <w:rPr>
          <w:lang w:val="en-AU"/>
        </w:rPr>
        <w:t>ceasing</w:t>
      </w:r>
      <w:r w:rsidRPr="00241B3B">
        <w:rPr>
          <w:rStyle w:val="Hyperlink"/>
          <w:color w:val="0A0A0A"/>
          <w:u w:val="none"/>
          <w:lang w:val="en-AU"/>
        </w:rPr>
        <w:t xml:space="preserve"> placement of new residents in group homes (within five years)</w:t>
      </w:r>
    </w:p>
    <w:p w14:paraId="3968B6A5" w14:textId="7FFCCAB9" w:rsidR="00800073" w:rsidRPr="00241B3B" w:rsidRDefault="002145E5" w:rsidP="00241B3B">
      <w:pPr>
        <w:pStyle w:val="BodyText"/>
        <w:numPr>
          <w:ilvl w:val="0"/>
          <w:numId w:val="41"/>
        </w:numPr>
        <w:rPr>
          <w:color w:val="0A0A0A"/>
          <w:shd w:val="clear" w:color="auto" w:fill="FFFFFF"/>
          <w:lang w:val="en-AU"/>
        </w:rPr>
      </w:pPr>
      <w:r w:rsidRPr="00241B3B">
        <w:rPr>
          <w:rStyle w:val="Hyperlink"/>
          <w:color w:val="0A0A0A"/>
          <w:u w:val="none"/>
          <w:shd w:val="clear" w:color="auto" w:fill="FFFFFF"/>
          <w:lang w:val="en-AU"/>
        </w:rPr>
        <w:t>completing transition of those residents who wish to move from group homes to alternative housing options (within 15 years</w:t>
      </w:r>
      <w:r w:rsidR="00163143" w:rsidRPr="00241B3B">
        <w:rPr>
          <w:rStyle w:val="Hyperlink"/>
          <w:color w:val="0A0A0A"/>
          <w:u w:val="none"/>
          <w:shd w:val="clear" w:color="auto" w:fill="FFFFFF"/>
          <w:lang w:val="en-AU"/>
        </w:rPr>
        <w:t>, ideally beginning immediately</w:t>
      </w:r>
      <w:r w:rsidR="00C237AF" w:rsidRPr="00241B3B">
        <w:rPr>
          <w:rStyle w:val="Hyperlink"/>
          <w:color w:val="0A0A0A"/>
          <w:u w:val="none"/>
          <w:shd w:val="clear" w:color="auto" w:fill="FFFFFF"/>
          <w:lang w:val="en-AU"/>
        </w:rPr>
        <w:t>).</w:t>
      </w:r>
    </w:p>
    <w:p w14:paraId="6207F151" w14:textId="6FFC9765" w:rsidR="003D38CD" w:rsidRPr="00241B3B" w:rsidRDefault="003D38CD" w:rsidP="00241B3B">
      <w:pPr>
        <w:pStyle w:val="BodyText"/>
        <w:rPr>
          <w:lang w:val="en-AU"/>
        </w:rPr>
      </w:pPr>
      <w:r w:rsidRPr="00241B3B">
        <w:rPr>
          <w:lang w:val="en-AU"/>
        </w:rPr>
        <w:t xml:space="preserve">PWDA firmly asserts that </w:t>
      </w:r>
      <w:r w:rsidR="003447E0" w:rsidRPr="00241B3B">
        <w:rPr>
          <w:lang w:val="en-AU"/>
        </w:rPr>
        <w:t>the</w:t>
      </w:r>
      <w:r w:rsidR="007B3107" w:rsidRPr="00241B3B">
        <w:rPr>
          <w:lang w:val="en-AU"/>
        </w:rPr>
        <w:t xml:space="preserve"> timelines</w:t>
      </w:r>
      <w:r w:rsidR="00BE63E0" w:rsidRPr="00241B3B">
        <w:rPr>
          <w:lang w:val="en-AU"/>
        </w:rPr>
        <w:t xml:space="preserve"> above</w:t>
      </w:r>
      <w:r w:rsidR="007B3107" w:rsidRPr="00241B3B">
        <w:rPr>
          <w:lang w:val="en-AU"/>
        </w:rPr>
        <w:t xml:space="preserve"> should be viewed as </w:t>
      </w:r>
      <w:r w:rsidR="00742EB4" w:rsidRPr="00241B3B">
        <w:rPr>
          <w:lang w:val="en-AU"/>
        </w:rPr>
        <w:t>worst case scenario</w:t>
      </w:r>
      <w:r w:rsidR="007C7302" w:rsidRPr="00241B3B">
        <w:rPr>
          <w:lang w:val="en-AU"/>
        </w:rPr>
        <w:t xml:space="preserve">s </w:t>
      </w:r>
      <w:r w:rsidR="00F76F5B" w:rsidRPr="00241B3B">
        <w:rPr>
          <w:lang w:val="en-AU"/>
        </w:rPr>
        <w:t>that must not be exceeded</w:t>
      </w:r>
      <w:r w:rsidR="000B1802" w:rsidRPr="00241B3B">
        <w:rPr>
          <w:lang w:val="en-AU"/>
        </w:rPr>
        <w:t>,</w:t>
      </w:r>
      <w:r w:rsidR="004D4221" w:rsidRPr="00241B3B">
        <w:rPr>
          <w:lang w:val="en-AU"/>
        </w:rPr>
        <w:t xml:space="preserve"> </w:t>
      </w:r>
      <w:r w:rsidR="007C7302" w:rsidRPr="00241B3B">
        <w:rPr>
          <w:lang w:val="en-AU"/>
        </w:rPr>
        <w:t xml:space="preserve">that work to meet these </w:t>
      </w:r>
      <w:r w:rsidR="00BA296E" w:rsidRPr="00241B3B">
        <w:rPr>
          <w:lang w:val="en-AU"/>
        </w:rPr>
        <w:t>milestones should begin immediately</w:t>
      </w:r>
      <w:r w:rsidR="006A423A" w:rsidRPr="00241B3B">
        <w:rPr>
          <w:lang w:val="en-AU"/>
        </w:rPr>
        <w:t xml:space="preserve"> </w:t>
      </w:r>
      <w:r w:rsidR="004D4221" w:rsidRPr="00241B3B">
        <w:rPr>
          <w:lang w:val="en-AU"/>
        </w:rPr>
        <w:t xml:space="preserve">and </w:t>
      </w:r>
      <w:r w:rsidR="006A423A" w:rsidRPr="00241B3B">
        <w:rPr>
          <w:lang w:val="en-AU"/>
        </w:rPr>
        <w:t xml:space="preserve">year on year </w:t>
      </w:r>
      <w:r w:rsidR="00EB2730" w:rsidRPr="00241B3B">
        <w:rPr>
          <w:lang w:val="en-AU"/>
        </w:rPr>
        <w:t>deli</w:t>
      </w:r>
      <w:r w:rsidR="00DB1E51" w:rsidRPr="00241B3B">
        <w:rPr>
          <w:lang w:val="en-AU"/>
        </w:rPr>
        <w:t xml:space="preserve">verables are </w:t>
      </w:r>
      <w:r w:rsidR="004D4221" w:rsidRPr="00241B3B">
        <w:rPr>
          <w:lang w:val="en-AU"/>
        </w:rPr>
        <w:t>required</w:t>
      </w:r>
      <w:r w:rsidR="00DB1E51" w:rsidRPr="00241B3B">
        <w:rPr>
          <w:lang w:val="en-AU"/>
        </w:rPr>
        <w:t xml:space="preserve"> up to the point of completion</w:t>
      </w:r>
      <w:r w:rsidR="006A423A" w:rsidRPr="00241B3B">
        <w:rPr>
          <w:lang w:val="en-AU"/>
        </w:rPr>
        <w:t>.</w:t>
      </w:r>
    </w:p>
    <w:p w14:paraId="450093B8" w14:textId="3F5BC626" w:rsidR="00EC5DFD" w:rsidRPr="00241B3B" w:rsidRDefault="005C341E" w:rsidP="00424471">
      <w:pPr>
        <w:pStyle w:val="Heading4"/>
        <w:spacing w:line="288" w:lineRule="auto"/>
      </w:pPr>
      <w:r w:rsidRPr="00241B3B">
        <w:t xml:space="preserve">Priority </w:t>
      </w:r>
      <w:r w:rsidR="00EC5DFD" w:rsidRPr="00241B3B">
        <w:t>A</w:t>
      </w:r>
      <w:r w:rsidRPr="00241B3B">
        <w:t xml:space="preserve">rea </w:t>
      </w:r>
      <w:r w:rsidR="00BD57D6" w:rsidRPr="00241B3B">
        <w:t>2</w:t>
      </w:r>
      <w:r w:rsidR="0068286E" w:rsidRPr="00241B3B">
        <w:t xml:space="preserve">: </w:t>
      </w:r>
      <w:r w:rsidR="00327151" w:rsidRPr="00241B3B">
        <w:t>Ensuring minimum accessibility standards</w:t>
      </w:r>
    </w:p>
    <w:p w14:paraId="1F0295CB" w14:textId="697BF1E8" w:rsidR="00D26198" w:rsidRPr="00241B3B" w:rsidRDefault="005C341E" w:rsidP="00241B3B">
      <w:pPr>
        <w:pStyle w:val="BodyText"/>
        <w:rPr>
          <w:lang w:val="en-AU"/>
        </w:rPr>
      </w:pPr>
      <w:r w:rsidRPr="00241B3B">
        <w:rPr>
          <w:lang w:val="en-AU"/>
        </w:rPr>
        <w:t xml:space="preserve">In addition to meeting </w:t>
      </w:r>
      <w:r w:rsidR="0055221E" w:rsidRPr="00241B3B">
        <w:rPr>
          <w:lang w:val="en-AU"/>
        </w:rPr>
        <w:t>O</w:t>
      </w:r>
      <w:r w:rsidRPr="00241B3B">
        <w:rPr>
          <w:lang w:val="en-AU"/>
        </w:rPr>
        <w:t xml:space="preserve">utcome 1 under the </w:t>
      </w:r>
      <w:r w:rsidR="00EC5DFD" w:rsidRPr="00241B3B">
        <w:rPr>
          <w:lang w:val="en-AU"/>
        </w:rPr>
        <w:t xml:space="preserve">below </w:t>
      </w:r>
      <w:r w:rsidR="008721C0" w:rsidRPr="00241B3B">
        <w:rPr>
          <w:lang w:val="en-AU"/>
        </w:rPr>
        <w:t xml:space="preserve">Targeted </w:t>
      </w:r>
      <w:r w:rsidR="00D07855" w:rsidRPr="00241B3B">
        <w:rPr>
          <w:lang w:val="en-AU"/>
        </w:rPr>
        <w:t xml:space="preserve">Housing </w:t>
      </w:r>
      <w:r w:rsidR="008721C0" w:rsidRPr="00241B3B">
        <w:rPr>
          <w:lang w:val="en-AU"/>
        </w:rPr>
        <w:t>Action Plan</w:t>
      </w:r>
      <w:r w:rsidR="00D07855" w:rsidRPr="00241B3B">
        <w:rPr>
          <w:lang w:val="en-AU"/>
        </w:rPr>
        <w:t xml:space="preserve"> for People with Disability</w:t>
      </w:r>
      <w:r w:rsidRPr="00241B3B">
        <w:rPr>
          <w:lang w:val="en-AU"/>
        </w:rPr>
        <w:t xml:space="preserve">, </w:t>
      </w:r>
      <w:r w:rsidR="002F6846" w:rsidRPr="00241B3B">
        <w:rPr>
          <w:lang w:val="en-AU"/>
        </w:rPr>
        <w:t>P</w:t>
      </w:r>
      <w:r w:rsidR="00E954FC" w:rsidRPr="00241B3B">
        <w:rPr>
          <w:lang w:val="en-AU"/>
        </w:rPr>
        <w:t xml:space="preserve">riority </w:t>
      </w:r>
      <w:r w:rsidR="002F6846" w:rsidRPr="00241B3B">
        <w:rPr>
          <w:lang w:val="en-AU"/>
        </w:rPr>
        <w:t>A</w:t>
      </w:r>
      <w:r w:rsidR="00E954FC" w:rsidRPr="00241B3B">
        <w:rPr>
          <w:lang w:val="en-AU"/>
        </w:rPr>
        <w:t xml:space="preserve">rea 2 is addressed </w:t>
      </w:r>
      <w:r w:rsidR="00F1658A" w:rsidRPr="00241B3B">
        <w:rPr>
          <w:lang w:val="en-AU"/>
        </w:rPr>
        <w:t>by</w:t>
      </w:r>
      <w:r w:rsidR="00E954FC" w:rsidRPr="00241B3B">
        <w:rPr>
          <w:lang w:val="en-AU"/>
        </w:rPr>
        <w:t xml:space="preserve"> </w:t>
      </w:r>
      <w:r w:rsidRPr="00241B3B">
        <w:rPr>
          <w:lang w:val="en-AU"/>
        </w:rPr>
        <w:t xml:space="preserve">the </w:t>
      </w:r>
      <w:r w:rsidR="00C37C7C" w:rsidRPr="00241B3B">
        <w:rPr>
          <w:lang w:val="en-AU"/>
        </w:rPr>
        <w:t>Commonwealth</w:t>
      </w:r>
      <w:r w:rsidRPr="00241B3B">
        <w:rPr>
          <w:lang w:val="en-AU"/>
        </w:rPr>
        <w:t xml:space="preserve"> </w:t>
      </w:r>
      <w:r w:rsidR="008E74DA" w:rsidRPr="00241B3B">
        <w:rPr>
          <w:lang w:val="en-AU"/>
        </w:rPr>
        <w:t>Government</w:t>
      </w:r>
      <w:r w:rsidR="006C44A5" w:rsidRPr="00241B3B">
        <w:rPr>
          <w:lang w:val="en-AU"/>
        </w:rPr>
        <w:t xml:space="preserve"> </w:t>
      </w:r>
      <w:r w:rsidR="007D2E0A" w:rsidRPr="00241B3B">
        <w:rPr>
          <w:lang w:val="en-AU"/>
        </w:rPr>
        <w:t>mandat</w:t>
      </w:r>
      <w:r w:rsidR="00F1658A" w:rsidRPr="00241B3B">
        <w:rPr>
          <w:lang w:val="en-AU"/>
        </w:rPr>
        <w:t xml:space="preserve">ing that </w:t>
      </w:r>
      <w:r w:rsidRPr="00241B3B">
        <w:rPr>
          <w:lang w:val="en-AU"/>
        </w:rPr>
        <w:t xml:space="preserve">any investment provided to states and territories </w:t>
      </w:r>
      <w:r w:rsidR="00E273B4" w:rsidRPr="00241B3B">
        <w:rPr>
          <w:lang w:val="en-AU"/>
        </w:rPr>
        <w:t>outlined in the</w:t>
      </w:r>
      <w:r w:rsidR="00AE271F" w:rsidRPr="00241B3B">
        <w:rPr>
          <w:lang w:val="en-AU"/>
        </w:rPr>
        <w:t xml:space="preserve"> NHHP</w:t>
      </w:r>
      <w:r w:rsidR="00D26198" w:rsidRPr="00241B3B">
        <w:rPr>
          <w:lang w:val="en-AU"/>
        </w:rPr>
        <w:t>,</w:t>
      </w:r>
      <w:r w:rsidRPr="00241B3B">
        <w:rPr>
          <w:lang w:val="en-AU"/>
        </w:rPr>
        <w:t xml:space="preserve"> must be contingent on states and territories meeting Livable Housing Design </w:t>
      </w:r>
      <w:r w:rsidR="00DF2157" w:rsidRPr="00241B3B">
        <w:rPr>
          <w:lang w:val="en-AU"/>
        </w:rPr>
        <w:t>Guidelines</w:t>
      </w:r>
      <w:r w:rsidR="00914DD2" w:rsidRPr="00241B3B">
        <w:rPr>
          <w:lang w:val="en-AU"/>
        </w:rPr>
        <w:t xml:space="preserve"> minimum accessibility standards</w:t>
      </w:r>
      <w:r w:rsidRPr="00241B3B">
        <w:rPr>
          <w:lang w:val="en-AU"/>
        </w:rPr>
        <w:t xml:space="preserve"> </w:t>
      </w:r>
      <w:r w:rsidR="00011007" w:rsidRPr="00241B3B">
        <w:rPr>
          <w:lang w:val="en-AU"/>
        </w:rPr>
        <w:t xml:space="preserve">in the </w:t>
      </w:r>
      <w:r w:rsidRPr="00241B3B">
        <w:rPr>
          <w:lang w:val="en-AU"/>
        </w:rPr>
        <w:t>National Construction Code (NCC)</w:t>
      </w:r>
      <w:r w:rsidR="002A063F" w:rsidRPr="00241B3B">
        <w:rPr>
          <w:lang w:val="en-AU"/>
        </w:rPr>
        <w:t xml:space="preserve">. This measure must be met </w:t>
      </w:r>
      <w:r w:rsidR="009B1BF2" w:rsidRPr="00241B3B">
        <w:rPr>
          <w:lang w:val="en-AU"/>
        </w:rPr>
        <w:t>whil</w:t>
      </w:r>
      <w:r w:rsidR="00ED78FA" w:rsidRPr="00241B3B">
        <w:rPr>
          <w:lang w:val="en-AU"/>
        </w:rPr>
        <w:t>e</w:t>
      </w:r>
      <w:r w:rsidR="009B1BF2" w:rsidRPr="00241B3B">
        <w:rPr>
          <w:lang w:val="en-AU"/>
        </w:rPr>
        <w:t xml:space="preserve"> </w:t>
      </w:r>
      <w:r w:rsidR="00011007" w:rsidRPr="00241B3B">
        <w:rPr>
          <w:lang w:val="en-AU"/>
        </w:rPr>
        <w:t>ensuring that a quota of</w:t>
      </w:r>
      <w:r w:rsidR="00274293" w:rsidRPr="00241B3B">
        <w:rPr>
          <w:lang w:val="en-AU"/>
        </w:rPr>
        <w:t xml:space="preserve"> accessible housing</w:t>
      </w:r>
      <w:r w:rsidR="00011007" w:rsidRPr="00241B3B">
        <w:rPr>
          <w:lang w:val="en-AU"/>
        </w:rPr>
        <w:t xml:space="preserve"> stock </w:t>
      </w:r>
      <w:r w:rsidR="00274293" w:rsidRPr="00241B3B">
        <w:rPr>
          <w:lang w:val="en-AU"/>
        </w:rPr>
        <w:t xml:space="preserve">is adaptable </w:t>
      </w:r>
      <w:r w:rsidR="00011007" w:rsidRPr="00241B3B">
        <w:rPr>
          <w:lang w:val="en-AU"/>
        </w:rPr>
        <w:t>for complex needs</w:t>
      </w:r>
      <w:r w:rsidR="009B1BF2" w:rsidRPr="00241B3B">
        <w:rPr>
          <w:lang w:val="en-AU"/>
        </w:rPr>
        <w:t>.</w:t>
      </w:r>
    </w:p>
    <w:p w14:paraId="4D057502" w14:textId="77777777" w:rsidR="00D26198" w:rsidRPr="00241B3B" w:rsidRDefault="00D26198" w:rsidP="00424471">
      <w:pPr>
        <w:tabs>
          <w:tab w:val="left" w:pos="1134"/>
        </w:tabs>
        <w:spacing w:before="0" w:after="0" w:line="288" w:lineRule="auto"/>
        <w:rPr>
          <w:rFonts w:cstheme="minorHAnsi"/>
        </w:rPr>
      </w:pPr>
    </w:p>
    <w:p w14:paraId="751BEC1F" w14:textId="13EB08C9" w:rsidR="005C341E" w:rsidRPr="00241B3B" w:rsidRDefault="00D26198" w:rsidP="00241B3B">
      <w:pPr>
        <w:pStyle w:val="BodyText"/>
        <w:rPr>
          <w:b/>
          <w:bCs/>
          <w:lang w:val="en-AU"/>
        </w:rPr>
      </w:pPr>
      <w:r w:rsidRPr="00241B3B">
        <w:rPr>
          <w:lang w:val="en-AU"/>
        </w:rPr>
        <w:t>This is consistent with</w:t>
      </w:r>
      <w:r w:rsidR="005C341E" w:rsidRPr="00241B3B">
        <w:rPr>
          <w:lang w:val="en-AU"/>
        </w:rPr>
        <w:t xml:space="preserve"> Recommendation 7.35 </w:t>
      </w:r>
      <w:r w:rsidRPr="00241B3B">
        <w:rPr>
          <w:lang w:val="en-AU"/>
        </w:rPr>
        <w:t>(</w:t>
      </w:r>
      <w:r w:rsidR="000E5E46">
        <w:rPr>
          <w:lang w:val="en-AU"/>
        </w:rPr>
        <w:t>‘</w:t>
      </w:r>
      <w:r w:rsidR="005C341E" w:rsidRPr="00241B3B">
        <w:rPr>
          <w:lang w:val="en-AU"/>
        </w:rPr>
        <w:t>Increase the availability and supply of accessible and adaptive housing for people with disability through the National Construction Code</w:t>
      </w:r>
      <w:r w:rsidR="000E5E46">
        <w:rPr>
          <w:lang w:val="en-AU"/>
        </w:rPr>
        <w:t>’</w:t>
      </w:r>
      <w:r w:rsidR="007D2E0A" w:rsidRPr="00241B3B">
        <w:rPr>
          <w:lang w:val="en-AU"/>
        </w:rPr>
        <w:t>)</w:t>
      </w:r>
      <w:r w:rsidR="005C341E" w:rsidRPr="00241B3B">
        <w:rPr>
          <w:lang w:val="en-AU"/>
        </w:rPr>
        <w:t xml:space="preserve"> in the Disability Royal Commission</w:t>
      </w:r>
      <w:r w:rsidR="008A1F2D" w:rsidRPr="00241B3B">
        <w:rPr>
          <w:lang w:val="en-AU"/>
        </w:rPr>
        <w:t xml:space="preserve"> </w:t>
      </w:r>
      <w:r w:rsidR="005C341E" w:rsidRPr="00241B3B">
        <w:rPr>
          <w:lang w:val="en-AU"/>
        </w:rPr>
        <w:t xml:space="preserve">Final Report. </w:t>
      </w:r>
    </w:p>
    <w:p w14:paraId="5FDEA39A" w14:textId="63732B6C" w:rsidR="00F20C00" w:rsidRPr="00241B3B" w:rsidRDefault="005C341E" w:rsidP="00AE271F">
      <w:pPr>
        <w:pStyle w:val="Heading4"/>
        <w:spacing w:line="240" w:lineRule="auto"/>
      </w:pPr>
      <w:r w:rsidRPr="00241B3B">
        <w:t xml:space="preserve">Priority </w:t>
      </w:r>
      <w:r w:rsidR="00F20C00" w:rsidRPr="00241B3B">
        <w:t>A</w:t>
      </w:r>
      <w:r w:rsidRPr="00241B3B">
        <w:t>rea 3</w:t>
      </w:r>
      <w:r w:rsidR="00327151" w:rsidRPr="00241B3B">
        <w:t>: Mandating the separation of housing from disability supports in the NDIS</w:t>
      </w:r>
    </w:p>
    <w:p w14:paraId="785FE90B" w14:textId="2926387B" w:rsidR="005C341E" w:rsidRPr="00241B3B" w:rsidRDefault="00373A0D" w:rsidP="00241B3B">
      <w:pPr>
        <w:pStyle w:val="BodyText"/>
        <w:rPr>
          <w:lang w:val="en-AU"/>
        </w:rPr>
      </w:pPr>
      <w:r w:rsidRPr="00241B3B">
        <w:rPr>
          <w:lang w:val="en-AU"/>
        </w:rPr>
        <w:t xml:space="preserve">Priority </w:t>
      </w:r>
      <w:r w:rsidR="00CD160F" w:rsidRPr="00241B3B">
        <w:rPr>
          <w:lang w:val="en-AU"/>
        </w:rPr>
        <w:t>A</w:t>
      </w:r>
      <w:r w:rsidRPr="00241B3B">
        <w:rPr>
          <w:lang w:val="en-AU"/>
        </w:rPr>
        <w:t xml:space="preserve">rea 3 is addressed by the </w:t>
      </w:r>
      <w:r w:rsidR="005C341E" w:rsidRPr="00241B3B">
        <w:rPr>
          <w:lang w:val="en-AU"/>
        </w:rPr>
        <w:t>NDIA</w:t>
      </w:r>
      <w:r w:rsidR="00750B6A" w:rsidRPr="00241B3B">
        <w:rPr>
          <w:lang w:val="en-AU"/>
        </w:rPr>
        <w:t>,</w:t>
      </w:r>
      <w:r w:rsidR="005C341E" w:rsidRPr="00241B3B">
        <w:rPr>
          <w:lang w:val="en-AU"/>
        </w:rPr>
        <w:t xml:space="preserve"> through the</w:t>
      </w:r>
      <w:r w:rsidR="00AE271F" w:rsidRPr="00241B3B">
        <w:rPr>
          <w:lang w:val="en-AU"/>
        </w:rPr>
        <w:t xml:space="preserve"> soon-to-be released</w:t>
      </w:r>
      <w:r w:rsidR="005C341E" w:rsidRPr="00241B3B">
        <w:rPr>
          <w:lang w:val="en-AU"/>
        </w:rPr>
        <w:t xml:space="preserve"> Home and Living policy</w:t>
      </w:r>
      <w:r w:rsidR="00750B6A" w:rsidRPr="00241B3B">
        <w:rPr>
          <w:lang w:val="en-AU"/>
        </w:rPr>
        <w:t>,</w:t>
      </w:r>
      <w:r w:rsidR="005C341E" w:rsidRPr="00241B3B">
        <w:rPr>
          <w:lang w:val="en-AU"/>
        </w:rPr>
        <w:t xml:space="preserve"> </w:t>
      </w:r>
      <w:r w:rsidR="00032DB7" w:rsidRPr="00241B3B">
        <w:rPr>
          <w:lang w:val="en-AU"/>
        </w:rPr>
        <w:t xml:space="preserve">committing to </w:t>
      </w:r>
      <w:r w:rsidR="005C341E" w:rsidRPr="00241B3B">
        <w:rPr>
          <w:lang w:val="en-AU"/>
        </w:rPr>
        <w:t>mandat</w:t>
      </w:r>
      <w:r w:rsidR="00032DB7" w:rsidRPr="00241B3B">
        <w:rPr>
          <w:lang w:val="en-AU"/>
        </w:rPr>
        <w:t xml:space="preserve">e </w:t>
      </w:r>
      <w:r w:rsidR="005C341E" w:rsidRPr="00241B3B">
        <w:rPr>
          <w:lang w:val="en-AU"/>
        </w:rPr>
        <w:t xml:space="preserve">the separation of housing from supports, whereby a NDIS participant has choice and control over the choice of provider for housing and their providers for other supports and services. </w:t>
      </w:r>
    </w:p>
    <w:p w14:paraId="60029025" w14:textId="227947BD" w:rsidR="00A149EA" w:rsidRPr="00241B3B" w:rsidRDefault="00C576D7" w:rsidP="00241B3B">
      <w:pPr>
        <w:pStyle w:val="BodyText"/>
        <w:rPr>
          <w:lang w:val="en-AU"/>
        </w:rPr>
      </w:pPr>
      <w:r w:rsidRPr="00241B3B">
        <w:rPr>
          <w:lang w:val="en-AU"/>
        </w:rPr>
        <w:t xml:space="preserve">This is consistent with </w:t>
      </w:r>
      <w:r w:rsidR="00C321EE" w:rsidRPr="00241B3B">
        <w:rPr>
          <w:lang w:val="en-AU"/>
        </w:rPr>
        <w:t xml:space="preserve">the Disability Royal Commission Final Report </w:t>
      </w:r>
      <w:r w:rsidRPr="00241B3B">
        <w:rPr>
          <w:lang w:val="en-AU"/>
        </w:rPr>
        <w:t>Recommendation 7.41 (</w:t>
      </w:r>
      <w:r w:rsidR="000E5E46">
        <w:rPr>
          <w:lang w:val="en-AU"/>
        </w:rPr>
        <w:t>‘</w:t>
      </w:r>
      <w:r w:rsidRPr="00241B3B">
        <w:rPr>
          <w:lang w:val="en-AU"/>
        </w:rPr>
        <w:t>Group home reform</w:t>
      </w:r>
      <w:r w:rsidR="000E5E46">
        <w:rPr>
          <w:lang w:val="en-AU"/>
        </w:rPr>
        <w:t>’)</w:t>
      </w:r>
      <w:r w:rsidRPr="00241B3B">
        <w:rPr>
          <w:lang w:val="en-AU"/>
        </w:rPr>
        <w:t xml:space="preserve"> stipulates the NDIS Quality and Safeguards Commission should instigate a review of mechanisms to transition away from allowing the same provider to provide Supported Independent Living and Specialist Disability Accommodation services).</w:t>
      </w:r>
      <w:r w:rsidR="008A2A70" w:rsidRPr="00241B3B">
        <w:rPr>
          <w:lang w:val="en-AU"/>
        </w:rPr>
        <w:t xml:space="preserve"> </w:t>
      </w:r>
    </w:p>
    <w:p w14:paraId="52BB373B" w14:textId="622CE1ED" w:rsidR="00081B67" w:rsidRPr="00241B3B" w:rsidRDefault="00A149EA" w:rsidP="00241B3B">
      <w:pPr>
        <w:pStyle w:val="BodyText"/>
        <w:rPr>
          <w:lang w:val="en-AU"/>
        </w:rPr>
      </w:pPr>
      <w:r w:rsidRPr="00241B3B">
        <w:rPr>
          <w:lang w:val="en-AU"/>
        </w:rPr>
        <w:t>This recommendation is extended in</w:t>
      </w:r>
      <w:r w:rsidR="00AE271F" w:rsidRPr="00241B3B">
        <w:rPr>
          <w:lang w:val="en-AU"/>
        </w:rPr>
        <w:t xml:space="preserve"> PWDA’s proposed Congregate Housing Transition Plan</w:t>
      </w:r>
      <w:r w:rsidRPr="00241B3B">
        <w:rPr>
          <w:lang w:val="en-AU"/>
        </w:rPr>
        <w:t xml:space="preserve">, through </w:t>
      </w:r>
      <w:r w:rsidR="00C576D7" w:rsidRPr="00241B3B">
        <w:rPr>
          <w:lang w:val="en-AU"/>
        </w:rPr>
        <w:t>a stronger approach</w:t>
      </w:r>
      <w:r w:rsidRPr="00241B3B">
        <w:rPr>
          <w:lang w:val="en-AU"/>
        </w:rPr>
        <w:t xml:space="preserve">. This must be achieved </w:t>
      </w:r>
      <w:r w:rsidR="004A4AA5" w:rsidRPr="00241B3B">
        <w:rPr>
          <w:lang w:val="en-AU"/>
        </w:rPr>
        <w:t>by</w:t>
      </w:r>
      <w:r w:rsidR="00C576D7" w:rsidRPr="00241B3B">
        <w:rPr>
          <w:lang w:val="en-AU"/>
        </w:rPr>
        <w:t xml:space="preserve"> </w:t>
      </w:r>
      <w:r w:rsidRPr="00241B3B">
        <w:rPr>
          <w:lang w:val="en-AU"/>
        </w:rPr>
        <w:t>ensuring</w:t>
      </w:r>
      <w:r w:rsidR="00C576D7" w:rsidRPr="00241B3B">
        <w:rPr>
          <w:lang w:val="en-AU"/>
        </w:rPr>
        <w:t xml:space="preserve"> </w:t>
      </w:r>
      <w:r w:rsidR="008A2A70" w:rsidRPr="00241B3B">
        <w:rPr>
          <w:lang w:val="en-AU"/>
        </w:rPr>
        <w:t xml:space="preserve">complete </w:t>
      </w:r>
      <w:r w:rsidR="00C576D7" w:rsidRPr="00241B3B">
        <w:rPr>
          <w:lang w:val="en-AU"/>
        </w:rPr>
        <w:t>separation of support</w:t>
      </w:r>
      <w:r w:rsidRPr="00241B3B">
        <w:rPr>
          <w:lang w:val="en-AU"/>
        </w:rPr>
        <w:t xml:space="preserve">s, through </w:t>
      </w:r>
      <w:r w:rsidR="008A2A70" w:rsidRPr="00241B3B">
        <w:rPr>
          <w:lang w:val="en-AU"/>
        </w:rPr>
        <w:t>mandating that it must be provided by t</w:t>
      </w:r>
      <w:r w:rsidR="00023BB4" w:rsidRPr="00241B3B">
        <w:rPr>
          <w:lang w:val="en-AU"/>
        </w:rPr>
        <w:t>wo distinct, unlinked entities</w:t>
      </w:r>
      <w:r w:rsidR="007D1BF1" w:rsidRPr="00241B3B">
        <w:rPr>
          <w:lang w:val="en-AU"/>
        </w:rPr>
        <w:t>, so there is</w:t>
      </w:r>
      <w:r w:rsidR="009B2C46" w:rsidRPr="00241B3B">
        <w:rPr>
          <w:lang w:val="en-AU"/>
        </w:rPr>
        <w:t xml:space="preserve"> no conflict of interest or vested interest between businesses</w:t>
      </w:r>
      <w:r w:rsidRPr="00241B3B">
        <w:rPr>
          <w:lang w:val="en-AU"/>
        </w:rPr>
        <w:t xml:space="preserve"> providing housing, and another business providing other supports or services, to the same participant. </w:t>
      </w:r>
    </w:p>
    <w:p w14:paraId="31985594" w14:textId="0E8F8C58" w:rsidR="00F20C00" w:rsidRPr="00241B3B" w:rsidRDefault="005C341E" w:rsidP="00424471">
      <w:pPr>
        <w:pStyle w:val="Heading4"/>
        <w:spacing w:line="288" w:lineRule="auto"/>
      </w:pPr>
      <w:r w:rsidRPr="00241B3B">
        <w:t xml:space="preserve">Priority </w:t>
      </w:r>
      <w:r w:rsidR="00F20C00" w:rsidRPr="00241B3B">
        <w:t>A</w:t>
      </w:r>
      <w:r w:rsidRPr="00241B3B">
        <w:t>rea 4</w:t>
      </w:r>
      <w:r w:rsidR="00327151" w:rsidRPr="00241B3B">
        <w:t xml:space="preserve">: </w:t>
      </w:r>
      <w:r w:rsidR="00FF7684" w:rsidRPr="00241B3B">
        <w:t xml:space="preserve">Providing </w:t>
      </w:r>
      <w:r w:rsidR="007E6756" w:rsidRPr="00241B3B">
        <w:t xml:space="preserve">navigation and advocacy </w:t>
      </w:r>
      <w:r w:rsidR="00FF7684" w:rsidRPr="00241B3B">
        <w:t>supports</w:t>
      </w:r>
    </w:p>
    <w:p w14:paraId="56D85D5A" w14:textId="3C5103A0" w:rsidR="00BE0194" w:rsidRPr="00241B3B" w:rsidRDefault="007E6756" w:rsidP="00241B3B">
      <w:pPr>
        <w:pStyle w:val="BodyText"/>
        <w:rPr>
          <w:lang w:val="en-AU"/>
        </w:rPr>
      </w:pPr>
      <w:r w:rsidRPr="00241B3B">
        <w:rPr>
          <w:lang w:val="en-AU"/>
        </w:rPr>
        <w:t xml:space="preserve">As people with disability transition out of congregate settings, </w:t>
      </w:r>
      <w:r w:rsidR="00CB6D7D" w:rsidRPr="00241B3B">
        <w:rPr>
          <w:lang w:val="en-AU"/>
        </w:rPr>
        <w:t xml:space="preserve">they </w:t>
      </w:r>
      <w:r w:rsidRPr="00241B3B">
        <w:rPr>
          <w:lang w:val="en-AU"/>
        </w:rPr>
        <w:t>mu</w:t>
      </w:r>
      <w:r w:rsidR="00006C0A" w:rsidRPr="00241B3B">
        <w:rPr>
          <w:lang w:val="en-AU"/>
        </w:rPr>
        <w:t>s</w:t>
      </w:r>
      <w:r w:rsidRPr="00241B3B">
        <w:rPr>
          <w:lang w:val="en-AU"/>
        </w:rPr>
        <w:t xml:space="preserve">t be supported to connect with critical disability </w:t>
      </w:r>
      <w:r w:rsidR="00C61C1D" w:rsidRPr="00241B3B">
        <w:rPr>
          <w:lang w:val="en-AU"/>
        </w:rPr>
        <w:t>advocacy</w:t>
      </w:r>
      <w:r w:rsidRPr="00241B3B">
        <w:rPr>
          <w:lang w:val="en-AU"/>
        </w:rPr>
        <w:t xml:space="preserve"> and other services, to reduce the risk of homelessness and locate more suitable housing options.  </w:t>
      </w:r>
    </w:p>
    <w:p w14:paraId="1AA3C315" w14:textId="136E6ABC" w:rsidR="00C4552E" w:rsidRPr="00241B3B" w:rsidRDefault="007E6756" w:rsidP="00241B3B">
      <w:pPr>
        <w:pStyle w:val="BodyText"/>
        <w:rPr>
          <w:lang w:val="en-AU"/>
        </w:rPr>
      </w:pPr>
      <w:r w:rsidRPr="00241B3B">
        <w:rPr>
          <w:lang w:val="en-AU"/>
        </w:rPr>
        <w:t>This is consistent with</w:t>
      </w:r>
      <w:r w:rsidR="009724FB" w:rsidRPr="00241B3B">
        <w:rPr>
          <w:lang w:val="en-AU"/>
        </w:rPr>
        <w:t xml:space="preserve"> </w:t>
      </w:r>
      <w:r w:rsidR="00C4552E" w:rsidRPr="00241B3B">
        <w:rPr>
          <w:lang w:val="en-AU"/>
        </w:rPr>
        <w:t xml:space="preserve">Disability Royal Commission Final Report Recommendation 7.40 </w:t>
      </w:r>
    </w:p>
    <w:p w14:paraId="24CBC351" w14:textId="77777777" w:rsidR="004A79F5" w:rsidRPr="00241B3B" w:rsidRDefault="00C4552E" w:rsidP="00241B3B">
      <w:pPr>
        <w:pStyle w:val="BodyText"/>
        <w:rPr>
          <w:lang w:val="en-AU"/>
        </w:rPr>
      </w:pPr>
      <w:r w:rsidRPr="00241B3B">
        <w:rPr>
          <w:lang w:val="en-AU"/>
        </w:rPr>
        <w:t>(Address homelessness for people with disability in the National Housing and Homelessness Plan)</w:t>
      </w:r>
      <w:r w:rsidR="002468B6" w:rsidRPr="00241B3B">
        <w:rPr>
          <w:lang w:val="en-AU"/>
        </w:rPr>
        <w:t xml:space="preserve"> calling for</w:t>
      </w:r>
      <w:r w:rsidRPr="00241B3B">
        <w:rPr>
          <w:lang w:val="en-AU"/>
        </w:rPr>
        <w:t xml:space="preserve"> the Commonwealth Government</w:t>
      </w:r>
      <w:r w:rsidR="002468B6" w:rsidRPr="00241B3B">
        <w:rPr>
          <w:lang w:val="en-AU"/>
        </w:rPr>
        <w:t xml:space="preserve"> to work </w:t>
      </w:r>
      <w:r w:rsidRPr="00241B3B">
        <w:rPr>
          <w:lang w:val="en-AU"/>
        </w:rPr>
        <w:t>with state and territory governments to establish free</w:t>
      </w:r>
      <w:r w:rsidR="002468B6" w:rsidRPr="00241B3B">
        <w:rPr>
          <w:lang w:val="en-AU"/>
        </w:rPr>
        <w:t>, independent</w:t>
      </w:r>
      <w:r w:rsidRPr="00241B3B">
        <w:rPr>
          <w:lang w:val="en-AU"/>
        </w:rPr>
        <w:t xml:space="preserve"> advocacy and legal </w:t>
      </w:r>
      <w:r w:rsidR="002468B6" w:rsidRPr="00241B3B">
        <w:rPr>
          <w:lang w:val="en-AU"/>
        </w:rPr>
        <w:t>advice</w:t>
      </w:r>
      <w:r w:rsidRPr="00241B3B">
        <w:rPr>
          <w:lang w:val="en-AU"/>
        </w:rPr>
        <w:t xml:space="preserve"> services</w:t>
      </w:r>
      <w:r w:rsidR="009724FB" w:rsidRPr="00241B3B">
        <w:rPr>
          <w:lang w:val="en-AU"/>
        </w:rPr>
        <w:t xml:space="preserve"> to address homelessness for people with disability</w:t>
      </w:r>
      <w:r w:rsidR="004A79F5" w:rsidRPr="00241B3B">
        <w:rPr>
          <w:lang w:val="en-AU"/>
        </w:rPr>
        <w:t>.</w:t>
      </w:r>
    </w:p>
    <w:p w14:paraId="45E6FAAE" w14:textId="42A0E917" w:rsidR="00BD08CC" w:rsidRPr="00241B3B" w:rsidRDefault="004A79F5" w:rsidP="00241B3B">
      <w:pPr>
        <w:pStyle w:val="BodyText"/>
        <w:rPr>
          <w:lang w:val="en-AU"/>
        </w:rPr>
      </w:pPr>
      <w:r w:rsidRPr="00241B3B">
        <w:rPr>
          <w:lang w:val="en-AU"/>
        </w:rPr>
        <w:lastRenderedPageBreak/>
        <w:t xml:space="preserve">At present, state and territory governments have inconsistently invested in navigation and advocacy supports, with some jurisdictions not adequately investing </w:t>
      </w:r>
      <w:r w:rsidR="006F5A6F" w:rsidRPr="00241B3B">
        <w:rPr>
          <w:lang w:val="en-AU"/>
        </w:rPr>
        <w:t xml:space="preserve">in these vital supports. Therefore, </w:t>
      </w:r>
      <w:r w:rsidR="004676C1" w:rsidRPr="00241B3B">
        <w:rPr>
          <w:lang w:val="en-AU"/>
        </w:rPr>
        <w:t xml:space="preserve">addressing this priority ensures adequate investment nationally. </w:t>
      </w:r>
    </w:p>
    <w:p w14:paraId="575FD061" w14:textId="17638069" w:rsidR="00F20C00" w:rsidRPr="00241B3B" w:rsidRDefault="005C341E" w:rsidP="005C6481">
      <w:pPr>
        <w:pStyle w:val="Heading4"/>
        <w:spacing w:line="240" w:lineRule="auto"/>
      </w:pPr>
      <w:r w:rsidRPr="00241B3B">
        <w:t xml:space="preserve">Priority </w:t>
      </w:r>
      <w:r w:rsidR="00F20C00" w:rsidRPr="00241B3B">
        <w:t>A</w:t>
      </w:r>
      <w:r w:rsidRPr="00241B3B">
        <w:t>rea 5</w:t>
      </w:r>
      <w:r w:rsidR="00FF7684" w:rsidRPr="00241B3B">
        <w:t xml:space="preserve">: Enabling a nationally consistent home modifications </w:t>
      </w:r>
      <w:r w:rsidR="00C37C7C" w:rsidRPr="00241B3B">
        <w:t xml:space="preserve">approach </w:t>
      </w:r>
    </w:p>
    <w:p w14:paraId="68BF3DA1" w14:textId="5E007DE1" w:rsidR="0002151A" w:rsidRPr="00241B3B" w:rsidRDefault="00CE7C7E" w:rsidP="00241B3B">
      <w:pPr>
        <w:pStyle w:val="BodyText"/>
        <w:rPr>
          <w:lang w:val="en-AU"/>
        </w:rPr>
      </w:pPr>
      <w:r w:rsidRPr="00241B3B">
        <w:rPr>
          <w:lang w:val="en-AU"/>
        </w:rPr>
        <w:t xml:space="preserve">Priority </w:t>
      </w:r>
      <w:r w:rsidR="0088535B" w:rsidRPr="00241B3B">
        <w:rPr>
          <w:lang w:val="en-AU"/>
        </w:rPr>
        <w:t>A</w:t>
      </w:r>
      <w:r w:rsidRPr="00241B3B">
        <w:rPr>
          <w:lang w:val="en-AU"/>
        </w:rPr>
        <w:t>rea 5 is addressed through t</w:t>
      </w:r>
      <w:r w:rsidR="005C341E" w:rsidRPr="00241B3B">
        <w:rPr>
          <w:lang w:val="en-AU"/>
        </w:rPr>
        <w:t xml:space="preserve">he </w:t>
      </w:r>
      <w:r w:rsidR="00C37C7C" w:rsidRPr="00241B3B">
        <w:rPr>
          <w:lang w:val="en-AU"/>
        </w:rPr>
        <w:t>Commonwealth</w:t>
      </w:r>
      <w:r w:rsidR="005C341E" w:rsidRPr="00241B3B">
        <w:rPr>
          <w:lang w:val="en-AU"/>
        </w:rPr>
        <w:t xml:space="preserve"> </w:t>
      </w:r>
      <w:r w:rsidR="008E74DA" w:rsidRPr="00241B3B">
        <w:rPr>
          <w:lang w:val="en-AU"/>
        </w:rPr>
        <w:t>Government</w:t>
      </w:r>
      <w:r w:rsidR="00E43F31" w:rsidRPr="00241B3B">
        <w:rPr>
          <w:lang w:val="en-AU"/>
        </w:rPr>
        <w:t xml:space="preserve"> work</w:t>
      </w:r>
      <w:r w:rsidRPr="00241B3B">
        <w:rPr>
          <w:lang w:val="en-AU"/>
        </w:rPr>
        <w:t>ing</w:t>
      </w:r>
      <w:r w:rsidR="00E43F31" w:rsidRPr="00241B3B">
        <w:rPr>
          <w:lang w:val="en-AU"/>
        </w:rPr>
        <w:t xml:space="preserve"> with the states and territories to ensure adequate funding </w:t>
      </w:r>
      <w:r w:rsidR="005C341E" w:rsidRPr="00241B3B">
        <w:rPr>
          <w:lang w:val="en-AU"/>
        </w:rPr>
        <w:t xml:space="preserve">for </w:t>
      </w:r>
      <w:r w:rsidR="005C341E" w:rsidRPr="00241B3B">
        <w:rPr>
          <w:i/>
          <w:iCs/>
          <w:lang w:val="en-AU"/>
        </w:rPr>
        <w:t>all</w:t>
      </w:r>
      <w:r w:rsidR="005C341E" w:rsidRPr="00241B3B">
        <w:rPr>
          <w:lang w:val="en-AU"/>
        </w:rPr>
        <w:t xml:space="preserve"> people with disability to access home modifications to meet their </w:t>
      </w:r>
      <w:r w:rsidR="001B3621" w:rsidRPr="00241B3B">
        <w:rPr>
          <w:lang w:val="en-AU"/>
        </w:rPr>
        <w:t>accessibility</w:t>
      </w:r>
      <w:r w:rsidR="005C341E" w:rsidRPr="00241B3B">
        <w:rPr>
          <w:lang w:val="en-AU"/>
        </w:rPr>
        <w:t xml:space="preserve"> needs</w:t>
      </w:r>
      <w:r w:rsidR="00E43F31" w:rsidRPr="00241B3B">
        <w:rPr>
          <w:lang w:val="en-AU"/>
        </w:rPr>
        <w:t xml:space="preserve">. </w:t>
      </w:r>
      <w:r w:rsidR="00036B51" w:rsidRPr="00241B3B">
        <w:rPr>
          <w:lang w:val="en-AU"/>
        </w:rPr>
        <w:t>This includes both home modifications for physical</w:t>
      </w:r>
      <w:r w:rsidR="00E54C87" w:rsidRPr="00241B3B">
        <w:rPr>
          <w:lang w:val="en-AU"/>
        </w:rPr>
        <w:t xml:space="preserve"> (e.g., physical access like ramps), </w:t>
      </w:r>
      <w:r w:rsidR="00036B51" w:rsidRPr="00241B3B">
        <w:rPr>
          <w:lang w:val="en-AU"/>
        </w:rPr>
        <w:t>sensory</w:t>
      </w:r>
      <w:r w:rsidR="00E54C87" w:rsidRPr="00241B3B">
        <w:rPr>
          <w:lang w:val="en-AU"/>
        </w:rPr>
        <w:t xml:space="preserve"> (e.g., glare sensitivity)</w:t>
      </w:r>
      <w:r w:rsidR="00036B51" w:rsidRPr="00241B3B">
        <w:rPr>
          <w:lang w:val="en-AU"/>
        </w:rPr>
        <w:t xml:space="preserve"> and any other disability-related needs.</w:t>
      </w:r>
    </w:p>
    <w:p w14:paraId="6C7D92A5" w14:textId="48AA2E73" w:rsidR="005C341E" w:rsidRPr="00241B3B" w:rsidRDefault="00E43F31" w:rsidP="00241B3B">
      <w:pPr>
        <w:pStyle w:val="BodyText"/>
        <w:rPr>
          <w:lang w:val="en-AU"/>
        </w:rPr>
      </w:pPr>
      <w:r w:rsidRPr="00241B3B">
        <w:rPr>
          <w:lang w:val="en-AU"/>
        </w:rPr>
        <w:t xml:space="preserve">This </w:t>
      </w:r>
      <w:r w:rsidR="00CB6D7D" w:rsidRPr="00241B3B">
        <w:rPr>
          <w:lang w:val="en-AU"/>
        </w:rPr>
        <w:t>can</w:t>
      </w:r>
      <w:r w:rsidRPr="00241B3B">
        <w:rPr>
          <w:lang w:val="en-AU"/>
        </w:rPr>
        <w:t xml:space="preserve"> be </w:t>
      </w:r>
      <w:r w:rsidR="001F2821" w:rsidRPr="00241B3B">
        <w:rPr>
          <w:lang w:val="en-AU"/>
        </w:rPr>
        <w:t>achieved through</w:t>
      </w:r>
      <w:r w:rsidR="005C341E" w:rsidRPr="00241B3B">
        <w:rPr>
          <w:lang w:val="en-AU"/>
        </w:rPr>
        <w:t xml:space="preserve"> a nationally consistent approach, as per the Disability Royal Commission Final Report Recommendation 7.35 </w:t>
      </w:r>
      <w:r w:rsidR="001B3621" w:rsidRPr="00241B3B">
        <w:rPr>
          <w:lang w:val="en-AU"/>
        </w:rPr>
        <w:t>(</w:t>
      </w:r>
      <w:r w:rsidR="000E5E46">
        <w:rPr>
          <w:lang w:val="en-AU"/>
        </w:rPr>
        <w:t>‘</w:t>
      </w:r>
      <w:r w:rsidR="005C341E" w:rsidRPr="00241B3B">
        <w:rPr>
          <w:lang w:val="en-AU"/>
        </w:rPr>
        <w:t>Increase the availability and supply of accessible and adaptive housing for people with disability through the National Construction Code</w:t>
      </w:r>
      <w:r w:rsidR="000E5E46">
        <w:rPr>
          <w:lang w:val="en-AU"/>
        </w:rPr>
        <w:t>’</w:t>
      </w:r>
      <w:r w:rsidR="001B3621" w:rsidRPr="00241B3B">
        <w:rPr>
          <w:lang w:val="en-AU"/>
        </w:rPr>
        <w:t>)</w:t>
      </w:r>
      <w:r w:rsidR="001F2821" w:rsidRPr="00241B3B">
        <w:rPr>
          <w:lang w:val="en-AU"/>
        </w:rPr>
        <w:t xml:space="preserve"> and Recommendation 7.36 (</w:t>
      </w:r>
      <w:r w:rsidR="000E5E46">
        <w:rPr>
          <w:lang w:val="en-AU"/>
        </w:rPr>
        <w:t>‘</w:t>
      </w:r>
      <w:r w:rsidR="001F2821" w:rsidRPr="00241B3B">
        <w:rPr>
          <w:lang w:val="en-AU"/>
        </w:rPr>
        <w:t>Improve social housing operational policy and processes</w:t>
      </w:r>
      <w:r w:rsidR="000E5E46">
        <w:rPr>
          <w:lang w:val="en-AU"/>
        </w:rPr>
        <w:t>’</w:t>
      </w:r>
      <w:r w:rsidR="001F2821" w:rsidRPr="00241B3B">
        <w:rPr>
          <w:lang w:val="en-AU"/>
        </w:rPr>
        <w:t>).</w:t>
      </w:r>
    </w:p>
    <w:p w14:paraId="5567D43F" w14:textId="1B774C93" w:rsidR="00F20C00" w:rsidRPr="00241B3B" w:rsidRDefault="005C341E" w:rsidP="00424471">
      <w:pPr>
        <w:pStyle w:val="Heading4"/>
        <w:spacing w:line="288" w:lineRule="auto"/>
      </w:pPr>
      <w:r w:rsidRPr="00241B3B">
        <w:t xml:space="preserve">Priority </w:t>
      </w:r>
      <w:r w:rsidR="00F20C00" w:rsidRPr="00241B3B">
        <w:t>A</w:t>
      </w:r>
      <w:r w:rsidRPr="00241B3B">
        <w:t>rea 6</w:t>
      </w:r>
      <w:r w:rsidR="00FF7684" w:rsidRPr="00241B3B">
        <w:t>:</w:t>
      </w:r>
      <w:r w:rsidR="00C37C7C" w:rsidRPr="00241B3B">
        <w:t xml:space="preserve"> E</w:t>
      </w:r>
      <w:r w:rsidR="002A23DC" w:rsidRPr="00241B3B">
        <w:t xml:space="preserve">mbedding </w:t>
      </w:r>
      <w:r w:rsidR="003E6C7A" w:rsidRPr="00241B3B">
        <w:t xml:space="preserve">governance arrangements </w:t>
      </w:r>
    </w:p>
    <w:p w14:paraId="34F7C5C2" w14:textId="15390186" w:rsidR="00170D58" w:rsidRPr="00241B3B" w:rsidRDefault="00882B81" w:rsidP="00241B3B">
      <w:pPr>
        <w:pStyle w:val="BodyText"/>
        <w:rPr>
          <w:lang w:val="en-AU"/>
        </w:rPr>
      </w:pPr>
      <w:r w:rsidRPr="00241B3B">
        <w:rPr>
          <w:lang w:val="en-AU"/>
        </w:rPr>
        <w:t xml:space="preserve">Priority </w:t>
      </w:r>
      <w:r w:rsidR="00985FE3" w:rsidRPr="00241B3B">
        <w:rPr>
          <w:lang w:val="en-AU"/>
        </w:rPr>
        <w:t>A</w:t>
      </w:r>
      <w:r w:rsidRPr="00241B3B">
        <w:rPr>
          <w:lang w:val="en-AU"/>
        </w:rPr>
        <w:t>rea 6 is addressed through p</w:t>
      </w:r>
      <w:r w:rsidR="005C341E" w:rsidRPr="00241B3B">
        <w:rPr>
          <w:lang w:val="en-AU"/>
        </w:rPr>
        <w:t xml:space="preserve">eople with disability </w:t>
      </w:r>
      <w:r w:rsidR="00CB6D7D" w:rsidRPr="00241B3B">
        <w:rPr>
          <w:color w:val="242424"/>
          <w:lang w:val="en-AU"/>
        </w:rPr>
        <w:t>who have experience and expertise of the housing issues people with disability face</w:t>
      </w:r>
      <w:r w:rsidR="00CB6D7D" w:rsidRPr="00241B3B">
        <w:rPr>
          <w:lang w:val="en-AU"/>
        </w:rPr>
        <w:t xml:space="preserve"> </w:t>
      </w:r>
      <w:r w:rsidRPr="00241B3B">
        <w:rPr>
          <w:lang w:val="en-AU"/>
        </w:rPr>
        <w:t>being</w:t>
      </w:r>
      <w:r w:rsidR="005C341E" w:rsidRPr="00241B3B">
        <w:rPr>
          <w:lang w:val="en-AU"/>
        </w:rPr>
        <w:t xml:space="preserve"> included in</w:t>
      </w:r>
      <w:r w:rsidR="005C6481" w:rsidRPr="00241B3B">
        <w:rPr>
          <w:lang w:val="en-AU"/>
        </w:rPr>
        <w:t xml:space="preserve"> governance and executive</w:t>
      </w:r>
      <w:r w:rsidR="005C341E" w:rsidRPr="00241B3B">
        <w:rPr>
          <w:b/>
          <w:bCs/>
          <w:lang w:val="en-AU"/>
        </w:rPr>
        <w:t xml:space="preserve"> </w:t>
      </w:r>
      <w:r w:rsidR="005C341E" w:rsidRPr="00241B3B">
        <w:rPr>
          <w:lang w:val="en-AU"/>
        </w:rPr>
        <w:t xml:space="preserve">leadership through the following: </w:t>
      </w:r>
    </w:p>
    <w:p w14:paraId="625A360C" w14:textId="4652F73F" w:rsidR="005C341E" w:rsidRPr="00241B3B" w:rsidRDefault="00CB6D7D" w:rsidP="00241B3B">
      <w:pPr>
        <w:pStyle w:val="ListBullet"/>
        <w:rPr>
          <w:lang w:val="en-AU"/>
        </w:rPr>
      </w:pPr>
      <w:r w:rsidRPr="00241B3B">
        <w:rPr>
          <w:lang w:val="en-AU"/>
        </w:rPr>
        <w:t xml:space="preserve">membership on </w:t>
      </w:r>
      <w:r w:rsidR="002C21A9" w:rsidRPr="00241B3B">
        <w:rPr>
          <w:lang w:val="en-AU"/>
        </w:rPr>
        <w:t>t</w:t>
      </w:r>
      <w:r w:rsidR="005C341E" w:rsidRPr="00241B3B">
        <w:rPr>
          <w:lang w:val="en-AU"/>
        </w:rPr>
        <w:t xml:space="preserve">he boards of institutions with responsibilities for overseeing the production and implementation of the NHHP, including the National Housing Supply and Affordability Council and </w:t>
      </w:r>
      <w:r w:rsidR="003A5C67" w:rsidRPr="00241B3B">
        <w:rPr>
          <w:lang w:val="en-AU"/>
        </w:rPr>
        <w:t xml:space="preserve">incoming statutory body </w:t>
      </w:r>
      <w:r w:rsidR="005C341E" w:rsidRPr="00241B3B">
        <w:rPr>
          <w:lang w:val="en-AU"/>
        </w:rPr>
        <w:t>Housing Australia</w:t>
      </w:r>
    </w:p>
    <w:p w14:paraId="4B42214C" w14:textId="705D2C7B" w:rsidR="005D55E7" w:rsidRPr="00241B3B" w:rsidRDefault="002C21A9" w:rsidP="00241B3B">
      <w:pPr>
        <w:pStyle w:val="ListBullet"/>
        <w:rPr>
          <w:lang w:val="en-AU"/>
        </w:rPr>
      </w:pPr>
      <w:r w:rsidRPr="00241B3B">
        <w:rPr>
          <w:lang w:val="en-AU"/>
        </w:rPr>
        <w:t>t</w:t>
      </w:r>
      <w:r w:rsidR="005C341E" w:rsidRPr="00241B3B">
        <w:rPr>
          <w:lang w:val="en-AU"/>
        </w:rPr>
        <w:t xml:space="preserve">he </w:t>
      </w:r>
      <w:r w:rsidR="009F2AE1" w:rsidRPr="00241B3B">
        <w:rPr>
          <w:lang w:val="en-AU"/>
        </w:rPr>
        <w:t xml:space="preserve">NHHP </w:t>
      </w:r>
      <w:r w:rsidR="001F2821" w:rsidRPr="00241B3B">
        <w:rPr>
          <w:lang w:val="en-AU"/>
        </w:rPr>
        <w:t xml:space="preserve">must include disability as an ongoing priority area with a Targeted Housing Action Plan </w:t>
      </w:r>
      <w:r w:rsidR="00CA4BE7" w:rsidRPr="00241B3B">
        <w:rPr>
          <w:lang w:val="en-AU"/>
        </w:rPr>
        <w:t>for People with Disability</w:t>
      </w:r>
    </w:p>
    <w:p w14:paraId="1F7C4544" w14:textId="65C05DE8" w:rsidR="005D55E7" w:rsidRPr="00241B3B" w:rsidRDefault="004242D9" w:rsidP="00241B3B">
      <w:pPr>
        <w:pStyle w:val="ListBullet"/>
        <w:rPr>
          <w:lang w:val="en-AU"/>
        </w:rPr>
      </w:pPr>
      <w:r w:rsidRPr="00241B3B">
        <w:rPr>
          <w:rFonts w:eastAsia="Times New Roman"/>
          <w:lang w:val="en-AU" w:eastAsia="en-AU"/>
        </w:rPr>
        <w:t xml:space="preserve">the </w:t>
      </w:r>
      <w:r w:rsidR="002C21A9" w:rsidRPr="00241B3B">
        <w:rPr>
          <w:rFonts w:eastAsia="Times New Roman"/>
          <w:lang w:val="en-AU" w:eastAsia="en-AU"/>
        </w:rPr>
        <w:t>p</w:t>
      </w:r>
      <w:r w:rsidR="005C341E" w:rsidRPr="00241B3B">
        <w:rPr>
          <w:rFonts w:eastAsia="Times New Roman"/>
          <w:lang w:val="en-AU" w:eastAsia="en-AU"/>
        </w:rPr>
        <w:t>ublicatio</w:t>
      </w:r>
      <w:r w:rsidR="00CA4BE7" w:rsidRPr="00241B3B">
        <w:rPr>
          <w:rFonts w:eastAsia="Times New Roman"/>
          <w:lang w:val="en-AU" w:eastAsia="en-AU"/>
        </w:rPr>
        <w:t>n</w:t>
      </w:r>
      <w:r w:rsidR="005C341E" w:rsidRPr="00241B3B">
        <w:rPr>
          <w:rFonts w:eastAsia="Times New Roman"/>
          <w:lang w:val="en-AU" w:eastAsia="en-AU"/>
        </w:rPr>
        <w:t xml:space="preserve"> of data that allows assessment of progress towards better housing </w:t>
      </w:r>
    </w:p>
    <w:p w14:paraId="1DFF0DCC" w14:textId="13C4BBF0" w:rsidR="00941905" w:rsidRPr="00241B3B" w:rsidRDefault="005C341E" w:rsidP="00241B3B">
      <w:pPr>
        <w:pStyle w:val="ListBullet"/>
        <w:rPr>
          <w:lang w:val="en-AU"/>
        </w:rPr>
      </w:pPr>
      <w:r w:rsidRPr="00241B3B">
        <w:rPr>
          <w:rFonts w:eastAsia="Times New Roman"/>
          <w:lang w:val="en-AU" w:eastAsia="en-AU"/>
        </w:rPr>
        <w:t>outcomes for people with disability.</w:t>
      </w:r>
    </w:p>
    <w:p w14:paraId="0A33A57C" w14:textId="09BAC489" w:rsidR="00444D3A" w:rsidRPr="00241B3B" w:rsidRDefault="005C341E" w:rsidP="00241B3B">
      <w:pPr>
        <w:pStyle w:val="BodyText"/>
        <w:rPr>
          <w:lang w:val="en-AU" w:eastAsia="en-AU"/>
        </w:rPr>
      </w:pPr>
      <w:r w:rsidRPr="00241B3B">
        <w:rPr>
          <w:lang w:val="en-AU" w:eastAsia="en-AU"/>
        </w:rPr>
        <w:t>This supports</w:t>
      </w:r>
      <w:r w:rsidR="008A7F64" w:rsidRPr="00241B3B">
        <w:rPr>
          <w:lang w:val="en-AU" w:eastAsia="en-AU"/>
        </w:rPr>
        <w:t>,</w:t>
      </w:r>
      <w:r w:rsidR="003E6C7A" w:rsidRPr="00241B3B">
        <w:rPr>
          <w:lang w:val="en-AU" w:eastAsia="en-AU"/>
        </w:rPr>
        <w:t xml:space="preserve"> and is consistent with</w:t>
      </w:r>
      <w:r w:rsidR="008A7F64" w:rsidRPr="00241B3B">
        <w:rPr>
          <w:lang w:val="en-AU" w:eastAsia="en-AU"/>
        </w:rPr>
        <w:t>,</w:t>
      </w:r>
      <w:r w:rsidR="003E6C7A" w:rsidRPr="00241B3B">
        <w:rPr>
          <w:lang w:val="en-AU" w:eastAsia="en-AU"/>
        </w:rPr>
        <w:t xml:space="preserve"> b</w:t>
      </w:r>
      <w:r w:rsidRPr="00241B3B">
        <w:rPr>
          <w:lang w:val="en-AU" w:eastAsia="en-AU"/>
        </w:rPr>
        <w:t xml:space="preserve">oth Recommendation 5.6 </w:t>
      </w:r>
      <w:r w:rsidR="003E6C7A" w:rsidRPr="00241B3B">
        <w:rPr>
          <w:lang w:val="en-AU" w:eastAsia="en-AU"/>
        </w:rPr>
        <w:t>(</w:t>
      </w:r>
      <w:r w:rsidR="000E5E46">
        <w:rPr>
          <w:lang w:val="en-AU" w:eastAsia="en-AU"/>
        </w:rPr>
        <w:t>‘</w:t>
      </w:r>
      <w:r w:rsidRPr="00241B3B">
        <w:rPr>
          <w:lang w:val="en-AU" w:eastAsia="en-AU"/>
        </w:rPr>
        <w:t>New governance arrangements for disability</w:t>
      </w:r>
      <w:r w:rsidR="000E5E46">
        <w:rPr>
          <w:lang w:val="en-AU" w:eastAsia="en-AU"/>
        </w:rPr>
        <w:t>’</w:t>
      </w:r>
      <w:r w:rsidR="003E6C7A" w:rsidRPr="00241B3B">
        <w:rPr>
          <w:lang w:val="en-AU" w:eastAsia="en-AU"/>
        </w:rPr>
        <w:t>)</w:t>
      </w:r>
      <w:r w:rsidRPr="00241B3B">
        <w:rPr>
          <w:lang w:val="en-AU" w:eastAsia="en-AU"/>
        </w:rPr>
        <w:t xml:space="preserve"> </w:t>
      </w:r>
      <w:r w:rsidR="003E6C7A" w:rsidRPr="00241B3B">
        <w:rPr>
          <w:lang w:val="en-AU" w:eastAsia="en-AU"/>
        </w:rPr>
        <w:t xml:space="preserve">and </w:t>
      </w:r>
      <w:r w:rsidRPr="00241B3B">
        <w:rPr>
          <w:lang w:val="en-AU" w:eastAsia="en-AU"/>
        </w:rPr>
        <w:t xml:space="preserve">Recommendation 5.7 </w:t>
      </w:r>
      <w:r w:rsidR="003E6C7A" w:rsidRPr="00241B3B">
        <w:rPr>
          <w:lang w:val="en-AU" w:eastAsia="en-AU"/>
        </w:rPr>
        <w:t>(</w:t>
      </w:r>
      <w:r w:rsidR="000E5E46">
        <w:rPr>
          <w:lang w:val="en-AU" w:eastAsia="en-AU"/>
        </w:rPr>
        <w:t>‘</w:t>
      </w:r>
      <w:r w:rsidRPr="00241B3B">
        <w:rPr>
          <w:lang w:val="en-AU" w:eastAsia="en-AU"/>
        </w:rPr>
        <w:t>Focal points across jurisdictions to implement the</w:t>
      </w:r>
      <w:r w:rsidRPr="00241B3B">
        <w:rPr>
          <w:i/>
          <w:iCs/>
          <w:lang w:val="en-AU" w:eastAsia="en-AU"/>
        </w:rPr>
        <w:t xml:space="preserve"> </w:t>
      </w:r>
      <w:r w:rsidRPr="00241B3B">
        <w:rPr>
          <w:lang w:val="en-AU" w:eastAsia="en-AU"/>
        </w:rPr>
        <w:t>CRPD</w:t>
      </w:r>
      <w:r w:rsidR="00EC66B4">
        <w:rPr>
          <w:lang w:val="en-AU" w:eastAsia="en-AU"/>
        </w:rPr>
        <w:t>’</w:t>
      </w:r>
      <w:r w:rsidRPr="00241B3B">
        <w:rPr>
          <w:lang w:val="en-AU" w:eastAsia="en-AU"/>
        </w:rPr>
        <w:t xml:space="preserve">, specifically relating to oversight of </w:t>
      </w:r>
      <w:r w:rsidR="00964E4E" w:rsidRPr="00241B3B">
        <w:rPr>
          <w:lang w:val="en-AU" w:eastAsia="en-AU"/>
        </w:rPr>
        <w:t xml:space="preserve">implementation of </w:t>
      </w:r>
      <w:r w:rsidRPr="00241B3B">
        <w:rPr>
          <w:lang w:val="en-AU" w:eastAsia="en-AU"/>
        </w:rPr>
        <w:t>CRPD housing articles</w:t>
      </w:r>
      <w:r w:rsidR="00EC66B4">
        <w:rPr>
          <w:lang w:val="en-AU" w:eastAsia="en-AU"/>
        </w:rPr>
        <w:t>'</w:t>
      </w:r>
      <w:r w:rsidR="007633D3" w:rsidRPr="00241B3B">
        <w:rPr>
          <w:lang w:val="en-AU" w:eastAsia="en-AU"/>
        </w:rPr>
        <w:t>) in the Disability Royal Commission Final Report</w:t>
      </w:r>
      <w:r w:rsidR="00384734" w:rsidRPr="00241B3B">
        <w:rPr>
          <w:lang w:val="en-AU" w:eastAsia="en-AU"/>
        </w:rPr>
        <w:t>.</w:t>
      </w:r>
    </w:p>
    <w:p w14:paraId="4F45701C" w14:textId="77777777" w:rsidR="00444D3A" w:rsidRPr="00241B3B" w:rsidRDefault="00444D3A">
      <w:pPr>
        <w:spacing w:before="0" w:after="120" w:line="280" w:lineRule="atLeast"/>
        <w:rPr>
          <w:rFonts w:eastAsia="Times New Roman" w:cstheme="minorHAnsi"/>
          <w:color w:val="242424"/>
          <w:lang w:eastAsia="en-AU"/>
        </w:rPr>
      </w:pPr>
      <w:r w:rsidRPr="00241B3B">
        <w:rPr>
          <w:rFonts w:eastAsia="Times New Roman" w:cstheme="minorHAnsi"/>
          <w:color w:val="242424"/>
          <w:lang w:eastAsia="en-AU"/>
        </w:rPr>
        <w:br w:type="page"/>
      </w:r>
    </w:p>
    <w:p w14:paraId="1820FFF6" w14:textId="150B6E7F" w:rsidR="005C341E" w:rsidRPr="00241B3B" w:rsidRDefault="005C341E" w:rsidP="008A2313">
      <w:pPr>
        <w:pStyle w:val="Heading1"/>
      </w:pPr>
      <w:bookmarkStart w:id="130" w:name="_Toc146790478"/>
      <w:bookmarkStart w:id="131" w:name="_Toc147405540"/>
      <w:bookmarkStart w:id="132" w:name="_Toc147911763"/>
      <w:bookmarkStart w:id="133" w:name="_Toc148013344"/>
      <w:bookmarkStart w:id="134" w:name="_Toc148957826"/>
      <w:r w:rsidRPr="00241B3B">
        <w:lastRenderedPageBreak/>
        <w:t xml:space="preserve">Targeted </w:t>
      </w:r>
      <w:r w:rsidR="007B2C89" w:rsidRPr="00241B3B">
        <w:t>Housing</w:t>
      </w:r>
      <w:r w:rsidRPr="00241B3B">
        <w:t xml:space="preserve"> Action </w:t>
      </w:r>
      <w:bookmarkEnd w:id="130"/>
      <w:bookmarkEnd w:id="131"/>
      <w:r w:rsidR="0090727B" w:rsidRPr="00241B3B">
        <w:t xml:space="preserve">Plan </w:t>
      </w:r>
      <w:r w:rsidR="00426442" w:rsidRPr="00241B3B">
        <w:t xml:space="preserve">for People with </w:t>
      </w:r>
      <w:r w:rsidR="00E05D25" w:rsidRPr="00241B3B">
        <w:t>Disability</w:t>
      </w:r>
      <w:bookmarkEnd w:id="132"/>
      <w:bookmarkEnd w:id="133"/>
      <w:bookmarkEnd w:id="134"/>
    </w:p>
    <w:p w14:paraId="1BC779AE" w14:textId="25AE172E" w:rsidR="00B41DD5" w:rsidRPr="00241B3B" w:rsidRDefault="005C341E" w:rsidP="00241B3B">
      <w:pPr>
        <w:pStyle w:val="BodyText"/>
        <w:rPr>
          <w:lang w:val="en-AU"/>
        </w:rPr>
      </w:pPr>
      <w:r w:rsidRPr="00241B3B">
        <w:rPr>
          <w:lang w:val="en-AU"/>
        </w:rPr>
        <w:t xml:space="preserve">Naturally progressing from the work to phase out congregate living, </w:t>
      </w:r>
      <w:r w:rsidR="008A7F64" w:rsidRPr="00241B3B">
        <w:rPr>
          <w:lang w:val="en-AU"/>
        </w:rPr>
        <w:t>i</w:t>
      </w:r>
      <w:r w:rsidRPr="00241B3B">
        <w:rPr>
          <w:lang w:val="en-AU"/>
        </w:rPr>
        <w:t xml:space="preserve">t is critical that a </w:t>
      </w:r>
      <w:r w:rsidR="005F4ECC" w:rsidRPr="00241B3B">
        <w:rPr>
          <w:color w:val="0A0A0A"/>
          <w:shd w:val="clear" w:color="auto" w:fill="FFFFFF"/>
          <w:lang w:val="en-AU"/>
        </w:rPr>
        <w:t>Targeted Housing Action Plan for People with Disability</w:t>
      </w:r>
      <w:r w:rsidR="005F4ECC" w:rsidRPr="00241B3B">
        <w:rPr>
          <w:b/>
          <w:bCs/>
          <w:color w:val="0A0A0A"/>
          <w:shd w:val="clear" w:color="auto" w:fill="FFFFFF"/>
          <w:lang w:val="en-AU"/>
        </w:rPr>
        <w:t xml:space="preserve"> </w:t>
      </w:r>
      <w:r w:rsidRPr="00241B3B">
        <w:rPr>
          <w:lang w:val="en-AU"/>
        </w:rPr>
        <w:t>is developed</w:t>
      </w:r>
      <w:r w:rsidR="0024755A" w:rsidRPr="00241B3B">
        <w:rPr>
          <w:lang w:val="en-AU"/>
        </w:rPr>
        <w:t xml:space="preserve"> to s</w:t>
      </w:r>
      <w:r w:rsidRPr="00241B3B">
        <w:rPr>
          <w:lang w:val="en-AU"/>
        </w:rPr>
        <w:t xml:space="preserve">et out actions </w:t>
      </w:r>
      <w:r w:rsidR="0024755A" w:rsidRPr="00241B3B">
        <w:rPr>
          <w:lang w:val="en-AU"/>
        </w:rPr>
        <w:t xml:space="preserve">that </w:t>
      </w:r>
      <w:r w:rsidRPr="00241B3B">
        <w:rPr>
          <w:lang w:val="en-AU"/>
        </w:rPr>
        <w:t>address the issues of supply, affordability, accessibility and safety</w:t>
      </w:r>
      <w:r w:rsidR="0024755A" w:rsidRPr="00241B3B">
        <w:rPr>
          <w:lang w:val="en-AU"/>
        </w:rPr>
        <w:t xml:space="preserve"> for people with disability</w:t>
      </w:r>
      <w:r w:rsidRPr="00241B3B">
        <w:rPr>
          <w:lang w:val="en-AU"/>
        </w:rPr>
        <w:t xml:space="preserve">. </w:t>
      </w:r>
      <w:r w:rsidR="00BB4946" w:rsidRPr="00241B3B">
        <w:rPr>
          <w:lang w:val="en-AU"/>
        </w:rPr>
        <w:t>The Congregate Housing Transition Plan</w:t>
      </w:r>
      <w:r w:rsidR="00BB4946" w:rsidRPr="00241B3B">
        <w:rPr>
          <w:i/>
          <w:iCs/>
          <w:lang w:val="en-AU"/>
        </w:rPr>
        <w:t xml:space="preserve"> </w:t>
      </w:r>
      <w:r w:rsidR="00BB4946" w:rsidRPr="00241B3B">
        <w:rPr>
          <w:lang w:val="en-AU"/>
        </w:rPr>
        <w:t xml:space="preserve">would </w:t>
      </w:r>
      <w:r w:rsidR="006B1D39" w:rsidRPr="00241B3B">
        <w:rPr>
          <w:lang w:val="en-AU"/>
        </w:rPr>
        <w:t xml:space="preserve">be embedded within this </w:t>
      </w:r>
      <w:r w:rsidR="00BB4946" w:rsidRPr="00241B3B">
        <w:rPr>
          <w:lang w:val="en-AU"/>
        </w:rPr>
        <w:t xml:space="preserve">Action Plan, which would </w:t>
      </w:r>
      <w:r w:rsidR="00DB6A58" w:rsidRPr="00241B3B">
        <w:rPr>
          <w:lang w:val="en-AU"/>
        </w:rPr>
        <w:t xml:space="preserve">form </w:t>
      </w:r>
      <w:r w:rsidR="00124352" w:rsidRPr="00241B3B">
        <w:rPr>
          <w:lang w:val="en-AU"/>
        </w:rPr>
        <w:t>part of the</w:t>
      </w:r>
      <w:r w:rsidR="006B1D39" w:rsidRPr="00241B3B">
        <w:rPr>
          <w:lang w:val="en-AU"/>
        </w:rPr>
        <w:t xml:space="preserve"> </w:t>
      </w:r>
      <w:r w:rsidR="00BB4946" w:rsidRPr="00241B3B">
        <w:rPr>
          <w:lang w:val="en-AU"/>
        </w:rPr>
        <w:t xml:space="preserve">NHHP. </w:t>
      </w:r>
    </w:p>
    <w:p w14:paraId="320121F1" w14:textId="2B84CAE7" w:rsidR="00201E43" w:rsidRPr="00241B3B" w:rsidRDefault="00201E43" w:rsidP="00424471">
      <w:pPr>
        <w:spacing w:line="288" w:lineRule="auto"/>
        <w:rPr>
          <w:rFonts w:cstheme="minorHAnsi"/>
        </w:rPr>
      </w:pPr>
      <w:r w:rsidRPr="00241B3B">
        <w:rPr>
          <w:rFonts w:cstheme="minorHAnsi"/>
          <w:noProof/>
        </w:rPr>
        <w:drawing>
          <wp:inline distT="0" distB="0" distL="0" distR="0" wp14:anchorId="2068C408" wp14:editId="53DB7236">
            <wp:extent cx="6758608" cy="2401294"/>
            <wp:effectExtent l="0" t="0" r="0" b="37465"/>
            <wp:docPr id="104076330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CE2DAC9" w14:textId="61A3B460" w:rsidR="003E0BB4" w:rsidRPr="00241B3B" w:rsidRDefault="003E0BB4" w:rsidP="00455C05">
      <w:pPr>
        <w:spacing w:line="288" w:lineRule="auto"/>
        <w:jc w:val="center"/>
        <w:rPr>
          <w:rFonts w:cstheme="minorHAnsi"/>
          <w:i/>
          <w:iCs/>
        </w:rPr>
      </w:pPr>
      <w:r w:rsidRPr="00241B3B">
        <w:rPr>
          <w:rFonts w:cstheme="minorHAnsi"/>
          <w:i/>
          <w:iCs/>
        </w:rPr>
        <w:t xml:space="preserve">Fig. 1 Proposed </w:t>
      </w:r>
      <w:r w:rsidR="00702FD1" w:rsidRPr="00241B3B">
        <w:rPr>
          <w:rFonts w:cstheme="minorHAnsi"/>
          <w:i/>
          <w:iCs/>
        </w:rPr>
        <w:t xml:space="preserve">linkages between </w:t>
      </w:r>
      <w:r w:rsidR="00346DBC" w:rsidRPr="00241B3B">
        <w:rPr>
          <w:rFonts w:cstheme="minorHAnsi"/>
          <w:i/>
          <w:iCs/>
        </w:rPr>
        <w:t xml:space="preserve">the NHHP and </w:t>
      </w:r>
      <w:r w:rsidR="00702FD1" w:rsidRPr="00241B3B">
        <w:rPr>
          <w:rFonts w:cstheme="minorHAnsi"/>
          <w:i/>
          <w:iCs/>
        </w:rPr>
        <w:t>recommended</w:t>
      </w:r>
      <w:r w:rsidR="00346DBC" w:rsidRPr="00241B3B">
        <w:rPr>
          <w:rFonts w:cstheme="minorHAnsi"/>
          <w:i/>
          <w:iCs/>
        </w:rPr>
        <w:t xml:space="preserve"> plans</w:t>
      </w:r>
      <w:r w:rsidRPr="00241B3B">
        <w:rPr>
          <w:rFonts w:cstheme="minorHAnsi"/>
          <w:i/>
          <w:iCs/>
        </w:rPr>
        <w:t>.</w:t>
      </w:r>
    </w:p>
    <w:p w14:paraId="2647D4D8" w14:textId="1C232F86" w:rsidR="002868DF" w:rsidRPr="00241B3B" w:rsidRDefault="00E4274F" w:rsidP="00241B3B">
      <w:pPr>
        <w:pStyle w:val="BodyText"/>
        <w:rPr>
          <w:lang w:val="en-AU"/>
        </w:rPr>
      </w:pPr>
      <w:r w:rsidRPr="00241B3B">
        <w:rPr>
          <w:lang w:val="en-AU"/>
        </w:rPr>
        <w:t xml:space="preserve">At present, there </w:t>
      </w:r>
      <w:r w:rsidR="009836E4" w:rsidRPr="00241B3B">
        <w:rPr>
          <w:lang w:val="en-AU"/>
        </w:rPr>
        <w:t>are not</w:t>
      </w:r>
      <w:r w:rsidRPr="00241B3B">
        <w:rPr>
          <w:lang w:val="en-AU"/>
        </w:rPr>
        <w:t xml:space="preserve"> adequate mechanisms</w:t>
      </w:r>
      <w:r w:rsidR="00EC7710" w:rsidRPr="00241B3B">
        <w:rPr>
          <w:lang w:val="en-AU"/>
        </w:rPr>
        <w:t xml:space="preserve"> to</w:t>
      </w:r>
      <w:r w:rsidRPr="00241B3B">
        <w:rPr>
          <w:lang w:val="en-AU"/>
        </w:rPr>
        <w:t xml:space="preserve"> address housing and homelessness for people with disability. </w:t>
      </w:r>
      <w:r w:rsidR="0067613A" w:rsidRPr="00241B3B">
        <w:rPr>
          <w:lang w:val="en-AU"/>
        </w:rPr>
        <w:t>P</w:t>
      </w:r>
      <w:r w:rsidR="002868DF" w:rsidRPr="00241B3B">
        <w:rPr>
          <w:lang w:val="en-AU"/>
        </w:rPr>
        <w:t xml:space="preserve">eople with disability must be a priority group in both the National Housing and Homelessness Agreement (NHHA) and the National Housing and Homelessness Plan (NHHP) as per Recommendation 7.33 </w:t>
      </w:r>
      <w:r w:rsidR="00007DC1" w:rsidRPr="00241B3B">
        <w:rPr>
          <w:lang w:val="en-AU"/>
        </w:rPr>
        <w:t>(</w:t>
      </w:r>
      <w:r w:rsidR="00C21488" w:rsidRPr="00241B3B">
        <w:rPr>
          <w:lang w:val="en-AU"/>
        </w:rPr>
        <w:t>‘</w:t>
      </w:r>
      <w:r w:rsidR="002868DF" w:rsidRPr="00241B3B">
        <w:rPr>
          <w:lang w:val="en-AU"/>
        </w:rPr>
        <w:t>Prioritise people with disability in key national housing and homelessness approaches</w:t>
      </w:r>
      <w:r w:rsidR="00C21488" w:rsidRPr="00241B3B">
        <w:rPr>
          <w:lang w:val="en-AU"/>
        </w:rPr>
        <w:t>’</w:t>
      </w:r>
      <w:r w:rsidR="00007DC1" w:rsidRPr="00241B3B">
        <w:rPr>
          <w:lang w:val="en-AU"/>
        </w:rPr>
        <w:t>)</w:t>
      </w:r>
      <w:r w:rsidR="002868DF" w:rsidRPr="00241B3B">
        <w:rPr>
          <w:lang w:val="en-AU"/>
        </w:rPr>
        <w:t xml:space="preserve"> and Recommendation 7.40 </w:t>
      </w:r>
      <w:r w:rsidR="00007DC1" w:rsidRPr="00241B3B">
        <w:rPr>
          <w:lang w:val="en-AU"/>
        </w:rPr>
        <w:t>(</w:t>
      </w:r>
      <w:r w:rsidR="00C21488" w:rsidRPr="00241B3B">
        <w:rPr>
          <w:lang w:val="en-AU"/>
        </w:rPr>
        <w:t>‘</w:t>
      </w:r>
      <w:r w:rsidR="002868DF" w:rsidRPr="00241B3B">
        <w:rPr>
          <w:lang w:val="en-AU"/>
        </w:rPr>
        <w:t>Address homelessness for people with disability in the National Housing and Homelessness Plan</w:t>
      </w:r>
      <w:r w:rsidR="00C21488" w:rsidRPr="00241B3B">
        <w:rPr>
          <w:lang w:val="en-AU"/>
        </w:rPr>
        <w:t>’</w:t>
      </w:r>
      <w:r w:rsidR="00007DC1" w:rsidRPr="00241B3B">
        <w:rPr>
          <w:lang w:val="en-AU"/>
        </w:rPr>
        <w:t>)</w:t>
      </w:r>
      <w:r w:rsidR="002868DF" w:rsidRPr="00241B3B">
        <w:rPr>
          <w:lang w:val="en-AU"/>
        </w:rPr>
        <w:t xml:space="preserve"> in the</w:t>
      </w:r>
      <w:r w:rsidR="00007DC1" w:rsidRPr="00241B3B">
        <w:rPr>
          <w:lang w:val="en-AU"/>
        </w:rPr>
        <w:t xml:space="preserve"> </w:t>
      </w:r>
      <w:r w:rsidR="002868DF" w:rsidRPr="00241B3B">
        <w:rPr>
          <w:lang w:val="en-AU"/>
        </w:rPr>
        <w:t>Disability Royal Commission</w:t>
      </w:r>
      <w:r w:rsidR="00007DC1" w:rsidRPr="00241B3B">
        <w:rPr>
          <w:lang w:val="en-AU"/>
        </w:rPr>
        <w:t>’s</w:t>
      </w:r>
      <w:r w:rsidR="00240D2A" w:rsidRPr="00241B3B">
        <w:rPr>
          <w:lang w:val="en-AU"/>
        </w:rPr>
        <w:t xml:space="preserve"> Final Report.</w:t>
      </w:r>
    </w:p>
    <w:p w14:paraId="281E9536" w14:textId="77777777" w:rsidR="0067613A" w:rsidRPr="00241B3B" w:rsidRDefault="002868DF" w:rsidP="00241B3B">
      <w:pPr>
        <w:pStyle w:val="BodyText"/>
        <w:rPr>
          <w:lang w:val="en-AU"/>
        </w:rPr>
      </w:pPr>
      <w:r w:rsidRPr="00241B3B">
        <w:rPr>
          <w:lang w:val="en-AU"/>
        </w:rPr>
        <w:t xml:space="preserve">A </w:t>
      </w:r>
      <w:r w:rsidR="008721C0" w:rsidRPr="00241B3B">
        <w:rPr>
          <w:lang w:val="en-AU"/>
        </w:rPr>
        <w:t xml:space="preserve">Targeted </w:t>
      </w:r>
      <w:r w:rsidR="003530FD" w:rsidRPr="00241B3B">
        <w:rPr>
          <w:lang w:val="en-AU"/>
        </w:rPr>
        <w:t>Housing</w:t>
      </w:r>
      <w:r w:rsidR="008721C0" w:rsidRPr="00241B3B">
        <w:rPr>
          <w:lang w:val="en-AU"/>
        </w:rPr>
        <w:t xml:space="preserve"> Action Plan</w:t>
      </w:r>
      <w:r w:rsidR="003530FD" w:rsidRPr="00241B3B">
        <w:rPr>
          <w:lang w:val="en-AU"/>
        </w:rPr>
        <w:t xml:space="preserve"> for People with Disability</w:t>
      </w:r>
      <w:r w:rsidRPr="00241B3B">
        <w:rPr>
          <w:lang w:val="en-AU"/>
        </w:rPr>
        <w:t xml:space="preserve"> must be developed to sit </w:t>
      </w:r>
      <w:r w:rsidR="00124352" w:rsidRPr="00241B3B">
        <w:rPr>
          <w:lang w:val="en-AU"/>
        </w:rPr>
        <w:t>within</w:t>
      </w:r>
      <w:r w:rsidRPr="00241B3B">
        <w:rPr>
          <w:lang w:val="en-AU"/>
        </w:rPr>
        <w:t xml:space="preserve"> the NHHP with four priority areas</w:t>
      </w:r>
      <w:r w:rsidR="006B0E99" w:rsidRPr="00241B3B">
        <w:rPr>
          <w:lang w:val="en-AU"/>
        </w:rPr>
        <w:t xml:space="preserve">, and six key outcome areas. </w:t>
      </w:r>
    </w:p>
    <w:p w14:paraId="72BAB902" w14:textId="156D95F5" w:rsidR="00B41DD5" w:rsidRPr="00241B3B" w:rsidRDefault="00B41DD5" w:rsidP="00241B3B">
      <w:pPr>
        <w:pStyle w:val="BodyText"/>
        <w:rPr>
          <w:lang w:val="en-AU"/>
        </w:rPr>
      </w:pPr>
      <w:r w:rsidRPr="00241B3B">
        <w:rPr>
          <w:lang w:val="en-AU"/>
        </w:rPr>
        <w:t>The following section will</w:t>
      </w:r>
      <w:r w:rsidR="00CF3C75" w:rsidRPr="00241B3B">
        <w:rPr>
          <w:lang w:val="en-AU"/>
        </w:rPr>
        <w:t xml:space="preserve"> </w:t>
      </w:r>
      <w:r w:rsidR="00960DC0" w:rsidRPr="00241B3B">
        <w:rPr>
          <w:lang w:val="en-AU"/>
        </w:rPr>
        <w:t xml:space="preserve">firstly </w:t>
      </w:r>
      <w:r w:rsidR="00CF3C75" w:rsidRPr="00241B3B">
        <w:rPr>
          <w:lang w:val="en-AU"/>
        </w:rPr>
        <w:t>outline</w:t>
      </w:r>
      <w:r w:rsidRPr="00241B3B">
        <w:rPr>
          <w:lang w:val="en-AU"/>
        </w:rPr>
        <w:t xml:space="preserve"> the </w:t>
      </w:r>
      <w:r w:rsidR="00960DC0" w:rsidRPr="00241B3B">
        <w:rPr>
          <w:lang w:val="en-AU"/>
        </w:rPr>
        <w:t xml:space="preserve">need for the four </w:t>
      </w:r>
      <w:r w:rsidRPr="00241B3B">
        <w:rPr>
          <w:lang w:val="en-AU"/>
        </w:rPr>
        <w:t>priority areas</w:t>
      </w:r>
      <w:r w:rsidR="00CF3C75" w:rsidRPr="00241B3B">
        <w:rPr>
          <w:lang w:val="en-AU"/>
        </w:rPr>
        <w:t xml:space="preserve"> </w:t>
      </w:r>
      <w:r w:rsidR="00960DC0" w:rsidRPr="00241B3B">
        <w:rPr>
          <w:lang w:val="en-AU"/>
        </w:rPr>
        <w:t xml:space="preserve">of </w:t>
      </w:r>
      <w:r w:rsidR="00CF3C75" w:rsidRPr="00241B3B">
        <w:rPr>
          <w:lang w:val="en-AU"/>
        </w:rPr>
        <w:t>the</w:t>
      </w:r>
      <w:r w:rsidR="002F6C1E" w:rsidRPr="00241B3B">
        <w:rPr>
          <w:lang w:val="en-AU"/>
        </w:rPr>
        <w:t xml:space="preserve"> Action Plan</w:t>
      </w:r>
      <w:r w:rsidRPr="00241B3B">
        <w:rPr>
          <w:lang w:val="en-AU"/>
        </w:rPr>
        <w:t>, followed by</w:t>
      </w:r>
      <w:r w:rsidR="009C5F58" w:rsidRPr="00241B3B">
        <w:rPr>
          <w:lang w:val="en-AU"/>
        </w:rPr>
        <w:t xml:space="preserve"> outlining</w:t>
      </w:r>
      <w:r w:rsidRPr="00241B3B">
        <w:rPr>
          <w:lang w:val="en-AU"/>
        </w:rPr>
        <w:t xml:space="preserve"> </w:t>
      </w:r>
      <w:r w:rsidR="00E77DC0" w:rsidRPr="00241B3B">
        <w:rPr>
          <w:lang w:val="en-AU"/>
        </w:rPr>
        <w:t>the</w:t>
      </w:r>
      <w:r w:rsidRPr="00241B3B">
        <w:rPr>
          <w:lang w:val="en-AU"/>
        </w:rPr>
        <w:t xml:space="preserve"> outcomes</w:t>
      </w:r>
      <w:r w:rsidR="00E77DC0" w:rsidRPr="00241B3B">
        <w:rPr>
          <w:lang w:val="en-AU"/>
        </w:rPr>
        <w:t xml:space="preserve"> the plan must achieve. </w:t>
      </w:r>
      <w:r w:rsidRPr="00241B3B">
        <w:rPr>
          <w:lang w:val="en-AU"/>
        </w:rPr>
        <w:t xml:space="preserve"> </w:t>
      </w:r>
    </w:p>
    <w:p w14:paraId="6F6334E2" w14:textId="6D2AFA1F" w:rsidR="0024755A" w:rsidRPr="00241B3B" w:rsidRDefault="00FD2875" w:rsidP="00D230BF">
      <w:pPr>
        <w:pStyle w:val="Heading3"/>
        <w:spacing w:line="240" w:lineRule="auto"/>
      </w:pPr>
      <w:bookmarkStart w:id="135" w:name="_Toc147911764"/>
      <w:bookmarkStart w:id="136" w:name="_Toc148013345"/>
      <w:bookmarkStart w:id="137" w:name="_Toc148957827"/>
      <w:r w:rsidRPr="00241B3B">
        <w:lastRenderedPageBreak/>
        <w:t>Priority</w:t>
      </w:r>
      <w:r w:rsidR="00DD3A8F" w:rsidRPr="00241B3B">
        <w:t xml:space="preserve"> </w:t>
      </w:r>
      <w:r w:rsidR="0024755A" w:rsidRPr="00241B3B">
        <w:t xml:space="preserve">areas for the Targeted </w:t>
      </w:r>
      <w:r w:rsidR="007B2C89" w:rsidRPr="00241B3B">
        <w:t xml:space="preserve">Housing </w:t>
      </w:r>
      <w:r w:rsidR="00B41DD5" w:rsidRPr="00241B3B">
        <w:t>Action</w:t>
      </w:r>
      <w:r w:rsidR="0024755A" w:rsidRPr="00241B3B">
        <w:t xml:space="preserve"> Plan</w:t>
      </w:r>
      <w:r w:rsidR="00EE02A3" w:rsidRPr="00241B3B">
        <w:t xml:space="preserve"> for People with Disabil</w:t>
      </w:r>
      <w:r w:rsidR="00002861" w:rsidRPr="00241B3B">
        <w:t>ity</w:t>
      </w:r>
      <w:bookmarkEnd w:id="135"/>
      <w:bookmarkEnd w:id="136"/>
      <w:bookmarkEnd w:id="137"/>
    </w:p>
    <w:p w14:paraId="66637B05" w14:textId="77777777" w:rsidR="005C341E" w:rsidRPr="00241B3B" w:rsidRDefault="005C341E" w:rsidP="00424471">
      <w:pPr>
        <w:pStyle w:val="Heading4"/>
        <w:spacing w:line="288" w:lineRule="auto"/>
      </w:pPr>
      <w:bookmarkStart w:id="138" w:name="_Toc146790479"/>
      <w:bookmarkStart w:id="139" w:name="_Toc147405541"/>
      <w:r w:rsidRPr="00241B3B">
        <w:t>Priority area 1: Housing undersupply</w:t>
      </w:r>
      <w:bookmarkEnd w:id="138"/>
      <w:bookmarkEnd w:id="139"/>
    </w:p>
    <w:p w14:paraId="117350C0" w14:textId="01109A2C" w:rsidR="005C341E" w:rsidRPr="00241B3B" w:rsidRDefault="005C341E" w:rsidP="00241B3B">
      <w:pPr>
        <w:pStyle w:val="BodyText"/>
        <w:rPr>
          <w:lang w:val="en-AU"/>
        </w:rPr>
      </w:pPr>
      <w:r w:rsidRPr="00241B3B">
        <w:rPr>
          <w:lang w:val="en-AU"/>
        </w:rPr>
        <w:t>At present, there is a lack of supply across all types of housing,</w:t>
      </w:r>
      <w:r w:rsidR="00976F02" w:rsidRPr="00241B3B">
        <w:rPr>
          <w:lang w:val="en-AU"/>
        </w:rPr>
        <w:t xml:space="preserve"> with</w:t>
      </w:r>
      <w:r w:rsidR="002F51C3" w:rsidRPr="00241B3B">
        <w:rPr>
          <w:lang w:val="en-AU"/>
        </w:rPr>
        <w:t xml:space="preserve"> the </w:t>
      </w:r>
      <w:r w:rsidRPr="00241B3B">
        <w:rPr>
          <w:lang w:val="en-AU"/>
        </w:rPr>
        <w:t xml:space="preserve">likelihood of </w:t>
      </w:r>
      <w:r w:rsidR="002F51C3" w:rsidRPr="00241B3B">
        <w:rPr>
          <w:lang w:val="en-AU"/>
        </w:rPr>
        <w:t xml:space="preserve">any available </w:t>
      </w:r>
      <w:r w:rsidRPr="00241B3B">
        <w:rPr>
          <w:lang w:val="en-AU"/>
        </w:rPr>
        <w:t>housing being unaffordable</w:t>
      </w:r>
      <w:r w:rsidR="00574503" w:rsidRPr="00241B3B">
        <w:rPr>
          <w:lang w:val="en-AU"/>
        </w:rPr>
        <w:t xml:space="preserve"> </w:t>
      </w:r>
      <w:r w:rsidR="002F51C3" w:rsidRPr="00241B3B">
        <w:rPr>
          <w:lang w:val="en-AU"/>
        </w:rPr>
        <w:t>for people with disability</w:t>
      </w:r>
      <w:r w:rsidRPr="00241B3B">
        <w:rPr>
          <w:lang w:val="en-AU"/>
        </w:rPr>
        <w:t>. Further, PWDA has heard from people with disability who have been supported with</w:t>
      </w:r>
      <w:r w:rsidR="009C0A6C" w:rsidRPr="00241B3B">
        <w:rPr>
          <w:lang w:val="en-AU"/>
        </w:rPr>
        <w:t xml:space="preserve"> individual</w:t>
      </w:r>
      <w:r w:rsidRPr="00241B3B">
        <w:rPr>
          <w:lang w:val="en-AU"/>
        </w:rPr>
        <w:t xml:space="preserve"> advocacy</w:t>
      </w:r>
      <w:r w:rsidR="001F2821" w:rsidRPr="00241B3B">
        <w:rPr>
          <w:lang w:val="en-AU"/>
        </w:rPr>
        <w:t xml:space="preserve"> </w:t>
      </w:r>
      <w:r w:rsidRPr="00241B3B">
        <w:rPr>
          <w:lang w:val="en-AU"/>
        </w:rPr>
        <w:t>that there is a high likelihood of housing being inaccessible for their disability needs.</w:t>
      </w:r>
      <w:r w:rsidR="00EA5C41" w:rsidRPr="00241B3B">
        <w:rPr>
          <w:lang w:val="en-AU"/>
        </w:rPr>
        <w:t xml:space="preserve"> </w:t>
      </w:r>
      <w:r w:rsidR="00E667B9" w:rsidRPr="00241B3B">
        <w:rPr>
          <w:lang w:val="en-AU"/>
        </w:rPr>
        <w:t xml:space="preserve">Consequently, people with disability do not have access to </w:t>
      </w:r>
      <w:r w:rsidR="00E667B9" w:rsidRPr="00241B3B">
        <w:rPr>
          <w:rFonts w:cstheme="minorHAnsi"/>
          <w:spacing w:val="4"/>
          <w:lang w:val="en-AU"/>
        </w:rPr>
        <w:t>safe</w:t>
      </w:r>
      <w:r w:rsidR="00E667B9" w:rsidRPr="00241B3B">
        <w:rPr>
          <w:rFonts w:cstheme="minorHAnsi"/>
          <w:color w:val="4A4A4A"/>
          <w:spacing w:val="4"/>
          <w:lang w:val="en-AU"/>
        </w:rPr>
        <w:t xml:space="preserve">, </w:t>
      </w:r>
      <w:r w:rsidR="00E667B9" w:rsidRPr="00241B3B">
        <w:rPr>
          <w:rFonts w:cstheme="minorHAnsi"/>
          <w:spacing w:val="4"/>
          <w:lang w:val="en-AU"/>
        </w:rPr>
        <w:t xml:space="preserve">affordable or accessible housing, exposing </w:t>
      </w:r>
      <w:r w:rsidR="0067613A" w:rsidRPr="00241B3B">
        <w:rPr>
          <w:rFonts w:cstheme="minorHAnsi"/>
          <w:spacing w:val="4"/>
          <w:lang w:val="en-AU"/>
        </w:rPr>
        <w:t>them</w:t>
      </w:r>
      <w:r w:rsidR="004D2D71" w:rsidRPr="00241B3B">
        <w:rPr>
          <w:rFonts w:cstheme="minorHAnsi"/>
          <w:spacing w:val="4"/>
          <w:lang w:val="en-AU"/>
        </w:rPr>
        <w:t xml:space="preserve"> </w:t>
      </w:r>
      <w:r w:rsidR="00E667B9" w:rsidRPr="00241B3B">
        <w:rPr>
          <w:rFonts w:cstheme="minorHAnsi"/>
          <w:spacing w:val="4"/>
          <w:lang w:val="en-AU"/>
        </w:rPr>
        <w:t>to housing insecurity in the short and long-term.</w:t>
      </w:r>
      <w:r w:rsidR="00E667B9" w:rsidRPr="00241B3B">
        <w:rPr>
          <w:rStyle w:val="FootnoteReference"/>
          <w:rFonts w:cstheme="minorHAnsi"/>
          <w:spacing w:val="4"/>
          <w:lang w:val="en-AU"/>
        </w:rPr>
        <w:footnoteReference w:id="9"/>
      </w:r>
    </w:p>
    <w:p w14:paraId="456D1BAA" w14:textId="4540E44E" w:rsidR="00970632" w:rsidRPr="00241B3B" w:rsidRDefault="00970632" w:rsidP="00241B3B">
      <w:pPr>
        <w:pStyle w:val="BodyText"/>
        <w:rPr>
          <w:lang w:val="en-AU"/>
        </w:rPr>
      </w:pPr>
      <w:r w:rsidRPr="00241B3B">
        <w:rPr>
          <w:lang w:val="en-AU"/>
        </w:rPr>
        <w:t xml:space="preserve">In terms of access, the primary barrier to housing access for people with disability is undersupply. The Grattan Institute’s submission to the parliamentary inquiry into housing affordability and supply in Australia in 2021 stated that: </w:t>
      </w:r>
    </w:p>
    <w:p w14:paraId="05CB1EC8" w14:textId="2FA5BDBC" w:rsidR="00970632" w:rsidRPr="00241B3B" w:rsidRDefault="0067613A" w:rsidP="003860BF">
      <w:pPr>
        <w:pStyle w:val="Quote"/>
        <w:spacing w:line="288" w:lineRule="auto"/>
        <w:jc w:val="left"/>
        <w:rPr>
          <w:i w:val="0"/>
          <w:iCs w:val="0"/>
        </w:rPr>
      </w:pPr>
      <w:r w:rsidRPr="00241B3B">
        <w:t>‘</w:t>
      </w:r>
      <w:r w:rsidR="00970632" w:rsidRPr="00241B3B">
        <w:t>Australian cities have not built enough housing to meet the need</w:t>
      </w:r>
      <w:r w:rsidR="0032714F" w:rsidRPr="00241B3B">
        <w:t>s of</w:t>
      </w:r>
      <w:r w:rsidR="00970632" w:rsidRPr="00241B3B">
        <w:t xml:space="preserve"> Australia’s growing population. Australia has just over 400 dwellings per 1,000 people, which is among the least housing stock per adult in the developed world.</w:t>
      </w:r>
      <w:r w:rsidRPr="00241B3B">
        <w:t>’</w:t>
      </w:r>
      <w:r w:rsidR="00970632" w:rsidRPr="00241B3B">
        <w:rPr>
          <w:rStyle w:val="FootnoteReference"/>
        </w:rPr>
        <w:footnoteReference w:id="10"/>
      </w:r>
    </w:p>
    <w:p w14:paraId="632D9922" w14:textId="77777777" w:rsidR="00F44A08" w:rsidRPr="00241B3B" w:rsidRDefault="005C341E" w:rsidP="00241B3B">
      <w:pPr>
        <w:pStyle w:val="BodyText"/>
        <w:rPr>
          <w:lang w:val="en-AU"/>
        </w:rPr>
      </w:pPr>
      <w:r w:rsidRPr="00241B3B">
        <w:rPr>
          <w:lang w:val="en-AU"/>
        </w:rPr>
        <w:t xml:space="preserve">Shortages in housing supply are occurring across Australia, from crisis support </w:t>
      </w:r>
      <w:r w:rsidR="00C402F5" w:rsidRPr="00241B3B">
        <w:rPr>
          <w:lang w:val="en-AU"/>
        </w:rPr>
        <w:t xml:space="preserve">and transitional </w:t>
      </w:r>
      <w:r w:rsidRPr="00241B3B">
        <w:rPr>
          <w:lang w:val="en-AU"/>
        </w:rPr>
        <w:t>accommodation to affordable</w:t>
      </w:r>
      <w:r w:rsidR="00965BA6" w:rsidRPr="00241B3B">
        <w:rPr>
          <w:lang w:val="en-AU"/>
        </w:rPr>
        <w:t>, public</w:t>
      </w:r>
      <w:r w:rsidRPr="00241B3B">
        <w:rPr>
          <w:lang w:val="en-AU"/>
        </w:rPr>
        <w:t xml:space="preserve"> and social housing options. PWDA</w:t>
      </w:r>
      <w:r w:rsidR="00103D07" w:rsidRPr="00241B3B">
        <w:rPr>
          <w:lang w:val="en-AU"/>
        </w:rPr>
        <w:t xml:space="preserve">’s individual advocates </w:t>
      </w:r>
      <w:r w:rsidRPr="00241B3B">
        <w:rPr>
          <w:lang w:val="en-AU"/>
        </w:rPr>
        <w:t>h</w:t>
      </w:r>
      <w:r w:rsidR="00103D07" w:rsidRPr="00241B3B">
        <w:rPr>
          <w:lang w:val="en-AU"/>
        </w:rPr>
        <w:t>ave</w:t>
      </w:r>
      <w:r w:rsidRPr="00241B3B">
        <w:rPr>
          <w:lang w:val="en-AU"/>
        </w:rPr>
        <w:t xml:space="preserve"> heard </w:t>
      </w:r>
      <w:r w:rsidR="00372B17" w:rsidRPr="00241B3B">
        <w:rPr>
          <w:lang w:val="en-AU"/>
        </w:rPr>
        <w:t xml:space="preserve">that </w:t>
      </w:r>
      <w:r w:rsidRPr="00241B3B">
        <w:rPr>
          <w:lang w:val="en-AU"/>
        </w:rPr>
        <w:t xml:space="preserve">people with disability are currently </w:t>
      </w:r>
      <w:r w:rsidR="0067613A" w:rsidRPr="00241B3B">
        <w:rPr>
          <w:lang w:val="en-AU"/>
        </w:rPr>
        <w:t xml:space="preserve">experiencing waitlists of more than six years </w:t>
      </w:r>
      <w:r w:rsidRPr="00241B3B">
        <w:rPr>
          <w:lang w:val="en-AU"/>
        </w:rPr>
        <w:t>for social housing across Queensland</w:t>
      </w:r>
      <w:r w:rsidR="001F2821" w:rsidRPr="00241B3B">
        <w:rPr>
          <w:lang w:val="en-AU"/>
        </w:rPr>
        <w:t xml:space="preserve"> and</w:t>
      </w:r>
      <w:r w:rsidRPr="00241B3B">
        <w:rPr>
          <w:lang w:val="en-AU"/>
        </w:rPr>
        <w:t xml:space="preserve"> NSW</w:t>
      </w:r>
      <w:r w:rsidR="001F2821" w:rsidRPr="00241B3B">
        <w:rPr>
          <w:lang w:val="en-AU"/>
        </w:rPr>
        <w:t>.</w:t>
      </w:r>
      <w:r w:rsidRPr="00241B3B">
        <w:rPr>
          <w:lang w:val="en-AU"/>
        </w:rPr>
        <w:t xml:space="preserve"> </w:t>
      </w:r>
    </w:p>
    <w:p w14:paraId="66C05FE4" w14:textId="1D84B341" w:rsidR="0069748F" w:rsidRPr="00241B3B" w:rsidRDefault="00B43BA8" w:rsidP="00241B3B">
      <w:pPr>
        <w:pStyle w:val="BodyText"/>
        <w:rPr>
          <w:lang w:val="en-AU"/>
        </w:rPr>
      </w:pPr>
      <w:r w:rsidRPr="00241B3B">
        <w:rPr>
          <w:lang w:val="en-AU"/>
        </w:rPr>
        <w:t>Nationally, 174,600 households were waiting for allocation to social housing as at June 2022, increasing from 154,600 in 2014.</w:t>
      </w:r>
      <w:r w:rsidR="0069748F" w:rsidRPr="00241B3B">
        <w:rPr>
          <w:rStyle w:val="FootnoteReference"/>
          <w:lang w:val="en-AU"/>
        </w:rPr>
        <w:footnoteReference w:id="11"/>
      </w:r>
      <w:r w:rsidRPr="00241B3B">
        <w:rPr>
          <w:lang w:val="en-AU"/>
        </w:rPr>
        <w:t xml:space="preserve"> </w:t>
      </w:r>
      <w:r w:rsidR="00F44A08" w:rsidRPr="00241B3B">
        <w:rPr>
          <w:lang w:val="en-AU"/>
        </w:rPr>
        <w:t>The Australian Institute of Health and Welfare reports that</w:t>
      </w:r>
      <w:r w:rsidR="00336529" w:rsidRPr="00241B3B">
        <w:rPr>
          <w:lang w:val="en-AU"/>
        </w:rPr>
        <w:t>:</w:t>
      </w:r>
    </w:p>
    <w:p w14:paraId="0FED98BD" w14:textId="63358485" w:rsidR="005C341E" w:rsidRPr="00241B3B" w:rsidRDefault="00F44A08" w:rsidP="00D50C88">
      <w:pPr>
        <w:pStyle w:val="Quote"/>
      </w:pPr>
      <w:r w:rsidRPr="00241B3B">
        <w:t>‘The overall growth of social housing households has not kept up with the overall growth in the total number of households in Australia. The amount of social housing households as a proportion of Australian households has seen a steady decline since 2011, from 4.8% to 4.1% in 2022.’</w:t>
      </w:r>
      <w:r w:rsidR="0078415B" w:rsidRPr="00241B3B">
        <w:rPr>
          <w:rStyle w:val="FootnoteReference"/>
        </w:rPr>
        <w:footnoteReference w:id="12"/>
      </w:r>
    </w:p>
    <w:p w14:paraId="611B6974" w14:textId="50CEDB3E" w:rsidR="00263CB8" w:rsidRPr="00241B3B" w:rsidRDefault="005C341E" w:rsidP="00241B3B">
      <w:pPr>
        <w:pStyle w:val="BodyText"/>
        <w:rPr>
          <w:lang w:val="en-AU"/>
        </w:rPr>
      </w:pPr>
      <w:r w:rsidRPr="00241B3B">
        <w:rPr>
          <w:lang w:val="en-AU"/>
        </w:rPr>
        <w:lastRenderedPageBreak/>
        <w:t>PWDA supports proposals</w:t>
      </w:r>
      <w:r w:rsidR="00394FFD" w:rsidRPr="00241B3B">
        <w:rPr>
          <w:lang w:val="en-AU"/>
        </w:rPr>
        <w:t xml:space="preserve"> by peak organisations calling</w:t>
      </w:r>
      <w:r w:rsidRPr="00241B3B">
        <w:rPr>
          <w:lang w:val="en-AU"/>
        </w:rPr>
        <w:t xml:space="preserve"> for increasing</w:t>
      </w:r>
      <w:r w:rsidR="00521B12" w:rsidRPr="00241B3B">
        <w:rPr>
          <w:lang w:val="en-AU"/>
        </w:rPr>
        <w:t xml:space="preserve"> the</w:t>
      </w:r>
      <w:r w:rsidRPr="00241B3B">
        <w:rPr>
          <w:lang w:val="en-AU"/>
        </w:rPr>
        <w:t xml:space="preserve"> supply of social and affordable housing stock</w:t>
      </w:r>
      <w:r w:rsidR="00394FFD" w:rsidRPr="00241B3B">
        <w:rPr>
          <w:lang w:val="en-AU"/>
        </w:rPr>
        <w:t xml:space="preserve">. </w:t>
      </w:r>
      <w:r w:rsidRPr="00241B3B">
        <w:rPr>
          <w:lang w:val="en-AU"/>
        </w:rPr>
        <w:t xml:space="preserve">For example, </w:t>
      </w:r>
      <w:r w:rsidR="00394FFD" w:rsidRPr="00241B3B">
        <w:rPr>
          <w:lang w:val="en-AU"/>
        </w:rPr>
        <w:t xml:space="preserve">the </w:t>
      </w:r>
      <w:r w:rsidRPr="00241B3B">
        <w:rPr>
          <w:lang w:val="en-AU"/>
        </w:rPr>
        <w:t xml:space="preserve">establishment of the Rapid Response Housing </w:t>
      </w:r>
      <w:r w:rsidR="00270DA8" w:rsidRPr="00241B3B">
        <w:rPr>
          <w:lang w:val="en-AU"/>
        </w:rPr>
        <w:t xml:space="preserve">Fund for </w:t>
      </w:r>
      <w:r w:rsidR="00BB7A26" w:rsidRPr="00241B3B">
        <w:rPr>
          <w:lang w:val="en-AU"/>
        </w:rPr>
        <w:t xml:space="preserve">increasing supply of social and affordable housing stock through mechanisms other than new development, </w:t>
      </w:r>
      <w:r w:rsidR="009030A4" w:rsidRPr="00241B3B">
        <w:rPr>
          <w:lang w:val="en-AU"/>
        </w:rPr>
        <w:t xml:space="preserve">has been </w:t>
      </w:r>
      <w:r w:rsidRPr="00241B3B">
        <w:rPr>
          <w:lang w:val="en-AU"/>
        </w:rPr>
        <w:t xml:space="preserve">supported by </w:t>
      </w:r>
      <w:r w:rsidR="006B3671" w:rsidRPr="00241B3B">
        <w:rPr>
          <w:lang w:val="en-AU"/>
        </w:rPr>
        <w:t xml:space="preserve">the </w:t>
      </w:r>
      <w:r w:rsidRPr="00241B3B">
        <w:rPr>
          <w:lang w:val="en-AU"/>
        </w:rPr>
        <w:t>C</w:t>
      </w:r>
      <w:r w:rsidR="006B3671" w:rsidRPr="00241B3B">
        <w:rPr>
          <w:lang w:val="en-AU"/>
        </w:rPr>
        <w:t>ommunity Housing Industry Association (C</w:t>
      </w:r>
      <w:r w:rsidRPr="00241B3B">
        <w:rPr>
          <w:lang w:val="en-AU"/>
        </w:rPr>
        <w:t>HIA</w:t>
      </w:r>
      <w:r w:rsidR="006B3671" w:rsidRPr="00241B3B">
        <w:rPr>
          <w:lang w:val="en-AU"/>
        </w:rPr>
        <w:t>)</w:t>
      </w:r>
      <w:r w:rsidRPr="00241B3B">
        <w:rPr>
          <w:lang w:val="en-AU"/>
        </w:rPr>
        <w:t xml:space="preserve"> and National Shelter.</w:t>
      </w:r>
      <w:r w:rsidRPr="00241B3B">
        <w:rPr>
          <w:rStyle w:val="FootnoteReference"/>
          <w:lang w:val="en-AU"/>
        </w:rPr>
        <w:footnoteReference w:id="13"/>
      </w:r>
      <w:r w:rsidR="00624FA3" w:rsidRPr="00241B3B">
        <w:rPr>
          <w:lang w:val="en-AU"/>
        </w:rPr>
        <w:t xml:space="preserve"> </w:t>
      </w:r>
      <w:r w:rsidR="002A1D63" w:rsidRPr="00241B3B">
        <w:rPr>
          <w:lang w:val="en-AU"/>
        </w:rPr>
        <w:t>PWDA</w:t>
      </w:r>
      <w:r w:rsidR="0081373D" w:rsidRPr="00241B3B">
        <w:rPr>
          <w:lang w:val="en-AU"/>
        </w:rPr>
        <w:t xml:space="preserve"> would recommend </w:t>
      </w:r>
      <w:r w:rsidR="00624FA3" w:rsidRPr="00241B3B">
        <w:rPr>
          <w:lang w:val="en-AU"/>
        </w:rPr>
        <w:t>add</w:t>
      </w:r>
      <w:r w:rsidR="0081373D" w:rsidRPr="00241B3B">
        <w:rPr>
          <w:lang w:val="en-AU"/>
        </w:rPr>
        <w:t>ing</w:t>
      </w:r>
      <w:r w:rsidR="00624FA3" w:rsidRPr="00241B3B">
        <w:rPr>
          <w:lang w:val="en-AU"/>
        </w:rPr>
        <w:t xml:space="preserve"> a requirement for this stock to be fitted for accessibility (addressed in </w:t>
      </w:r>
      <w:r w:rsidR="00624FA3" w:rsidRPr="00241B3B">
        <w:rPr>
          <w:i/>
          <w:iCs/>
          <w:lang w:val="en-AU"/>
        </w:rPr>
        <w:t>Priority area 3</w:t>
      </w:r>
      <w:r w:rsidR="00624FA3" w:rsidRPr="00241B3B">
        <w:rPr>
          <w:lang w:val="en-AU"/>
        </w:rPr>
        <w:t xml:space="preserve">). </w:t>
      </w:r>
    </w:p>
    <w:p w14:paraId="368913B5" w14:textId="364E8612" w:rsidR="005C341E" w:rsidRPr="00241B3B" w:rsidRDefault="008736FE" w:rsidP="00241B3B">
      <w:pPr>
        <w:pStyle w:val="BodyText"/>
        <w:rPr>
          <w:lang w:val="en-AU"/>
        </w:rPr>
      </w:pPr>
      <w:r w:rsidRPr="00241B3B">
        <w:rPr>
          <w:lang w:val="en-AU"/>
        </w:rPr>
        <w:t>Consequently, th</w:t>
      </w:r>
      <w:r w:rsidR="00FB1F64" w:rsidRPr="00241B3B">
        <w:rPr>
          <w:lang w:val="en-AU"/>
        </w:rPr>
        <w:t>is</w:t>
      </w:r>
      <w:r w:rsidRPr="00241B3B">
        <w:rPr>
          <w:lang w:val="en-AU"/>
        </w:rPr>
        <w:t xml:space="preserve"> </w:t>
      </w:r>
      <w:r w:rsidR="00FB1F64" w:rsidRPr="00241B3B">
        <w:rPr>
          <w:lang w:val="en-AU"/>
        </w:rPr>
        <w:t>P</w:t>
      </w:r>
      <w:r w:rsidRPr="00241B3B">
        <w:rPr>
          <w:lang w:val="en-AU"/>
        </w:rPr>
        <w:t xml:space="preserve">riority </w:t>
      </w:r>
      <w:r w:rsidR="00FB1F64" w:rsidRPr="00241B3B">
        <w:rPr>
          <w:lang w:val="en-AU"/>
        </w:rPr>
        <w:t>A</w:t>
      </w:r>
      <w:r w:rsidRPr="00241B3B">
        <w:rPr>
          <w:lang w:val="en-AU"/>
        </w:rPr>
        <w:t xml:space="preserve">rea for </w:t>
      </w:r>
      <w:r w:rsidR="001B5BF7" w:rsidRPr="00241B3B">
        <w:rPr>
          <w:lang w:val="en-AU"/>
        </w:rPr>
        <w:t>housing undersupply</w:t>
      </w:r>
      <w:r w:rsidR="005C341E" w:rsidRPr="00241B3B">
        <w:rPr>
          <w:lang w:val="en-AU"/>
        </w:rPr>
        <w:t xml:space="preserve"> is primarily addressed through </w:t>
      </w:r>
      <w:r w:rsidR="0092060B" w:rsidRPr="00241B3B">
        <w:rPr>
          <w:lang w:val="en-AU"/>
        </w:rPr>
        <w:t>O</w:t>
      </w:r>
      <w:r w:rsidR="005C341E" w:rsidRPr="00241B3B">
        <w:rPr>
          <w:lang w:val="en-AU"/>
        </w:rPr>
        <w:t>utcome 1</w:t>
      </w:r>
      <w:r w:rsidR="0092060B" w:rsidRPr="00241B3B">
        <w:rPr>
          <w:lang w:val="en-AU"/>
        </w:rPr>
        <w:t xml:space="preserve"> (below)</w:t>
      </w:r>
      <w:r w:rsidR="0009555A" w:rsidRPr="00241B3B">
        <w:rPr>
          <w:lang w:val="en-AU"/>
        </w:rPr>
        <w:t>,</w:t>
      </w:r>
      <w:r w:rsidR="005C341E" w:rsidRPr="00241B3B">
        <w:rPr>
          <w:lang w:val="en-AU"/>
        </w:rPr>
        <w:t xml:space="preserve"> </w:t>
      </w:r>
      <w:r w:rsidR="0009555A" w:rsidRPr="00241B3B">
        <w:rPr>
          <w:lang w:val="en-AU"/>
        </w:rPr>
        <w:t>by</w:t>
      </w:r>
      <w:r w:rsidR="005C341E" w:rsidRPr="00241B3B">
        <w:rPr>
          <w:lang w:val="en-AU"/>
        </w:rPr>
        <w:t xml:space="preserve"> ensuring legacy and future housing stock meets accessibility measures, in addition to investment for broad expansion of housing stock</w:t>
      </w:r>
      <w:r w:rsidR="0009555A" w:rsidRPr="00241B3B">
        <w:rPr>
          <w:lang w:val="en-AU"/>
        </w:rPr>
        <w:t xml:space="preserve">. </w:t>
      </w:r>
      <w:r w:rsidR="00B55E06" w:rsidRPr="00241B3B">
        <w:rPr>
          <w:lang w:val="en-AU"/>
        </w:rPr>
        <w:t>O</w:t>
      </w:r>
      <w:r w:rsidR="005C341E" w:rsidRPr="00241B3B">
        <w:rPr>
          <w:lang w:val="en-AU"/>
        </w:rPr>
        <w:t>utcome 2</w:t>
      </w:r>
      <w:r w:rsidR="00B55E06" w:rsidRPr="00241B3B">
        <w:rPr>
          <w:lang w:val="en-AU"/>
        </w:rPr>
        <w:t xml:space="preserve"> (below) </w:t>
      </w:r>
      <w:r w:rsidR="005C341E" w:rsidRPr="00241B3B">
        <w:rPr>
          <w:lang w:val="en-AU"/>
        </w:rPr>
        <w:t>provid</w:t>
      </w:r>
      <w:r w:rsidR="0009555A" w:rsidRPr="00241B3B">
        <w:rPr>
          <w:lang w:val="en-AU"/>
        </w:rPr>
        <w:t>es</w:t>
      </w:r>
      <w:r w:rsidR="005C341E" w:rsidRPr="00241B3B">
        <w:rPr>
          <w:lang w:val="en-AU"/>
        </w:rPr>
        <w:t xml:space="preserve"> transparency and clarity for current </w:t>
      </w:r>
      <w:r w:rsidR="0009555A" w:rsidRPr="00241B3B">
        <w:rPr>
          <w:lang w:val="en-AU"/>
        </w:rPr>
        <w:t xml:space="preserve">net </w:t>
      </w:r>
      <w:r w:rsidR="005C341E" w:rsidRPr="00241B3B">
        <w:rPr>
          <w:lang w:val="en-AU"/>
        </w:rPr>
        <w:t xml:space="preserve">levels of housing stock provision by state and territory </w:t>
      </w:r>
      <w:r w:rsidR="002B062E" w:rsidRPr="00241B3B">
        <w:rPr>
          <w:lang w:val="en-AU"/>
        </w:rPr>
        <w:t>g</w:t>
      </w:r>
      <w:r w:rsidR="008E74DA" w:rsidRPr="00241B3B">
        <w:rPr>
          <w:lang w:val="en-AU"/>
        </w:rPr>
        <w:t>overnment</w:t>
      </w:r>
      <w:r w:rsidR="005C341E" w:rsidRPr="00241B3B">
        <w:rPr>
          <w:lang w:val="en-AU"/>
        </w:rPr>
        <w:t xml:space="preserve">s, and the NDIA. </w:t>
      </w:r>
    </w:p>
    <w:p w14:paraId="4544F6FC" w14:textId="07E880AB" w:rsidR="00263CB8" w:rsidRPr="00241B3B" w:rsidRDefault="00263CB8" w:rsidP="00241B3B">
      <w:pPr>
        <w:pStyle w:val="BodyText"/>
        <w:rPr>
          <w:lang w:val="en-AU"/>
        </w:rPr>
      </w:pPr>
      <w:r w:rsidRPr="00241B3B">
        <w:rPr>
          <w:lang w:val="en-AU"/>
        </w:rPr>
        <w:t>However, undersupply</w:t>
      </w:r>
      <w:r w:rsidR="002F6D28" w:rsidRPr="00241B3B">
        <w:rPr>
          <w:lang w:val="en-AU"/>
        </w:rPr>
        <w:t xml:space="preserve"> in the housing market</w:t>
      </w:r>
      <w:r w:rsidRPr="00241B3B">
        <w:rPr>
          <w:lang w:val="en-AU"/>
        </w:rPr>
        <w:t xml:space="preserve"> is not the </w:t>
      </w:r>
      <w:r w:rsidR="00DD7930" w:rsidRPr="00241B3B">
        <w:rPr>
          <w:lang w:val="en-AU"/>
        </w:rPr>
        <w:t>only deficiency</w:t>
      </w:r>
      <w:r w:rsidRPr="00241B3B">
        <w:rPr>
          <w:lang w:val="en-AU"/>
        </w:rPr>
        <w:t xml:space="preserve">. </w:t>
      </w:r>
      <w:r w:rsidR="00DD7930" w:rsidRPr="00241B3B">
        <w:rPr>
          <w:lang w:val="en-AU"/>
        </w:rPr>
        <w:t>Even i</w:t>
      </w:r>
      <w:r w:rsidRPr="00241B3B">
        <w:rPr>
          <w:lang w:val="en-AU"/>
        </w:rPr>
        <w:t>f supply is available</w:t>
      </w:r>
      <w:r w:rsidR="00DD7930" w:rsidRPr="00241B3B">
        <w:rPr>
          <w:lang w:val="en-AU"/>
        </w:rPr>
        <w:t>,</w:t>
      </w:r>
      <w:r w:rsidRPr="00241B3B">
        <w:rPr>
          <w:lang w:val="en-AU"/>
        </w:rPr>
        <w:t xml:space="preserve"> then there are two other barriers that emerge</w:t>
      </w:r>
      <w:r w:rsidR="003505E2" w:rsidRPr="00241B3B">
        <w:rPr>
          <w:lang w:val="en-AU"/>
        </w:rPr>
        <w:t xml:space="preserve"> for people with disability</w:t>
      </w:r>
      <w:r w:rsidR="00DD7930" w:rsidRPr="00241B3B">
        <w:rPr>
          <w:lang w:val="en-AU"/>
        </w:rPr>
        <w:t>, namely</w:t>
      </w:r>
      <w:r w:rsidRPr="00241B3B">
        <w:rPr>
          <w:lang w:val="en-AU"/>
        </w:rPr>
        <w:t xml:space="preserve"> </w:t>
      </w:r>
      <w:r w:rsidR="003505E2" w:rsidRPr="00241B3B">
        <w:rPr>
          <w:lang w:val="en-AU"/>
        </w:rPr>
        <w:t>a</w:t>
      </w:r>
      <w:r w:rsidRPr="00241B3B">
        <w:rPr>
          <w:lang w:val="en-AU"/>
        </w:rPr>
        <w:t xml:space="preserve">ffordability and accessibility. </w:t>
      </w:r>
    </w:p>
    <w:p w14:paraId="43C5D26E" w14:textId="77777777" w:rsidR="005C341E" w:rsidRPr="00241B3B" w:rsidRDefault="005C341E" w:rsidP="00241B3B">
      <w:pPr>
        <w:pStyle w:val="Heading4"/>
        <w:spacing w:line="288" w:lineRule="auto"/>
      </w:pPr>
      <w:bookmarkStart w:id="140" w:name="_Toc146790480"/>
      <w:bookmarkStart w:id="141" w:name="_Toc147405542"/>
      <w:r w:rsidRPr="00241B3B">
        <w:t>Priority area 2: Housing unaffordability</w:t>
      </w:r>
      <w:bookmarkEnd w:id="140"/>
      <w:bookmarkEnd w:id="141"/>
    </w:p>
    <w:p w14:paraId="61964139" w14:textId="75EE8814" w:rsidR="00EE4374" w:rsidRPr="00241B3B" w:rsidRDefault="00A116E9" w:rsidP="00241B3B">
      <w:pPr>
        <w:pStyle w:val="BodyText"/>
        <w:rPr>
          <w:lang w:val="en-AU"/>
        </w:rPr>
      </w:pPr>
      <w:r w:rsidRPr="00241B3B">
        <w:rPr>
          <w:lang w:val="en-AU"/>
        </w:rPr>
        <w:t>The current</w:t>
      </w:r>
      <w:r w:rsidR="005C341E" w:rsidRPr="00241B3B">
        <w:rPr>
          <w:lang w:val="en-AU"/>
        </w:rPr>
        <w:t xml:space="preserve"> housing</w:t>
      </w:r>
      <w:r w:rsidR="00AF7A26" w:rsidRPr="00241B3B">
        <w:rPr>
          <w:lang w:val="en-AU"/>
        </w:rPr>
        <w:t xml:space="preserve"> and cost of living</w:t>
      </w:r>
      <w:r w:rsidR="005C341E" w:rsidRPr="00241B3B">
        <w:rPr>
          <w:lang w:val="en-AU"/>
        </w:rPr>
        <w:t xml:space="preserve"> cris</w:t>
      </w:r>
      <w:r w:rsidR="00AF7A26" w:rsidRPr="00241B3B">
        <w:rPr>
          <w:lang w:val="en-AU"/>
        </w:rPr>
        <w:t>es</w:t>
      </w:r>
      <w:r w:rsidR="005C341E" w:rsidRPr="00241B3B">
        <w:rPr>
          <w:lang w:val="en-AU"/>
        </w:rPr>
        <w:t xml:space="preserve"> disproportionately impact people with disability.</w:t>
      </w:r>
      <w:r w:rsidRPr="00241B3B">
        <w:rPr>
          <w:lang w:val="en-AU"/>
        </w:rPr>
        <w:t xml:space="preserve"> </w:t>
      </w:r>
    </w:p>
    <w:p w14:paraId="426DEEE2" w14:textId="136CF329" w:rsidR="005C341E" w:rsidRPr="00241B3B" w:rsidRDefault="005C341E" w:rsidP="00241B3B">
      <w:pPr>
        <w:pStyle w:val="BodyText"/>
        <w:rPr>
          <w:lang w:val="en-AU"/>
        </w:rPr>
      </w:pPr>
      <w:r w:rsidRPr="00241B3B">
        <w:rPr>
          <w:lang w:val="en-AU"/>
        </w:rPr>
        <w:t>According to the New South Wales Council of Social Service (NCOSS), out of the 1134 people surveyed regarding the costs of living in NSW for the past 12 months, 77% of the respondents with disability reported that they had gone without</w:t>
      </w:r>
      <w:r w:rsidR="00040A48" w:rsidRPr="00241B3B">
        <w:rPr>
          <w:lang w:val="en-AU"/>
        </w:rPr>
        <w:t>,</w:t>
      </w:r>
      <w:r w:rsidRPr="00241B3B">
        <w:rPr>
          <w:lang w:val="en-AU"/>
        </w:rPr>
        <w:t xml:space="preserve"> or not been able to afford</w:t>
      </w:r>
      <w:r w:rsidR="00040A48" w:rsidRPr="00241B3B">
        <w:rPr>
          <w:lang w:val="en-AU"/>
        </w:rPr>
        <w:t>,</w:t>
      </w:r>
      <w:r w:rsidRPr="00241B3B">
        <w:rPr>
          <w:lang w:val="en-AU"/>
        </w:rPr>
        <w:t xml:space="preserve"> essentials, including housing and utilities in the past 12 months</w:t>
      </w:r>
      <w:r w:rsidRPr="00241B3B">
        <w:rPr>
          <w:rStyle w:val="FootnoteReference"/>
          <w:lang w:val="en-AU"/>
        </w:rPr>
        <w:footnoteReference w:id="14"/>
      </w:r>
      <w:r w:rsidRPr="00241B3B">
        <w:rPr>
          <w:lang w:val="en-AU"/>
        </w:rPr>
        <w:t>, and 75% required financial assistance.</w:t>
      </w:r>
      <w:r w:rsidRPr="00241B3B">
        <w:rPr>
          <w:rStyle w:val="FootnoteReference"/>
          <w:lang w:val="en-AU"/>
        </w:rPr>
        <w:footnoteReference w:id="15"/>
      </w:r>
    </w:p>
    <w:p w14:paraId="0E722840" w14:textId="6446DACF" w:rsidR="005C341E" w:rsidRPr="00241B3B" w:rsidRDefault="005C341E" w:rsidP="00241B3B">
      <w:pPr>
        <w:pStyle w:val="BodyText"/>
        <w:rPr>
          <w:lang w:val="en-AU"/>
        </w:rPr>
      </w:pPr>
      <w:r w:rsidRPr="00241B3B">
        <w:rPr>
          <w:lang w:val="en-AU"/>
        </w:rPr>
        <w:t xml:space="preserve">The national picture paints a similarly grim portrait of housing stress for people with disability. People with disability are more likely than people without disability to have their primary income coming from </w:t>
      </w:r>
      <w:r w:rsidR="008E74DA" w:rsidRPr="00241B3B">
        <w:rPr>
          <w:lang w:val="en-AU"/>
        </w:rPr>
        <w:t>Government</w:t>
      </w:r>
      <w:r w:rsidRPr="00241B3B">
        <w:rPr>
          <w:lang w:val="en-AU"/>
        </w:rPr>
        <w:t xml:space="preserve"> income support payments, </w:t>
      </w:r>
      <w:r w:rsidR="00040A48" w:rsidRPr="00241B3B">
        <w:rPr>
          <w:lang w:val="en-AU"/>
        </w:rPr>
        <w:t>such as</w:t>
      </w:r>
      <w:r w:rsidRPr="00241B3B">
        <w:rPr>
          <w:lang w:val="en-AU"/>
        </w:rPr>
        <w:t xml:space="preserve"> the Disability Support Pension. </w:t>
      </w:r>
      <w:r w:rsidR="00040A48" w:rsidRPr="00241B3B">
        <w:rPr>
          <w:lang w:val="en-AU"/>
        </w:rPr>
        <w:t xml:space="preserve">The primary source of income for </w:t>
      </w:r>
      <w:r w:rsidR="00743CCA" w:rsidRPr="00241B3B">
        <w:rPr>
          <w:lang w:val="en-AU"/>
        </w:rPr>
        <w:t>56% (2 million</w:t>
      </w:r>
      <w:r w:rsidR="00FC7689" w:rsidRPr="00241B3B">
        <w:rPr>
          <w:lang w:val="en-AU"/>
        </w:rPr>
        <w:t>)</w:t>
      </w:r>
      <w:r w:rsidR="00743CCA" w:rsidRPr="00241B3B">
        <w:rPr>
          <w:lang w:val="en-AU"/>
        </w:rPr>
        <w:t xml:space="preserve"> </w:t>
      </w:r>
      <w:r w:rsidR="00040A48" w:rsidRPr="00241B3B">
        <w:rPr>
          <w:lang w:val="en-AU"/>
        </w:rPr>
        <w:t xml:space="preserve">of </w:t>
      </w:r>
      <w:r w:rsidR="00743CCA" w:rsidRPr="00241B3B">
        <w:rPr>
          <w:lang w:val="en-AU"/>
        </w:rPr>
        <w:t>people with disability, compared to 13% without disability</w:t>
      </w:r>
      <w:r w:rsidR="00040A48" w:rsidRPr="00241B3B">
        <w:rPr>
          <w:lang w:val="en-AU"/>
        </w:rPr>
        <w:t>,</w:t>
      </w:r>
      <w:r w:rsidR="00743CCA" w:rsidRPr="00241B3B">
        <w:rPr>
          <w:lang w:val="en-AU"/>
        </w:rPr>
        <w:t xml:space="preserve"> </w:t>
      </w:r>
      <w:r w:rsidR="00241B3B" w:rsidRPr="00241B3B">
        <w:rPr>
          <w:lang w:val="en-AU"/>
        </w:rPr>
        <w:t>is Government</w:t>
      </w:r>
      <w:r w:rsidR="00743CCA" w:rsidRPr="00241B3B">
        <w:rPr>
          <w:lang w:val="en-AU"/>
        </w:rPr>
        <w:t xml:space="preserve"> income support payments.</w:t>
      </w:r>
      <w:r w:rsidR="00743CCA" w:rsidRPr="00241B3B">
        <w:rPr>
          <w:rStyle w:val="FootnoteReference"/>
          <w:lang w:val="en-AU"/>
        </w:rPr>
        <w:footnoteReference w:id="16"/>
      </w:r>
    </w:p>
    <w:p w14:paraId="4C7ED20D" w14:textId="1B983F3E" w:rsidR="005C341E" w:rsidRPr="00241B3B" w:rsidRDefault="005C341E" w:rsidP="00241B3B">
      <w:pPr>
        <w:pStyle w:val="BodyText"/>
        <w:rPr>
          <w:lang w:val="en-AU"/>
        </w:rPr>
      </w:pPr>
      <w:r w:rsidRPr="00241B3B">
        <w:rPr>
          <w:lang w:val="en-AU"/>
        </w:rPr>
        <w:lastRenderedPageBreak/>
        <w:t>I</w:t>
      </w:r>
      <w:r w:rsidR="00553A73" w:rsidRPr="00241B3B">
        <w:rPr>
          <w:lang w:val="en-AU"/>
        </w:rPr>
        <w:t>n</w:t>
      </w:r>
      <w:r w:rsidRPr="00241B3B">
        <w:rPr>
          <w:lang w:val="en-AU"/>
        </w:rPr>
        <w:t xml:space="preserve"> stark </w:t>
      </w:r>
      <w:r w:rsidR="003860BF" w:rsidRPr="00241B3B">
        <w:rPr>
          <w:lang w:val="en-AU"/>
        </w:rPr>
        <w:t>comparison</w:t>
      </w:r>
      <w:r w:rsidRPr="00241B3B">
        <w:rPr>
          <w:lang w:val="en-AU"/>
        </w:rPr>
        <w:t xml:space="preserve"> to these figures, 24% (840,000) of people with disability have their main income from salary or wages compared to 71% (10.2 million) people without disability.</w:t>
      </w:r>
      <w:r w:rsidRPr="00241B3B">
        <w:rPr>
          <w:rStyle w:val="FootnoteReference"/>
          <w:lang w:val="en-AU"/>
        </w:rPr>
        <w:footnoteReference w:id="17"/>
      </w:r>
      <w:r w:rsidRPr="00241B3B">
        <w:rPr>
          <w:lang w:val="en-AU"/>
        </w:rPr>
        <w:t xml:space="preserve"> Notably, the unemployment rate of people with disability (currently around 10%) compared to people without disability (currently 4.6%) has not </w:t>
      </w:r>
      <w:r w:rsidR="00553A73" w:rsidRPr="00241B3B">
        <w:rPr>
          <w:lang w:val="en-AU"/>
        </w:rPr>
        <w:t>changed</w:t>
      </w:r>
      <w:r w:rsidRPr="00241B3B">
        <w:rPr>
          <w:lang w:val="en-AU"/>
        </w:rPr>
        <w:t xml:space="preserve"> in 31 years.</w:t>
      </w:r>
      <w:r w:rsidRPr="00241B3B">
        <w:rPr>
          <w:rStyle w:val="FootnoteReference"/>
          <w:lang w:val="en-AU"/>
        </w:rPr>
        <w:footnoteReference w:id="18"/>
      </w:r>
      <w:r w:rsidRPr="00241B3B">
        <w:rPr>
          <w:lang w:val="en-AU"/>
        </w:rPr>
        <w:t xml:space="preserve"> </w:t>
      </w:r>
    </w:p>
    <w:p w14:paraId="384D1C68" w14:textId="5E2FEC63" w:rsidR="005C341E" w:rsidRPr="00241B3B" w:rsidRDefault="004330C3" w:rsidP="00241B3B">
      <w:pPr>
        <w:pStyle w:val="BodyText"/>
        <w:rPr>
          <w:lang w:val="en-AU"/>
        </w:rPr>
      </w:pPr>
      <w:r w:rsidRPr="00241B3B">
        <w:rPr>
          <w:lang w:val="en-AU"/>
        </w:rPr>
        <w:t>Therefore, m</w:t>
      </w:r>
      <w:r w:rsidR="005C341E" w:rsidRPr="00241B3B">
        <w:rPr>
          <w:lang w:val="en-AU"/>
        </w:rPr>
        <w:t>any people with disability who are currently unemployed</w:t>
      </w:r>
      <w:r w:rsidRPr="00241B3B">
        <w:rPr>
          <w:lang w:val="en-AU"/>
        </w:rPr>
        <w:t xml:space="preserve"> are </w:t>
      </w:r>
      <w:r w:rsidR="005C341E" w:rsidRPr="00241B3B">
        <w:rPr>
          <w:lang w:val="en-AU"/>
        </w:rPr>
        <w:t xml:space="preserve">living in poverty. Poverty and disability have </w:t>
      </w:r>
      <w:r w:rsidR="00C019B6">
        <w:rPr>
          <w:lang w:val="en-AU"/>
        </w:rPr>
        <w:t xml:space="preserve">a </w:t>
      </w:r>
      <w:r w:rsidR="005C341E" w:rsidRPr="00241B3B">
        <w:rPr>
          <w:lang w:val="en-AU"/>
        </w:rPr>
        <w:t>strong correlation</w:t>
      </w:r>
      <w:r w:rsidR="00553A73" w:rsidRPr="00241B3B">
        <w:rPr>
          <w:lang w:val="en-AU"/>
        </w:rPr>
        <w:t>. Statistics show that</w:t>
      </w:r>
      <w:r w:rsidRPr="00241B3B">
        <w:rPr>
          <w:lang w:val="en-AU"/>
        </w:rPr>
        <w:t xml:space="preserve"> </w:t>
      </w:r>
      <w:r w:rsidR="005C341E" w:rsidRPr="00241B3B">
        <w:rPr>
          <w:lang w:val="en-AU"/>
        </w:rPr>
        <w:t>45% of people with disability in Australia live near or below the poverty line,</w:t>
      </w:r>
      <w:r w:rsidR="005C341E" w:rsidRPr="00241B3B">
        <w:rPr>
          <w:rStyle w:val="FootnoteReference"/>
          <w:lang w:val="en-AU"/>
        </w:rPr>
        <w:footnoteReference w:id="19"/>
      </w:r>
      <w:r w:rsidR="005C341E" w:rsidRPr="00241B3B">
        <w:rPr>
          <w:lang w:val="en-AU"/>
        </w:rPr>
        <w:t xml:space="preserve"> which is more than double the OECD average of 22%.</w:t>
      </w:r>
      <w:r w:rsidR="005C341E" w:rsidRPr="00241B3B">
        <w:rPr>
          <w:rStyle w:val="FootnoteReference"/>
          <w:lang w:val="en-AU"/>
        </w:rPr>
        <w:footnoteReference w:id="20"/>
      </w:r>
      <w:r w:rsidR="005C341E" w:rsidRPr="00241B3B">
        <w:rPr>
          <w:lang w:val="en-AU"/>
        </w:rPr>
        <w:t xml:space="preserve"> This has a devasting impact on homelessness and housing stress for Australians with disability.</w:t>
      </w:r>
    </w:p>
    <w:p w14:paraId="32E7D769" w14:textId="05B81E31" w:rsidR="005C341E" w:rsidRPr="00241B3B" w:rsidRDefault="00B612F6" w:rsidP="00241B3B">
      <w:pPr>
        <w:pStyle w:val="BodyText"/>
        <w:rPr>
          <w:lang w:val="en-AU"/>
        </w:rPr>
      </w:pPr>
      <w:r w:rsidRPr="00241B3B">
        <w:rPr>
          <w:lang w:val="en-AU"/>
        </w:rPr>
        <w:t xml:space="preserve">Earlier in the year, </w:t>
      </w:r>
      <w:r w:rsidR="005C341E" w:rsidRPr="00241B3B">
        <w:rPr>
          <w:lang w:val="en-AU"/>
        </w:rPr>
        <w:t>PWDA welcome</w:t>
      </w:r>
      <w:r w:rsidRPr="00241B3B">
        <w:rPr>
          <w:lang w:val="en-AU"/>
        </w:rPr>
        <w:t>d</w:t>
      </w:r>
      <w:r w:rsidR="005C341E" w:rsidRPr="00241B3B">
        <w:rPr>
          <w:lang w:val="en-AU"/>
        </w:rPr>
        <w:t xml:space="preserve"> the </w:t>
      </w:r>
      <w:hyperlink r:id="rId31" w:history="1">
        <w:r w:rsidR="00743CCA" w:rsidRPr="00241B3B">
          <w:rPr>
            <w:rStyle w:val="Hyperlink"/>
            <w:lang w:val="en-AU"/>
          </w:rPr>
          <w:t>announcement</w:t>
        </w:r>
      </w:hyperlink>
      <w:r w:rsidR="00743CCA" w:rsidRPr="00241B3B">
        <w:rPr>
          <w:rStyle w:val="Hyperlink"/>
          <w:u w:val="none"/>
          <w:lang w:val="en-AU"/>
        </w:rPr>
        <w:t xml:space="preserve"> </w:t>
      </w:r>
      <w:r w:rsidR="00743CCA" w:rsidRPr="00241B3B">
        <w:rPr>
          <w:rStyle w:val="Hyperlink"/>
          <w:color w:val="auto"/>
          <w:u w:val="none"/>
          <w:lang w:val="en-AU"/>
        </w:rPr>
        <w:t xml:space="preserve">by </w:t>
      </w:r>
      <w:r w:rsidR="00C5322C" w:rsidRPr="00241B3B">
        <w:rPr>
          <w:rStyle w:val="Hyperlink"/>
          <w:color w:val="auto"/>
          <w:u w:val="none"/>
          <w:lang w:val="en-AU"/>
        </w:rPr>
        <w:t xml:space="preserve">the Australian </w:t>
      </w:r>
      <w:r w:rsidR="000D7B71" w:rsidRPr="00241B3B">
        <w:rPr>
          <w:rStyle w:val="Hyperlink"/>
          <w:color w:val="auto"/>
          <w:u w:val="none"/>
          <w:lang w:val="en-AU"/>
        </w:rPr>
        <w:t>Government</w:t>
      </w:r>
      <w:r w:rsidR="005C341E" w:rsidRPr="00241B3B">
        <w:rPr>
          <w:lang w:val="en-AU"/>
        </w:rPr>
        <w:t xml:space="preserve"> </w:t>
      </w:r>
      <w:r w:rsidR="00C5322C" w:rsidRPr="00241B3B">
        <w:rPr>
          <w:lang w:val="en-AU"/>
        </w:rPr>
        <w:t xml:space="preserve">of </w:t>
      </w:r>
      <w:r w:rsidR="005C341E" w:rsidRPr="00241B3B">
        <w:rPr>
          <w:lang w:val="en-AU"/>
        </w:rPr>
        <w:t xml:space="preserve">a 15% increase </w:t>
      </w:r>
      <w:r w:rsidR="00C5322C" w:rsidRPr="00241B3B">
        <w:rPr>
          <w:lang w:val="en-AU"/>
        </w:rPr>
        <w:t>in</w:t>
      </w:r>
      <w:r w:rsidR="005C341E" w:rsidRPr="00241B3B">
        <w:rPr>
          <w:lang w:val="en-AU"/>
        </w:rPr>
        <w:t xml:space="preserve"> the Commonwealth Rent Assistance (CRA)</w:t>
      </w:r>
      <w:r w:rsidR="00C5322C" w:rsidRPr="00241B3B">
        <w:rPr>
          <w:lang w:val="en-AU"/>
        </w:rPr>
        <w:t xml:space="preserve"> payment</w:t>
      </w:r>
      <w:r w:rsidR="005C341E" w:rsidRPr="00241B3B">
        <w:rPr>
          <w:lang w:val="en-AU"/>
        </w:rPr>
        <w:t>, which is a</w:t>
      </w:r>
      <w:r w:rsidR="007619BC" w:rsidRPr="00241B3B">
        <w:rPr>
          <w:lang w:val="en-AU"/>
        </w:rPr>
        <w:t>n income support payment</w:t>
      </w:r>
      <w:r w:rsidR="005C341E" w:rsidRPr="00241B3B">
        <w:rPr>
          <w:lang w:val="en-AU"/>
        </w:rPr>
        <w:t xml:space="preserve"> received by many people with disability. </w:t>
      </w:r>
      <w:r w:rsidR="00553A73" w:rsidRPr="00241B3B">
        <w:rPr>
          <w:lang w:val="en-AU"/>
        </w:rPr>
        <w:t>While t</w:t>
      </w:r>
      <w:r w:rsidR="005C341E" w:rsidRPr="00241B3B">
        <w:rPr>
          <w:lang w:val="en-AU"/>
        </w:rPr>
        <w:t xml:space="preserve">his measure will assist in meeting housing </w:t>
      </w:r>
      <w:r w:rsidR="00913808" w:rsidRPr="00241B3B">
        <w:rPr>
          <w:lang w:val="en-AU"/>
        </w:rPr>
        <w:t>costs</w:t>
      </w:r>
      <w:r w:rsidR="00553A73" w:rsidRPr="00241B3B">
        <w:rPr>
          <w:lang w:val="en-AU"/>
        </w:rPr>
        <w:t xml:space="preserve">, </w:t>
      </w:r>
      <w:r w:rsidR="002F0850" w:rsidRPr="00241B3B">
        <w:rPr>
          <w:lang w:val="en-AU"/>
        </w:rPr>
        <w:t>with rents rising quickly and incomes</w:t>
      </w:r>
      <w:r w:rsidR="00B37373" w:rsidRPr="00241B3B">
        <w:rPr>
          <w:lang w:val="en-AU"/>
        </w:rPr>
        <w:t xml:space="preserve"> (from employment and social payments)</w:t>
      </w:r>
      <w:r w:rsidR="002F0850" w:rsidRPr="00241B3B">
        <w:rPr>
          <w:lang w:val="en-AU"/>
        </w:rPr>
        <w:t xml:space="preserve"> not keeping step</w:t>
      </w:r>
      <w:r w:rsidR="004F13BA" w:rsidRPr="00241B3B">
        <w:rPr>
          <w:lang w:val="en-AU"/>
        </w:rPr>
        <w:t>,</w:t>
      </w:r>
      <w:r w:rsidR="005C341E" w:rsidRPr="00241B3B">
        <w:rPr>
          <w:lang w:val="en-AU"/>
        </w:rPr>
        <w:t xml:space="preserve"> it does not address unaffordability prohibiting access to </w:t>
      </w:r>
      <w:r w:rsidR="009D44F3" w:rsidRPr="00241B3B">
        <w:rPr>
          <w:lang w:val="en-AU"/>
        </w:rPr>
        <w:t xml:space="preserve">and retention of </w:t>
      </w:r>
      <w:r w:rsidR="005C341E" w:rsidRPr="00241B3B">
        <w:rPr>
          <w:lang w:val="en-AU"/>
        </w:rPr>
        <w:t>housing.</w:t>
      </w:r>
      <w:r w:rsidR="009030A4" w:rsidRPr="00241B3B">
        <w:rPr>
          <w:lang w:val="en-AU"/>
        </w:rPr>
        <w:t xml:space="preserve"> Consequently, PWDA calls for the CRA to be increased by 50%.</w:t>
      </w:r>
      <w:r w:rsidR="002D3912" w:rsidRPr="00241B3B">
        <w:rPr>
          <w:lang w:val="en-AU"/>
        </w:rPr>
        <w:t xml:space="preserve"> </w:t>
      </w:r>
      <w:r w:rsidR="005C341E" w:rsidRPr="00241B3B">
        <w:rPr>
          <w:lang w:val="en-AU"/>
        </w:rPr>
        <w:t xml:space="preserve">This priority area is addressed through </w:t>
      </w:r>
      <w:r w:rsidR="007619BC" w:rsidRPr="00241B3B">
        <w:rPr>
          <w:lang w:val="en-AU"/>
        </w:rPr>
        <w:t>O</w:t>
      </w:r>
      <w:r w:rsidR="005C341E" w:rsidRPr="00241B3B">
        <w:rPr>
          <w:lang w:val="en-AU"/>
        </w:rPr>
        <w:t xml:space="preserve">utcome 3. </w:t>
      </w:r>
    </w:p>
    <w:p w14:paraId="16AC63D9" w14:textId="1B110203" w:rsidR="005C341E" w:rsidRPr="00241B3B" w:rsidRDefault="005C341E" w:rsidP="00424471">
      <w:pPr>
        <w:pStyle w:val="Heading4"/>
        <w:spacing w:line="288" w:lineRule="auto"/>
      </w:pPr>
      <w:bookmarkStart w:id="142" w:name="_Toc146790482"/>
      <w:bookmarkStart w:id="143" w:name="_Toc147405544"/>
      <w:r w:rsidRPr="00241B3B">
        <w:t xml:space="preserve">Priority area </w:t>
      </w:r>
      <w:r w:rsidR="00263CB8" w:rsidRPr="00241B3B">
        <w:t>3</w:t>
      </w:r>
      <w:r w:rsidRPr="00241B3B">
        <w:t xml:space="preserve">: </w:t>
      </w:r>
      <w:bookmarkEnd w:id="142"/>
      <w:r w:rsidRPr="00241B3B">
        <w:t>Housing inaccessibility</w:t>
      </w:r>
      <w:bookmarkEnd w:id="143"/>
    </w:p>
    <w:p w14:paraId="00232D16" w14:textId="3308E8AC" w:rsidR="00F8706D" w:rsidRPr="00241B3B" w:rsidRDefault="005C341E" w:rsidP="00241B3B">
      <w:pPr>
        <w:pStyle w:val="BodyText"/>
        <w:rPr>
          <w:lang w:val="en-AU"/>
        </w:rPr>
      </w:pPr>
      <w:r w:rsidRPr="00241B3B">
        <w:rPr>
          <w:lang w:val="en-AU"/>
        </w:rPr>
        <w:t xml:space="preserve">Independent of affordability, another major prohibitive factor faced by people with disability </w:t>
      </w:r>
      <w:r w:rsidR="0018493F" w:rsidRPr="00241B3B">
        <w:rPr>
          <w:lang w:val="en-AU"/>
        </w:rPr>
        <w:t xml:space="preserve">is </w:t>
      </w:r>
      <w:r w:rsidRPr="00241B3B">
        <w:rPr>
          <w:lang w:val="en-AU"/>
        </w:rPr>
        <w:t>housing accessibility. Even if a person with disability does manage to find housing</w:t>
      </w:r>
      <w:r w:rsidR="006A613F" w:rsidRPr="00241B3B">
        <w:rPr>
          <w:lang w:val="en-AU"/>
        </w:rPr>
        <w:t xml:space="preserve">, </w:t>
      </w:r>
      <w:r w:rsidRPr="00241B3B">
        <w:rPr>
          <w:lang w:val="en-AU"/>
        </w:rPr>
        <w:t xml:space="preserve">there is currently a </w:t>
      </w:r>
      <w:r w:rsidR="00553A73" w:rsidRPr="00241B3B">
        <w:rPr>
          <w:lang w:val="en-AU"/>
        </w:rPr>
        <w:t>lack</w:t>
      </w:r>
      <w:r w:rsidRPr="00241B3B">
        <w:rPr>
          <w:lang w:val="en-AU"/>
        </w:rPr>
        <w:t xml:space="preserve"> of accessible housing options</w:t>
      </w:r>
      <w:r w:rsidR="00DC3EE5" w:rsidRPr="00241B3B">
        <w:rPr>
          <w:lang w:val="en-AU"/>
        </w:rPr>
        <w:t xml:space="preserve"> and transparency over where they exist</w:t>
      </w:r>
      <w:r w:rsidRPr="00241B3B">
        <w:rPr>
          <w:lang w:val="en-AU"/>
        </w:rPr>
        <w:t xml:space="preserve">. </w:t>
      </w:r>
    </w:p>
    <w:p w14:paraId="5A30D34A" w14:textId="6EBF8094" w:rsidR="00200A97" w:rsidRPr="00241B3B" w:rsidRDefault="005C341E" w:rsidP="00241B3B">
      <w:pPr>
        <w:pStyle w:val="BodyText"/>
        <w:rPr>
          <w:lang w:val="en-AU"/>
        </w:rPr>
      </w:pPr>
      <w:r w:rsidRPr="00241B3B">
        <w:rPr>
          <w:lang w:val="en-AU"/>
        </w:rPr>
        <w:t xml:space="preserve">This is an established issue across </w:t>
      </w:r>
      <w:r w:rsidR="00C019B6">
        <w:rPr>
          <w:lang w:val="en-AU"/>
        </w:rPr>
        <w:t xml:space="preserve">the </w:t>
      </w:r>
      <w:r w:rsidRPr="00241B3B">
        <w:rPr>
          <w:lang w:val="en-AU"/>
        </w:rPr>
        <w:t xml:space="preserve">National Disability Insurance Scheme (NDIS), </w:t>
      </w:r>
      <w:r w:rsidR="00F8706D" w:rsidRPr="00241B3B">
        <w:rPr>
          <w:lang w:val="en-AU"/>
        </w:rPr>
        <w:t>g</w:t>
      </w:r>
      <w:r w:rsidR="008E74DA" w:rsidRPr="00241B3B">
        <w:rPr>
          <w:lang w:val="en-AU"/>
        </w:rPr>
        <w:t>overnment</w:t>
      </w:r>
      <w:r w:rsidRPr="00241B3B">
        <w:rPr>
          <w:lang w:val="en-AU"/>
        </w:rPr>
        <w:t xml:space="preserve"> and private housing. It may mean that someone with disability who is leaving a physically, psychologically and/or emotionally unsafe living environment may be </w:t>
      </w:r>
      <w:r w:rsidR="00460A77" w:rsidRPr="00241B3B">
        <w:rPr>
          <w:lang w:val="en-AU"/>
        </w:rPr>
        <w:t>forced into</w:t>
      </w:r>
      <w:r w:rsidR="00765B27" w:rsidRPr="00241B3B">
        <w:rPr>
          <w:lang w:val="en-AU"/>
        </w:rPr>
        <w:t xml:space="preserve"> another unsafe living environment, or </w:t>
      </w:r>
      <w:r w:rsidRPr="00241B3B">
        <w:rPr>
          <w:lang w:val="en-AU"/>
        </w:rPr>
        <w:t>to return</w:t>
      </w:r>
      <w:r w:rsidR="00765B27" w:rsidRPr="00241B3B">
        <w:rPr>
          <w:lang w:val="en-AU"/>
        </w:rPr>
        <w:t xml:space="preserve"> to their previously unsafe living environment</w:t>
      </w:r>
      <w:r w:rsidR="008F39C5" w:rsidRPr="00241B3B">
        <w:rPr>
          <w:lang w:val="en-AU"/>
        </w:rPr>
        <w:t>,</w:t>
      </w:r>
      <w:r w:rsidRPr="00241B3B">
        <w:rPr>
          <w:lang w:val="en-AU"/>
        </w:rPr>
        <w:t xml:space="preserve"> if housing options that are available are not accessible for their disability needs.</w:t>
      </w:r>
      <w:r w:rsidR="006A613F" w:rsidRPr="00241B3B">
        <w:rPr>
          <w:lang w:val="en-AU"/>
        </w:rPr>
        <w:t xml:space="preserve"> </w:t>
      </w:r>
      <w:r w:rsidR="00200A97" w:rsidRPr="00241B3B">
        <w:rPr>
          <w:lang w:val="en-AU"/>
        </w:rPr>
        <w:t>A report by Monash University found that there are several accessibility issues in existing private dwellings:</w:t>
      </w:r>
    </w:p>
    <w:p w14:paraId="7995C45A" w14:textId="44D3B2DE" w:rsidR="003720A7" w:rsidRPr="00241B3B" w:rsidRDefault="00553A73" w:rsidP="003860BF">
      <w:pPr>
        <w:pStyle w:val="Quote"/>
        <w:spacing w:line="288" w:lineRule="auto"/>
        <w:jc w:val="left"/>
      </w:pPr>
      <w:r w:rsidRPr="00241B3B">
        <w:lastRenderedPageBreak/>
        <w:t>‘</w:t>
      </w:r>
      <w:r w:rsidR="00200A97" w:rsidRPr="00241B3B">
        <w:t>Problems with existing housing include poor access; unsuitable internal layouts; inadequately designed bathrooms, kitchens and laundries; and a lack of other qualities such as good light and connections to outdoor views and spaces. As well, dwellings may be poorly located in relation to transport, services and amenities, further limiting life choices, particularly around employment. It is up to individual households to make changes to their dwellings – owned or rented – whether through limited Government funding pathways if they qualify, or by privately funding them.</w:t>
      </w:r>
      <w:r w:rsidRPr="00241B3B">
        <w:t>’</w:t>
      </w:r>
      <w:r w:rsidR="00200A97" w:rsidRPr="00241B3B">
        <w:rPr>
          <w:rStyle w:val="FootnoteReference"/>
        </w:rPr>
        <w:footnoteReference w:id="21"/>
      </w:r>
    </w:p>
    <w:p w14:paraId="24546CB0" w14:textId="25709E43" w:rsidR="005C341E" w:rsidRPr="00241B3B" w:rsidRDefault="005C341E" w:rsidP="00241B3B">
      <w:pPr>
        <w:pStyle w:val="BodyText"/>
        <w:rPr>
          <w:lang w:val="en-AU"/>
        </w:rPr>
      </w:pPr>
      <w:r w:rsidRPr="00241B3B">
        <w:rPr>
          <w:lang w:val="en-AU"/>
        </w:rPr>
        <w:t>PWDA</w:t>
      </w:r>
      <w:r w:rsidR="005F39F4" w:rsidRPr="00241B3B">
        <w:rPr>
          <w:lang w:val="en-AU"/>
        </w:rPr>
        <w:t xml:space="preserve">’s </w:t>
      </w:r>
      <w:r w:rsidRPr="00241B3B">
        <w:rPr>
          <w:lang w:val="en-AU"/>
        </w:rPr>
        <w:t xml:space="preserve">individual advocates </w:t>
      </w:r>
      <w:r w:rsidR="005F39F4" w:rsidRPr="00241B3B">
        <w:rPr>
          <w:lang w:val="en-AU"/>
        </w:rPr>
        <w:t>have</w:t>
      </w:r>
      <w:r w:rsidR="003720A7" w:rsidRPr="00241B3B">
        <w:rPr>
          <w:lang w:val="en-AU"/>
        </w:rPr>
        <w:t xml:space="preserve"> also</w:t>
      </w:r>
      <w:r w:rsidR="005F39F4" w:rsidRPr="00241B3B">
        <w:rPr>
          <w:lang w:val="en-AU"/>
        </w:rPr>
        <w:t xml:space="preserve"> experienced a </w:t>
      </w:r>
      <w:r w:rsidRPr="00241B3B">
        <w:rPr>
          <w:lang w:val="en-AU"/>
        </w:rPr>
        <w:t>tension between</w:t>
      </w:r>
      <w:r w:rsidR="00F7132E" w:rsidRPr="00241B3B">
        <w:rPr>
          <w:lang w:val="en-AU"/>
        </w:rPr>
        <w:t xml:space="preserve"> securing</w:t>
      </w:r>
      <w:r w:rsidRPr="00241B3B">
        <w:rPr>
          <w:lang w:val="en-AU"/>
        </w:rPr>
        <w:t xml:space="preserve"> home modifications</w:t>
      </w:r>
      <w:r w:rsidR="009E731F" w:rsidRPr="00241B3B">
        <w:rPr>
          <w:lang w:val="en-AU"/>
        </w:rPr>
        <w:t xml:space="preserve"> </w:t>
      </w:r>
      <w:r w:rsidRPr="00241B3B">
        <w:rPr>
          <w:lang w:val="en-AU"/>
        </w:rPr>
        <w:t xml:space="preserve">and determining who will bear financial responsibility for the </w:t>
      </w:r>
      <w:r w:rsidR="00F7132E" w:rsidRPr="00241B3B">
        <w:rPr>
          <w:lang w:val="en-AU"/>
        </w:rPr>
        <w:t>modifications</w:t>
      </w:r>
      <w:r w:rsidRPr="00241B3B">
        <w:rPr>
          <w:lang w:val="en-AU"/>
        </w:rPr>
        <w:t xml:space="preserve">. Prior to the establishment of the NDIS, state and territory </w:t>
      </w:r>
      <w:r w:rsidR="00F7132E" w:rsidRPr="00241B3B">
        <w:rPr>
          <w:lang w:val="en-AU"/>
        </w:rPr>
        <w:t>g</w:t>
      </w:r>
      <w:r w:rsidR="008E74DA" w:rsidRPr="00241B3B">
        <w:rPr>
          <w:lang w:val="en-AU"/>
        </w:rPr>
        <w:t>overnment</w:t>
      </w:r>
      <w:r w:rsidRPr="00241B3B">
        <w:rPr>
          <w:lang w:val="en-AU"/>
        </w:rPr>
        <w:t>s bore primary responsibility through funding state and territory disability home modification</w:t>
      </w:r>
      <w:r w:rsidR="00F7132E" w:rsidRPr="00241B3B">
        <w:rPr>
          <w:lang w:val="en-AU"/>
        </w:rPr>
        <w:t xml:space="preserve"> programs</w:t>
      </w:r>
      <w:r w:rsidRPr="00241B3B">
        <w:rPr>
          <w:lang w:val="en-AU"/>
        </w:rPr>
        <w:t xml:space="preserve">. Currently, it is often left to people with disability </w:t>
      </w:r>
      <w:r w:rsidR="00E36AEB" w:rsidRPr="00241B3B">
        <w:rPr>
          <w:lang w:val="en-AU"/>
        </w:rPr>
        <w:t xml:space="preserve">not living in social housing and/or who have no relevant funding through the NDIS </w:t>
      </w:r>
      <w:r w:rsidRPr="00241B3B">
        <w:rPr>
          <w:lang w:val="en-AU"/>
        </w:rPr>
        <w:t xml:space="preserve">to finance their own home modifications. </w:t>
      </w:r>
    </w:p>
    <w:p w14:paraId="61E7B8B8" w14:textId="12AEA687" w:rsidR="009E731F" w:rsidRPr="00241B3B" w:rsidRDefault="005C341E" w:rsidP="00241B3B">
      <w:pPr>
        <w:pStyle w:val="BodyText"/>
        <w:rPr>
          <w:lang w:val="en-AU"/>
        </w:rPr>
      </w:pPr>
      <w:r w:rsidRPr="00241B3B">
        <w:rPr>
          <w:lang w:val="en-AU"/>
        </w:rPr>
        <w:t xml:space="preserve">An additional discrepancy at </w:t>
      </w:r>
      <w:r w:rsidR="00082226" w:rsidRPr="00241B3B">
        <w:rPr>
          <w:lang w:val="en-AU"/>
        </w:rPr>
        <w:t>the</w:t>
      </w:r>
      <w:r w:rsidRPr="00241B3B">
        <w:rPr>
          <w:lang w:val="en-AU"/>
        </w:rPr>
        <w:t xml:space="preserve"> national level is that the Li</w:t>
      </w:r>
      <w:r w:rsidR="00082226" w:rsidRPr="00241B3B">
        <w:rPr>
          <w:lang w:val="en-AU"/>
        </w:rPr>
        <w:t>v</w:t>
      </w:r>
      <w:r w:rsidRPr="00241B3B">
        <w:rPr>
          <w:lang w:val="en-AU"/>
        </w:rPr>
        <w:t xml:space="preserve">able Housing Design </w:t>
      </w:r>
      <w:r w:rsidR="00A56CF4" w:rsidRPr="00241B3B">
        <w:rPr>
          <w:lang w:val="en-AU"/>
        </w:rPr>
        <w:t>Guidelines minimum accessibility s</w:t>
      </w:r>
      <w:r w:rsidRPr="00241B3B">
        <w:rPr>
          <w:lang w:val="en-AU"/>
        </w:rPr>
        <w:t>tandard</w:t>
      </w:r>
      <w:r w:rsidR="00082226" w:rsidRPr="00241B3B">
        <w:rPr>
          <w:lang w:val="en-AU"/>
        </w:rPr>
        <w:t>s</w:t>
      </w:r>
      <w:r w:rsidRPr="00241B3B">
        <w:rPr>
          <w:lang w:val="en-AU"/>
        </w:rPr>
        <w:t xml:space="preserve"> in the </w:t>
      </w:r>
      <w:hyperlink r:id="rId32" w:history="1">
        <w:r w:rsidRPr="00241B3B">
          <w:rPr>
            <w:rStyle w:val="Hyperlink"/>
            <w:lang w:val="en-AU"/>
          </w:rPr>
          <w:t>National Construction Code</w:t>
        </w:r>
      </w:hyperlink>
      <w:r w:rsidRPr="00241B3B">
        <w:rPr>
          <w:lang w:val="en-AU"/>
        </w:rPr>
        <w:t xml:space="preserve"> </w:t>
      </w:r>
      <w:r w:rsidR="00F645B5" w:rsidRPr="00241B3B">
        <w:rPr>
          <w:lang w:val="en-AU"/>
        </w:rPr>
        <w:t>are not being implemented</w:t>
      </w:r>
      <w:r w:rsidRPr="00241B3B">
        <w:rPr>
          <w:lang w:val="en-AU"/>
        </w:rPr>
        <w:t xml:space="preserve"> across all states and territories, with NSW</w:t>
      </w:r>
      <w:r w:rsidR="00082226" w:rsidRPr="00241B3B">
        <w:rPr>
          <w:lang w:val="en-AU"/>
        </w:rPr>
        <w:t xml:space="preserve"> and WA</w:t>
      </w:r>
      <w:r w:rsidR="00A56CF4" w:rsidRPr="00241B3B">
        <w:rPr>
          <w:lang w:val="en-AU"/>
        </w:rPr>
        <w:t xml:space="preserve"> at the time of writing not agreeing </w:t>
      </w:r>
      <w:r w:rsidR="00504AAC" w:rsidRPr="00241B3B">
        <w:rPr>
          <w:lang w:val="en-AU"/>
        </w:rPr>
        <w:t>to</w:t>
      </w:r>
      <w:r w:rsidR="00A56CF4" w:rsidRPr="00241B3B">
        <w:rPr>
          <w:lang w:val="en-AU"/>
        </w:rPr>
        <w:t xml:space="preserve"> implement </w:t>
      </w:r>
      <w:r w:rsidR="00BF5002" w:rsidRPr="00241B3B">
        <w:rPr>
          <w:lang w:val="en-AU"/>
        </w:rPr>
        <w:t xml:space="preserve">minimum accessibility standards in their respective jurisdictions. </w:t>
      </w:r>
      <w:r w:rsidRPr="00241B3B">
        <w:rPr>
          <w:lang w:val="en-AU"/>
        </w:rPr>
        <w:t>Consequently, there needs to be provision</w:t>
      </w:r>
      <w:r w:rsidR="009E731F" w:rsidRPr="00241B3B">
        <w:rPr>
          <w:lang w:val="en-AU"/>
        </w:rPr>
        <w:t>s</w:t>
      </w:r>
      <w:r w:rsidRPr="00241B3B">
        <w:rPr>
          <w:lang w:val="en-AU"/>
        </w:rPr>
        <w:t xml:space="preserve"> for home modifications to enable people with disability to continue to live in private dwellings which are fully accessible to them. </w:t>
      </w:r>
    </w:p>
    <w:p w14:paraId="50950477" w14:textId="64FCB96B" w:rsidR="006A613F" w:rsidRPr="00241B3B" w:rsidRDefault="005C341E" w:rsidP="00241B3B">
      <w:pPr>
        <w:pStyle w:val="BodyText"/>
        <w:rPr>
          <w:lang w:val="en-AU"/>
        </w:rPr>
      </w:pPr>
      <w:r w:rsidRPr="00241B3B">
        <w:rPr>
          <w:lang w:val="en-AU"/>
        </w:rPr>
        <w:t xml:space="preserve">Accessibility of housing is addressed through </w:t>
      </w:r>
      <w:r w:rsidR="003A53F7" w:rsidRPr="00241B3B">
        <w:rPr>
          <w:lang w:val="en-AU"/>
        </w:rPr>
        <w:t>O</w:t>
      </w:r>
      <w:r w:rsidRPr="00241B3B">
        <w:rPr>
          <w:lang w:val="en-AU"/>
        </w:rPr>
        <w:t>utcome 4</w:t>
      </w:r>
      <w:r w:rsidR="00300084" w:rsidRPr="00241B3B">
        <w:rPr>
          <w:lang w:val="en-AU"/>
        </w:rPr>
        <w:t>.</w:t>
      </w:r>
      <w:r w:rsidRPr="00241B3B">
        <w:rPr>
          <w:lang w:val="en-AU"/>
        </w:rPr>
        <w:t xml:space="preserve"> </w:t>
      </w:r>
      <w:bookmarkStart w:id="144" w:name="_Toc147405543"/>
    </w:p>
    <w:p w14:paraId="4E52AAA2" w14:textId="4C0F18D9" w:rsidR="00263CB8" w:rsidRPr="00241B3B" w:rsidRDefault="00263CB8" w:rsidP="003860BF">
      <w:pPr>
        <w:pStyle w:val="Heading4"/>
        <w:spacing w:line="240" w:lineRule="auto"/>
      </w:pPr>
      <w:r w:rsidRPr="00241B3B">
        <w:t>Priority area 4: Safety and prevention of violence as a driver of homelessness</w:t>
      </w:r>
      <w:bookmarkEnd w:id="144"/>
    </w:p>
    <w:p w14:paraId="414030F8" w14:textId="4802791B" w:rsidR="005B2E8D" w:rsidRPr="00241B3B" w:rsidRDefault="005B2E8D" w:rsidP="00241B3B">
      <w:pPr>
        <w:pStyle w:val="BodyText"/>
        <w:rPr>
          <w:lang w:val="en-AU"/>
        </w:rPr>
      </w:pPr>
      <w:r w:rsidRPr="00241B3B">
        <w:rPr>
          <w:lang w:val="en-AU"/>
        </w:rPr>
        <w:t xml:space="preserve">Violence as a primary driver of homelessness must be addressed through </w:t>
      </w:r>
      <w:r w:rsidR="00E35CD8" w:rsidRPr="00241B3B">
        <w:rPr>
          <w:lang w:val="en-AU"/>
        </w:rPr>
        <w:t xml:space="preserve">an </w:t>
      </w:r>
      <w:r w:rsidRPr="00241B3B">
        <w:rPr>
          <w:lang w:val="en-AU"/>
        </w:rPr>
        <w:t>alignment of the NHHP with the aims of the National Plan to End Violence Against Women. Further, the Commonwealth Government must work with states and territories on investment for a transition pathway from homelessness for people with disability, including</w:t>
      </w:r>
      <w:r w:rsidR="00267F31" w:rsidRPr="00241B3B">
        <w:rPr>
          <w:lang w:val="en-AU"/>
        </w:rPr>
        <w:t xml:space="preserve"> by</w:t>
      </w:r>
      <w:r w:rsidRPr="00241B3B">
        <w:rPr>
          <w:lang w:val="en-AU"/>
        </w:rPr>
        <w:t xml:space="preserve"> ensuring people with disability are supported when leaving closed settings to not become homeless. </w:t>
      </w:r>
    </w:p>
    <w:p w14:paraId="5468E3D0" w14:textId="1E670A17" w:rsidR="00263CB8" w:rsidRPr="00241B3B" w:rsidRDefault="00263CB8" w:rsidP="00241B3B">
      <w:pPr>
        <w:pStyle w:val="BodyText"/>
        <w:rPr>
          <w:lang w:val="en-AU"/>
        </w:rPr>
      </w:pPr>
      <w:r w:rsidRPr="00241B3B">
        <w:rPr>
          <w:lang w:val="en-AU"/>
        </w:rPr>
        <w:lastRenderedPageBreak/>
        <w:t xml:space="preserve">Homelessness Australia identified the primary drivers to homelessness to be </w:t>
      </w:r>
      <w:r w:rsidR="00553A73" w:rsidRPr="00241B3B">
        <w:rPr>
          <w:lang w:val="en-AU"/>
        </w:rPr>
        <w:t>‘</w:t>
      </w:r>
      <w:r w:rsidRPr="00241B3B">
        <w:rPr>
          <w:lang w:val="en-AU"/>
        </w:rPr>
        <w:t>family violence and child abuse and neglect</w:t>
      </w:r>
      <w:r w:rsidR="00553A73" w:rsidRPr="00241B3B">
        <w:rPr>
          <w:lang w:val="en-AU"/>
        </w:rPr>
        <w:t>’</w:t>
      </w:r>
      <w:r w:rsidRPr="00241B3B">
        <w:rPr>
          <w:lang w:val="en-AU"/>
        </w:rPr>
        <w:t xml:space="preserve"> and therefore, it is important that there is investment in domestic family violence (DFV) as a key action in preventing homelessness.</w:t>
      </w:r>
      <w:r w:rsidRPr="00241B3B">
        <w:rPr>
          <w:rStyle w:val="FootnoteReference"/>
          <w:lang w:val="en-AU"/>
        </w:rPr>
        <w:footnoteReference w:id="22"/>
      </w:r>
      <w:r w:rsidR="00AB197B" w:rsidRPr="00241B3B">
        <w:rPr>
          <w:lang w:val="en-AU"/>
        </w:rPr>
        <w:t xml:space="preserve"> </w:t>
      </w:r>
    </w:p>
    <w:p w14:paraId="56F89008" w14:textId="39DE04C8" w:rsidR="00263CB8" w:rsidRPr="00241B3B" w:rsidRDefault="00263CB8" w:rsidP="00241B3B">
      <w:pPr>
        <w:pStyle w:val="BodyText"/>
        <w:rPr>
          <w:lang w:val="en-AU"/>
        </w:rPr>
      </w:pPr>
      <w:r w:rsidRPr="00241B3B">
        <w:rPr>
          <w:lang w:val="en-AU"/>
        </w:rPr>
        <w:t xml:space="preserve">The NHHP needs to compliment the </w:t>
      </w:r>
      <w:hyperlink r:id="rId33" w:history="1">
        <w:r w:rsidRPr="00241B3B">
          <w:rPr>
            <w:rStyle w:val="Hyperlink"/>
            <w:lang w:val="en-AU"/>
          </w:rPr>
          <w:t>National Plan to End Violence Against Women</w:t>
        </w:r>
      </w:hyperlink>
      <w:r w:rsidRPr="00241B3B">
        <w:rPr>
          <w:i/>
          <w:iCs/>
          <w:lang w:val="en-AU"/>
        </w:rPr>
        <w:t>.</w:t>
      </w:r>
      <w:r w:rsidRPr="00241B3B">
        <w:rPr>
          <w:lang w:val="en-AU"/>
        </w:rPr>
        <w:t xml:space="preserve"> For many people with disability facing unsafe living conditions, the dual issues of undersupply and unaffordability means that many will remain in a physically, psychologically and/or emotionally unsafe environment. </w:t>
      </w:r>
    </w:p>
    <w:p w14:paraId="06BE7A08" w14:textId="3F6272A9" w:rsidR="00406782" w:rsidRPr="00241B3B" w:rsidRDefault="00263CB8" w:rsidP="00241B3B">
      <w:pPr>
        <w:pStyle w:val="BodyText"/>
        <w:rPr>
          <w:lang w:val="en-AU"/>
        </w:rPr>
      </w:pPr>
      <w:r w:rsidRPr="00241B3B">
        <w:rPr>
          <w:lang w:val="en-AU"/>
        </w:rPr>
        <w:t xml:space="preserve">In addition, PWDA individual advocates have shared that people with disability who are in a transient housing situation (and therefore do not having a fixed address) </w:t>
      </w:r>
      <w:r w:rsidR="001D4839" w:rsidRPr="00241B3B">
        <w:rPr>
          <w:lang w:val="en-AU"/>
        </w:rPr>
        <w:t>are unable</w:t>
      </w:r>
      <w:r w:rsidRPr="00241B3B">
        <w:rPr>
          <w:lang w:val="en-AU"/>
        </w:rPr>
        <w:t xml:space="preserve"> to access services</w:t>
      </w:r>
      <w:r w:rsidR="00237042" w:rsidRPr="00241B3B">
        <w:rPr>
          <w:lang w:val="en-AU"/>
        </w:rPr>
        <w:t>.</w:t>
      </w:r>
      <w:r w:rsidR="00406782" w:rsidRPr="00241B3B">
        <w:rPr>
          <w:lang w:val="en-AU"/>
        </w:rPr>
        <w:t xml:space="preserve"> </w:t>
      </w:r>
      <w:r w:rsidRPr="00241B3B">
        <w:rPr>
          <w:lang w:val="en-AU"/>
        </w:rPr>
        <w:t>Homelessness Australia has</w:t>
      </w:r>
      <w:r w:rsidR="00347C4D" w:rsidRPr="00241B3B">
        <w:rPr>
          <w:lang w:val="en-AU"/>
        </w:rPr>
        <w:t xml:space="preserve"> also</w:t>
      </w:r>
      <w:r w:rsidRPr="00241B3B">
        <w:rPr>
          <w:lang w:val="en-AU"/>
        </w:rPr>
        <w:t xml:space="preserve"> recommended investment </w:t>
      </w:r>
      <w:r w:rsidR="001D4839" w:rsidRPr="00241B3B">
        <w:rPr>
          <w:lang w:val="en-AU"/>
        </w:rPr>
        <w:t>‘</w:t>
      </w:r>
      <w:r w:rsidRPr="00241B3B">
        <w:rPr>
          <w:lang w:val="en-AU"/>
        </w:rPr>
        <w:t>for people to receive the health, disability, education and other community supports that they need to thrive</w:t>
      </w:r>
      <w:r w:rsidR="00553A73" w:rsidRPr="00241B3B">
        <w:rPr>
          <w:lang w:val="en-AU"/>
        </w:rPr>
        <w:t>’</w:t>
      </w:r>
      <w:r w:rsidRPr="00241B3B">
        <w:rPr>
          <w:lang w:val="en-AU"/>
        </w:rPr>
        <w:t>.</w:t>
      </w:r>
      <w:r w:rsidRPr="00241B3B">
        <w:rPr>
          <w:rStyle w:val="FootnoteReference"/>
          <w:lang w:val="en-AU"/>
        </w:rPr>
        <w:footnoteReference w:id="23"/>
      </w:r>
      <w:r w:rsidRPr="00241B3B">
        <w:rPr>
          <w:lang w:val="en-AU"/>
        </w:rPr>
        <w:t xml:space="preserve"> </w:t>
      </w:r>
    </w:p>
    <w:p w14:paraId="7FBAB393" w14:textId="6C5AA9CC" w:rsidR="00EC294A" w:rsidRPr="00241B3B" w:rsidRDefault="00A2282F" w:rsidP="00241B3B">
      <w:pPr>
        <w:pStyle w:val="BodyText"/>
        <w:rPr>
          <w:lang w:val="en-AU"/>
        </w:rPr>
      </w:pPr>
      <w:r w:rsidRPr="00241B3B">
        <w:rPr>
          <w:lang w:val="en-AU"/>
        </w:rPr>
        <w:t>Therefore, it</w:t>
      </w:r>
      <w:r w:rsidR="00D85772" w:rsidRPr="00241B3B">
        <w:rPr>
          <w:lang w:val="en-AU"/>
        </w:rPr>
        <w:t xml:space="preserve"> </w:t>
      </w:r>
      <w:r w:rsidR="00406782" w:rsidRPr="00241B3B">
        <w:rPr>
          <w:lang w:val="en-AU"/>
        </w:rPr>
        <w:t>is critical</w:t>
      </w:r>
      <w:r w:rsidR="00EC294A" w:rsidRPr="00241B3B">
        <w:rPr>
          <w:lang w:val="en-AU"/>
        </w:rPr>
        <w:t xml:space="preserve"> </w:t>
      </w:r>
      <w:r w:rsidR="00406782" w:rsidRPr="00241B3B">
        <w:rPr>
          <w:lang w:val="en-AU"/>
        </w:rPr>
        <w:t xml:space="preserve">that investment in crisis and </w:t>
      </w:r>
      <w:r w:rsidR="001366E1" w:rsidRPr="00241B3B">
        <w:rPr>
          <w:lang w:val="en-AU"/>
        </w:rPr>
        <w:t>transition</w:t>
      </w:r>
      <w:r w:rsidR="00280DFE" w:rsidRPr="00241B3B">
        <w:rPr>
          <w:lang w:val="en-AU"/>
        </w:rPr>
        <w:t>al</w:t>
      </w:r>
      <w:r w:rsidR="00406782" w:rsidRPr="00241B3B">
        <w:rPr>
          <w:lang w:val="en-AU"/>
        </w:rPr>
        <w:t xml:space="preserve"> accommodation </w:t>
      </w:r>
      <w:r w:rsidR="00AB197B" w:rsidRPr="00241B3B">
        <w:rPr>
          <w:lang w:val="en-AU"/>
        </w:rPr>
        <w:t>occurs to support a pathway from homelessness to secure housing for people with disability. This is in line with the Disability Royal Commission Final Report Recommendation 7.43 (</w:t>
      </w:r>
      <w:r w:rsidR="003860BF" w:rsidRPr="00241B3B">
        <w:rPr>
          <w:lang w:val="en-AU"/>
        </w:rPr>
        <w:t>‘</w:t>
      </w:r>
      <w:r w:rsidR="00AB197B" w:rsidRPr="00241B3B">
        <w:rPr>
          <w:lang w:val="en-AU"/>
        </w:rPr>
        <w:t>A roadmap to phase out group homes</w:t>
      </w:r>
      <w:r w:rsidR="003860BF" w:rsidRPr="00241B3B">
        <w:rPr>
          <w:lang w:val="en-AU"/>
        </w:rPr>
        <w:t>’</w:t>
      </w:r>
      <w:r w:rsidR="00AB197B" w:rsidRPr="00241B3B">
        <w:rPr>
          <w:lang w:val="en-AU"/>
        </w:rPr>
        <w:t>), part c)</w:t>
      </w:r>
      <w:r w:rsidR="00237042" w:rsidRPr="00241B3B">
        <w:rPr>
          <w:lang w:val="en-AU"/>
        </w:rPr>
        <w:t xml:space="preserve"> </w:t>
      </w:r>
      <w:r w:rsidR="001140B6" w:rsidRPr="00241B3B">
        <w:rPr>
          <w:lang w:val="en-AU"/>
        </w:rPr>
        <w:t>‘</w:t>
      </w:r>
      <w:r w:rsidR="00237042" w:rsidRPr="00241B3B">
        <w:rPr>
          <w:lang w:val="en-AU"/>
        </w:rPr>
        <w:t xml:space="preserve">[to] </w:t>
      </w:r>
      <w:r w:rsidR="00AB197B" w:rsidRPr="00241B3B">
        <w:rPr>
          <w:lang w:val="en-AU"/>
        </w:rPr>
        <w:t>transition support for people currently living in group homes, including through [a] transition pathway.</w:t>
      </w:r>
      <w:r w:rsidR="001140B6" w:rsidRPr="00241B3B">
        <w:rPr>
          <w:lang w:val="en-AU"/>
        </w:rPr>
        <w:t>’</w:t>
      </w:r>
      <w:r w:rsidR="00AB197B" w:rsidRPr="00241B3B">
        <w:rPr>
          <w:lang w:val="en-AU"/>
        </w:rPr>
        <w:t xml:space="preserve"> </w:t>
      </w:r>
    </w:p>
    <w:p w14:paraId="4EA9E04F" w14:textId="5F380EC6" w:rsidR="00EC294A" w:rsidRPr="00241B3B" w:rsidRDefault="00AB197B" w:rsidP="00241B3B">
      <w:pPr>
        <w:pStyle w:val="BodyText"/>
        <w:rPr>
          <w:lang w:val="en-AU"/>
        </w:rPr>
      </w:pPr>
      <w:r w:rsidRPr="00241B3B">
        <w:rPr>
          <w:lang w:val="en-AU"/>
        </w:rPr>
        <w:t xml:space="preserve">Further, </w:t>
      </w:r>
      <w:r w:rsidR="00773A8F" w:rsidRPr="00241B3B">
        <w:rPr>
          <w:lang w:val="en-AU"/>
        </w:rPr>
        <w:t>R</w:t>
      </w:r>
      <w:r w:rsidRPr="00241B3B">
        <w:rPr>
          <w:lang w:val="en-AU"/>
        </w:rPr>
        <w:t>ecommendation 7.43</w:t>
      </w:r>
      <w:r w:rsidR="00CA65F6" w:rsidRPr="00241B3B">
        <w:rPr>
          <w:lang w:val="en-AU"/>
        </w:rPr>
        <w:t xml:space="preserve">, </w:t>
      </w:r>
      <w:r w:rsidRPr="00241B3B">
        <w:rPr>
          <w:lang w:val="en-AU"/>
        </w:rPr>
        <w:t xml:space="preserve">part </w:t>
      </w:r>
      <w:r w:rsidR="000E5E46">
        <w:rPr>
          <w:lang w:val="en-AU"/>
        </w:rPr>
        <w:t>A</w:t>
      </w:r>
      <w:r w:rsidRPr="00241B3B">
        <w:rPr>
          <w:lang w:val="en-AU"/>
        </w:rPr>
        <w:t xml:space="preserve">) </w:t>
      </w:r>
      <w:r w:rsidR="001140B6" w:rsidRPr="00241B3B">
        <w:rPr>
          <w:lang w:val="en-AU"/>
        </w:rPr>
        <w:t>‘</w:t>
      </w:r>
      <w:r w:rsidR="00237042" w:rsidRPr="00241B3B">
        <w:rPr>
          <w:lang w:val="en-AU"/>
        </w:rPr>
        <w:t>[</w:t>
      </w:r>
      <w:r w:rsidRPr="00241B3B">
        <w:rPr>
          <w:lang w:val="en-AU"/>
        </w:rPr>
        <w:t>support</w:t>
      </w:r>
      <w:r w:rsidR="00237042" w:rsidRPr="00241B3B">
        <w:rPr>
          <w:lang w:val="en-AU"/>
        </w:rPr>
        <w:t>s</w:t>
      </w:r>
      <w:r w:rsidR="00A2282F" w:rsidRPr="00241B3B">
        <w:rPr>
          <w:lang w:val="en-AU"/>
        </w:rPr>
        <w:t xml:space="preserve"> the</w:t>
      </w:r>
      <w:r w:rsidR="00237042" w:rsidRPr="00241B3B">
        <w:rPr>
          <w:lang w:val="en-AU"/>
        </w:rPr>
        <w:t>]</w:t>
      </w:r>
      <w:r w:rsidRPr="00241B3B">
        <w:rPr>
          <w:lang w:val="en-AU"/>
        </w:rPr>
        <w:t xml:space="preserve"> delivery of inclusive housing supply to meet demand.</w:t>
      </w:r>
      <w:r w:rsidR="001140B6" w:rsidRPr="00241B3B">
        <w:rPr>
          <w:lang w:val="en-AU"/>
        </w:rPr>
        <w:t>’</w:t>
      </w:r>
      <w:r w:rsidRPr="00241B3B">
        <w:rPr>
          <w:lang w:val="en-AU"/>
        </w:rPr>
        <w:t xml:space="preserve"> This must explicitly include transition</w:t>
      </w:r>
      <w:r w:rsidR="00FD6F9D" w:rsidRPr="00241B3B">
        <w:rPr>
          <w:lang w:val="en-AU"/>
        </w:rPr>
        <w:t>al</w:t>
      </w:r>
      <w:r w:rsidRPr="00241B3B">
        <w:rPr>
          <w:lang w:val="en-AU"/>
        </w:rPr>
        <w:t xml:space="preserve"> and crisis accommodation for people with disability going through the pathway from homelessness to secure housing. </w:t>
      </w:r>
    </w:p>
    <w:p w14:paraId="493B300E" w14:textId="041052CC" w:rsidR="00987949" w:rsidRPr="00241B3B" w:rsidRDefault="00987949" w:rsidP="00241B3B">
      <w:pPr>
        <w:pStyle w:val="BodyText"/>
        <w:rPr>
          <w:lang w:val="en-AU"/>
        </w:rPr>
      </w:pPr>
      <w:r w:rsidRPr="00241B3B">
        <w:rPr>
          <w:lang w:val="en-AU"/>
        </w:rPr>
        <w:t>Finally, this transition pathway must support people with disability leaving closed settings</w:t>
      </w:r>
      <w:r w:rsidR="001140B6" w:rsidRPr="00241B3B">
        <w:rPr>
          <w:lang w:val="en-AU"/>
        </w:rPr>
        <w:t>,</w:t>
      </w:r>
      <w:r w:rsidRPr="00241B3B">
        <w:rPr>
          <w:lang w:val="en-AU"/>
        </w:rPr>
        <w:t xml:space="preserve"> including mental health settings or incarceration, to ensure they do not </w:t>
      </w:r>
      <w:r w:rsidR="00137985" w:rsidRPr="00241B3B">
        <w:rPr>
          <w:lang w:val="en-AU"/>
        </w:rPr>
        <w:t>exit into homelessnes</w:t>
      </w:r>
      <w:r w:rsidRPr="00241B3B">
        <w:rPr>
          <w:lang w:val="en-AU"/>
        </w:rPr>
        <w:t>s. This is supported by the Disability Royal Commission Final Report Recommendation 7.39 (</w:t>
      </w:r>
      <w:r w:rsidR="003860BF" w:rsidRPr="00241B3B">
        <w:rPr>
          <w:lang w:val="en-AU"/>
        </w:rPr>
        <w:t>‘</w:t>
      </w:r>
      <w:r w:rsidRPr="00241B3B">
        <w:rPr>
          <w:lang w:val="en-AU"/>
        </w:rPr>
        <w:t>Preventing homelessness when people with disability transition from service or institutional settings</w:t>
      </w:r>
      <w:r w:rsidR="003860BF" w:rsidRPr="00241B3B">
        <w:rPr>
          <w:lang w:val="en-AU"/>
        </w:rPr>
        <w:t>’</w:t>
      </w:r>
      <w:r w:rsidRPr="00241B3B">
        <w:rPr>
          <w:lang w:val="en-AU"/>
        </w:rPr>
        <w:t xml:space="preserve">). Under this recommendation, lead agencies are responsible for: </w:t>
      </w:r>
    </w:p>
    <w:p w14:paraId="7EAF658B" w14:textId="39F2DC3F" w:rsidR="00987949" w:rsidRPr="00241B3B" w:rsidRDefault="00987949" w:rsidP="00241B3B">
      <w:pPr>
        <w:pStyle w:val="ListBullet"/>
        <w:rPr>
          <w:lang w:val="en-AU"/>
        </w:rPr>
      </w:pPr>
      <w:r w:rsidRPr="00241B3B">
        <w:rPr>
          <w:lang w:val="en-AU"/>
        </w:rPr>
        <w:t>developing and implementing individual plans for people with disability leaving service or institutional settings to identify housing, services and supports for a successful transition into secure housing</w:t>
      </w:r>
      <w:r w:rsidR="00241B3B">
        <w:rPr>
          <w:lang w:val="en-AU"/>
        </w:rPr>
        <w:t>;</w:t>
      </w:r>
    </w:p>
    <w:p w14:paraId="1D07E788" w14:textId="57C935AB" w:rsidR="003173B9" w:rsidRPr="00241B3B" w:rsidRDefault="00987949" w:rsidP="00241B3B">
      <w:pPr>
        <w:pStyle w:val="ListBullet"/>
        <w:rPr>
          <w:lang w:val="en-AU"/>
        </w:rPr>
      </w:pPr>
      <w:r w:rsidRPr="00241B3B">
        <w:rPr>
          <w:lang w:val="en-AU"/>
        </w:rPr>
        <w:lastRenderedPageBreak/>
        <w:t>ensuring supports can be put in place before a person with disability leaves the service or institutional setting</w:t>
      </w:r>
      <w:r w:rsidR="00D85772" w:rsidRPr="00241B3B">
        <w:rPr>
          <w:lang w:val="en-AU"/>
        </w:rPr>
        <w:t>; and</w:t>
      </w:r>
    </w:p>
    <w:p w14:paraId="4935A38E" w14:textId="63ECBEA6" w:rsidR="00EC294A" w:rsidRPr="00241B3B" w:rsidRDefault="00987949" w:rsidP="00241B3B">
      <w:pPr>
        <w:pStyle w:val="ListBullet"/>
        <w:rPr>
          <w:lang w:val="en-AU"/>
        </w:rPr>
      </w:pPr>
      <w:r w:rsidRPr="00241B3B">
        <w:rPr>
          <w:lang w:val="en-AU"/>
        </w:rPr>
        <w:t>coordinating the implementation of the plan until the person with disability has successfully transitioned to safe and appropriate housing.</w:t>
      </w:r>
    </w:p>
    <w:p w14:paraId="42AFA419" w14:textId="73601122" w:rsidR="00263CB8" w:rsidRPr="00241B3B" w:rsidRDefault="00263CB8" w:rsidP="00241B3B">
      <w:pPr>
        <w:pStyle w:val="BodyText"/>
        <w:rPr>
          <w:lang w:val="en-AU"/>
        </w:rPr>
      </w:pPr>
      <w:r w:rsidRPr="00241B3B">
        <w:rPr>
          <w:lang w:val="en-AU"/>
        </w:rPr>
        <w:t>Additionally, access to safe housing can be through private rentals, however meeting tenancy obligations can be challenging for many people with disability. PWDA advocates shared that they are often involved in assisting people with disability when they have not met</w:t>
      </w:r>
      <w:r w:rsidR="00F41AAA" w:rsidRPr="00241B3B">
        <w:rPr>
          <w:lang w:val="en-AU"/>
        </w:rPr>
        <w:t xml:space="preserve">, </w:t>
      </w:r>
      <w:r w:rsidRPr="00241B3B">
        <w:rPr>
          <w:lang w:val="en-AU"/>
        </w:rPr>
        <w:t>or are risk of not meeting tenancy obligations</w:t>
      </w:r>
      <w:r w:rsidR="00F41AAA" w:rsidRPr="00241B3B">
        <w:rPr>
          <w:lang w:val="en-AU"/>
        </w:rPr>
        <w:t>,</w:t>
      </w:r>
      <w:r w:rsidRPr="00241B3B">
        <w:rPr>
          <w:lang w:val="en-AU"/>
        </w:rPr>
        <w:t xml:space="preserve"> and therefore face eviction. It is important the legislative measures and support for gaining and maintaining tenancy is addressed. </w:t>
      </w:r>
    </w:p>
    <w:p w14:paraId="32CBC509" w14:textId="281B9DB1" w:rsidR="00263CB8" w:rsidRPr="00241B3B" w:rsidRDefault="00263CB8" w:rsidP="00241B3B">
      <w:pPr>
        <w:pStyle w:val="BodyText"/>
        <w:rPr>
          <w:lang w:val="en-AU"/>
        </w:rPr>
      </w:pPr>
      <w:r w:rsidRPr="00241B3B">
        <w:rPr>
          <w:lang w:val="en-AU"/>
        </w:rPr>
        <w:t xml:space="preserve">Addressing violence as a primary driver for homelessness is addressed through Outcome </w:t>
      </w:r>
      <w:r w:rsidR="00773A8F" w:rsidRPr="00241B3B">
        <w:rPr>
          <w:lang w:val="en-AU"/>
        </w:rPr>
        <w:t>4</w:t>
      </w:r>
      <w:r w:rsidR="001140B6" w:rsidRPr="00241B3B">
        <w:rPr>
          <w:lang w:val="en-AU"/>
        </w:rPr>
        <w:t>,</w:t>
      </w:r>
      <w:r w:rsidR="00773A8F" w:rsidRPr="00241B3B">
        <w:rPr>
          <w:lang w:val="en-AU"/>
        </w:rPr>
        <w:t xml:space="preserve"> while Outcome 5 addresses the need for more accessible transitional and crisis accommodation. </w:t>
      </w:r>
      <w:r w:rsidRPr="00241B3B">
        <w:rPr>
          <w:lang w:val="en-AU"/>
        </w:rPr>
        <w:t xml:space="preserve">Outcome 6 addresses tenancy obligations and strengthening legislative measures around tenancy. </w:t>
      </w:r>
    </w:p>
    <w:p w14:paraId="5AD4BC5F" w14:textId="79CC627B" w:rsidR="00E77DC0" w:rsidRPr="00241B3B" w:rsidRDefault="00E77DC0" w:rsidP="003860BF">
      <w:pPr>
        <w:pStyle w:val="Heading3"/>
        <w:spacing w:line="240" w:lineRule="auto"/>
      </w:pPr>
      <w:bookmarkStart w:id="145" w:name="_Toc147911765"/>
      <w:bookmarkStart w:id="146" w:name="_Toc148013346"/>
      <w:bookmarkStart w:id="147" w:name="_Toc148957828"/>
      <w:r w:rsidRPr="00241B3B">
        <w:t xml:space="preserve">Outcome areas for the Targeted </w:t>
      </w:r>
      <w:r w:rsidR="005962AA" w:rsidRPr="00241B3B">
        <w:t>Housing Action Plan for People with Disability</w:t>
      </w:r>
      <w:bookmarkEnd w:id="145"/>
      <w:bookmarkEnd w:id="146"/>
      <w:bookmarkEnd w:id="147"/>
      <w:r w:rsidR="005962AA" w:rsidRPr="00241B3B">
        <w:rPr>
          <w:i/>
          <w:iCs/>
        </w:rPr>
        <w:t xml:space="preserve"> </w:t>
      </w:r>
    </w:p>
    <w:p w14:paraId="277B796E" w14:textId="1519AEFB" w:rsidR="004B2655" w:rsidRPr="00241B3B" w:rsidRDefault="005C341E" w:rsidP="00424471">
      <w:pPr>
        <w:pStyle w:val="Heading4"/>
        <w:spacing w:line="288" w:lineRule="auto"/>
      </w:pPr>
      <w:r w:rsidRPr="00241B3B">
        <w:t xml:space="preserve">Outcome 1: </w:t>
      </w:r>
      <w:r w:rsidR="009C5F58" w:rsidRPr="00241B3B">
        <w:t>Increas</w:t>
      </w:r>
      <w:r w:rsidR="00C67DDD" w:rsidRPr="00241B3B">
        <w:t>e</w:t>
      </w:r>
      <w:r w:rsidR="009C5F58" w:rsidRPr="00241B3B">
        <w:t xml:space="preserve"> </w:t>
      </w:r>
      <w:r w:rsidR="00D36C07" w:rsidRPr="00241B3B">
        <w:t xml:space="preserve">accessible </w:t>
      </w:r>
      <w:r w:rsidR="009C5F58" w:rsidRPr="00241B3B">
        <w:t xml:space="preserve">social and affordable housing </w:t>
      </w:r>
    </w:p>
    <w:p w14:paraId="763D9335" w14:textId="5F892B1F" w:rsidR="00527C00" w:rsidRPr="00241B3B" w:rsidRDefault="00527C00" w:rsidP="00241B3B">
      <w:pPr>
        <w:pStyle w:val="BodyText"/>
        <w:rPr>
          <w:lang w:val="en-AU"/>
        </w:rPr>
      </w:pPr>
      <w:r w:rsidRPr="00241B3B">
        <w:rPr>
          <w:lang w:val="en-AU"/>
        </w:rPr>
        <w:t xml:space="preserve">Investments </w:t>
      </w:r>
      <w:r w:rsidR="005C341E" w:rsidRPr="00241B3B">
        <w:rPr>
          <w:lang w:val="en-AU"/>
        </w:rPr>
        <w:t xml:space="preserve">to states and territories </w:t>
      </w:r>
      <w:r w:rsidRPr="00241B3B">
        <w:rPr>
          <w:lang w:val="en-AU"/>
        </w:rPr>
        <w:t>through the N</w:t>
      </w:r>
      <w:r w:rsidR="00212136" w:rsidRPr="00241B3B">
        <w:rPr>
          <w:lang w:val="en-AU"/>
        </w:rPr>
        <w:t>ational Housing and Homelessness Agreement (N</w:t>
      </w:r>
      <w:r w:rsidRPr="00241B3B">
        <w:rPr>
          <w:lang w:val="en-AU"/>
        </w:rPr>
        <w:t>HH</w:t>
      </w:r>
      <w:r w:rsidR="004E2EAA" w:rsidRPr="00241B3B">
        <w:rPr>
          <w:lang w:val="en-AU"/>
        </w:rPr>
        <w:t>A</w:t>
      </w:r>
      <w:r w:rsidR="004701A8" w:rsidRPr="00241B3B">
        <w:rPr>
          <w:lang w:val="en-AU"/>
        </w:rPr>
        <w:t>)</w:t>
      </w:r>
      <w:r w:rsidRPr="00241B3B">
        <w:rPr>
          <w:lang w:val="en-AU"/>
        </w:rPr>
        <w:t xml:space="preserve"> must be contingent on meeting the Livable Housing Design Guidelines minimum accessibility standards in the </w:t>
      </w:r>
      <w:hyperlink r:id="rId34" w:history="1">
        <w:r w:rsidRPr="00241B3B">
          <w:rPr>
            <w:rStyle w:val="Hyperlink"/>
            <w:lang w:val="en-AU"/>
          </w:rPr>
          <w:t>National Construction Code</w:t>
        </w:r>
      </w:hyperlink>
      <w:r w:rsidR="00474C16" w:rsidRPr="00241B3B">
        <w:rPr>
          <w:rStyle w:val="Hyperlink"/>
          <w:color w:val="auto"/>
          <w:u w:val="none"/>
          <w:lang w:val="en-AU"/>
        </w:rPr>
        <w:t xml:space="preserve"> to ensure new social and affordable housing stock</w:t>
      </w:r>
      <w:r w:rsidR="00D36C07" w:rsidRPr="00241B3B">
        <w:rPr>
          <w:rStyle w:val="Hyperlink"/>
          <w:color w:val="auto"/>
          <w:u w:val="none"/>
          <w:lang w:val="en-AU"/>
        </w:rPr>
        <w:t xml:space="preserve"> is accessible. </w:t>
      </w:r>
    </w:p>
    <w:p w14:paraId="733EEF2E" w14:textId="19734998" w:rsidR="005C341E" w:rsidRPr="00241B3B" w:rsidRDefault="00D36C07" w:rsidP="00241B3B">
      <w:pPr>
        <w:pStyle w:val="BodyText"/>
        <w:rPr>
          <w:lang w:val="en-AU"/>
        </w:rPr>
      </w:pPr>
      <w:r w:rsidRPr="00241B3B">
        <w:rPr>
          <w:lang w:val="en-AU"/>
        </w:rPr>
        <w:t>This is consistent with</w:t>
      </w:r>
      <w:r w:rsidR="005C341E" w:rsidRPr="00241B3B">
        <w:rPr>
          <w:lang w:val="en-AU"/>
        </w:rPr>
        <w:t xml:space="preserve"> Recommendation 7.35 </w:t>
      </w:r>
      <w:r w:rsidRPr="00241B3B">
        <w:rPr>
          <w:lang w:val="en-AU"/>
        </w:rPr>
        <w:t>(</w:t>
      </w:r>
      <w:r w:rsidR="000E5E46">
        <w:rPr>
          <w:lang w:val="en-AU"/>
        </w:rPr>
        <w:t>‘</w:t>
      </w:r>
      <w:r w:rsidR="005C341E" w:rsidRPr="00241B3B">
        <w:rPr>
          <w:lang w:val="en-AU"/>
        </w:rPr>
        <w:t>Increase the availability and supply of accessible and adaptive housing for people with disability through the National Construction Code</w:t>
      </w:r>
      <w:r w:rsidR="000E5E46">
        <w:rPr>
          <w:lang w:val="en-AU"/>
        </w:rPr>
        <w:t>’</w:t>
      </w:r>
      <w:r w:rsidRPr="00241B3B">
        <w:rPr>
          <w:lang w:val="en-AU"/>
        </w:rPr>
        <w:t>)</w:t>
      </w:r>
      <w:r w:rsidR="005C341E" w:rsidRPr="00241B3B">
        <w:rPr>
          <w:lang w:val="en-AU"/>
        </w:rPr>
        <w:t xml:space="preserve"> in the Disability Royal Commission Final Report. This includes updating crisis accommodation and Domestic Family Violence </w:t>
      </w:r>
      <w:r w:rsidR="00DF0580" w:rsidRPr="00241B3B">
        <w:rPr>
          <w:lang w:val="en-AU"/>
        </w:rPr>
        <w:t>H</w:t>
      </w:r>
      <w:r w:rsidR="005C341E" w:rsidRPr="00241B3B">
        <w:rPr>
          <w:lang w:val="en-AU"/>
        </w:rPr>
        <w:t xml:space="preserve">ousing services, after conducting an audit as per </w:t>
      </w:r>
      <w:r w:rsidR="001C7EAA" w:rsidRPr="00241B3B">
        <w:rPr>
          <w:lang w:val="en-AU"/>
        </w:rPr>
        <w:t>R</w:t>
      </w:r>
      <w:r w:rsidR="005C341E" w:rsidRPr="00241B3B">
        <w:rPr>
          <w:lang w:val="en-AU"/>
        </w:rPr>
        <w:t xml:space="preserve">ecommendation 7.35 </w:t>
      </w:r>
      <w:r w:rsidR="001C7EAA" w:rsidRPr="00241B3B">
        <w:rPr>
          <w:lang w:val="en-AU"/>
        </w:rPr>
        <w:t xml:space="preserve">Part C in the Disability Royal Commission’s Final Report.  </w:t>
      </w:r>
    </w:p>
    <w:p w14:paraId="3E3FB194" w14:textId="7ADF1B80" w:rsidR="004B2655" w:rsidRPr="00241B3B" w:rsidRDefault="005C341E" w:rsidP="00424471">
      <w:pPr>
        <w:pStyle w:val="Heading4"/>
        <w:spacing w:line="288" w:lineRule="auto"/>
      </w:pPr>
      <w:r w:rsidRPr="00241B3B">
        <w:t xml:space="preserve">Outcome 2: </w:t>
      </w:r>
      <w:r w:rsidR="00B5054F" w:rsidRPr="00241B3B">
        <w:t xml:space="preserve">Create transparency </w:t>
      </w:r>
    </w:p>
    <w:p w14:paraId="065E1B17" w14:textId="66F2D8B2" w:rsidR="00BF129F" w:rsidRPr="00241B3B" w:rsidRDefault="005C341E" w:rsidP="00241B3B">
      <w:pPr>
        <w:pStyle w:val="BodyText"/>
        <w:rPr>
          <w:lang w:val="en-AU"/>
        </w:rPr>
      </w:pPr>
      <w:r w:rsidRPr="00241B3B">
        <w:rPr>
          <w:lang w:val="en-AU"/>
        </w:rPr>
        <w:t xml:space="preserve">State and territory </w:t>
      </w:r>
      <w:r w:rsidR="005861CB" w:rsidRPr="00241B3B">
        <w:rPr>
          <w:lang w:val="en-AU"/>
        </w:rPr>
        <w:t>g</w:t>
      </w:r>
      <w:r w:rsidR="008E74DA" w:rsidRPr="00241B3B">
        <w:rPr>
          <w:lang w:val="en-AU"/>
        </w:rPr>
        <w:t>overnment</w:t>
      </w:r>
      <w:r w:rsidRPr="00241B3B">
        <w:rPr>
          <w:lang w:val="en-AU"/>
        </w:rPr>
        <w:t xml:space="preserve">s </w:t>
      </w:r>
      <w:r w:rsidR="00E93B54" w:rsidRPr="00241B3B">
        <w:rPr>
          <w:lang w:val="en-AU"/>
        </w:rPr>
        <w:t>(</w:t>
      </w:r>
      <w:r w:rsidRPr="00241B3B">
        <w:rPr>
          <w:lang w:val="en-AU"/>
        </w:rPr>
        <w:t xml:space="preserve">for </w:t>
      </w:r>
      <w:r w:rsidR="005861CB" w:rsidRPr="00241B3B">
        <w:rPr>
          <w:lang w:val="en-AU"/>
        </w:rPr>
        <w:t>g</w:t>
      </w:r>
      <w:r w:rsidR="008E74DA" w:rsidRPr="00241B3B">
        <w:rPr>
          <w:lang w:val="en-AU"/>
        </w:rPr>
        <w:t>overnment</w:t>
      </w:r>
      <w:r w:rsidRPr="00241B3B">
        <w:rPr>
          <w:lang w:val="en-AU"/>
        </w:rPr>
        <w:t>-funded housing</w:t>
      </w:r>
      <w:r w:rsidR="00E93B54" w:rsidRPr="00241B3B">
        <w:rPr>
          <w:lang w:val="en-AU"/>
        </w:rPr>
        <w:t>)</w:t>
      </w:r>
      <w:r w:rsidR="001B1E9B" w:rsidRPr="00241B3B">
        <w:rPr>
          <w:lang w:val="en-AU"/>
        </w:rPr>
        <w:t>,</w:t>
      </w:r>
      <w:r w:rsidR="00FA2F00" w:rsidRPr="00241B3B">
        <w:rPr>
          <w:lang w:val="en-AU"/>
        </w:rPr>
        <w:t xml:space="preserve"> </w:t>
      </w:r>
      <w:r w:rsidRPr="00241B3B">
        <w:rPr>
          <w:lang w:val="en-AU"/>
        </w:rPr>
        <w:t xml:space="preserve">and the NDIA </w:t>
      </w:r>
      <w:r w:rsidR="00E93B54" w:rsidRPr="00241B3B">
        <w:rPr>
          <w:lang w:val="en-AU"/>
        </w:rPr>
        <w:t>(</w:t>
      </w:r>
      <w:r w:rsidRPr="00241B3B">
        <w:rPr>
          <w:lang w:val="en-AU"/>
        </w:rPr>
        <w:t>for NDIS-funded housing</w:t>
      </w:r>
      <w:r w:rsidR="00E93B54" w:rsidRPr="00241B3B">
        <w:rPr>
          <w:lang w:val="en-AU"/>
        </w:rPr>
        <w:t>)</w:t>
      </w:r>
      <w:r w:rsidR="005861CB" w:rsidRPr="00241B3B">
        <w:rPr>
          <w:lang w:val="en-AU"/>
        </w:rPr>
        <w:t>,</w:t>
      </w:r>
      <w:r w:rsidRPr="00241B3B">
        <w:rPr>
          <w:lang w:val="en-AU"/>
        </w:rPr>
        <w:t xml:space="preserve"> must regularly report and update</w:t>
      </w:r>
      <w:r w:rsidR="00866F53" w:rsidRPr="00241B3B">
        <w:rPr>
          <w:lang w:val="en-AU"/>
        </w:rPr>
        <w:t xml:space="preserve"> </w:t>
      </w:r>
      <w:r w:rsidRPr="00241B3B">
        <w:rPr>
          <w:lang w:val="en-AU"/>
        </w:rPr>
        <w:t>n</w:t>
      </w:r>
      <w:r w:rsidR="00A702CB" w:rsidRPr="00241B3B">
        <w:rPr>
          <w:lang w:val="en-AU"/>
        </w:rPr>
        <w:t xml:space="preserve">et amounts </w:t>
      </w:r>
      <w:r w:rsidR="00E52F4D" w:rsidRPr="00241B3B">
        <w:rPr>
          <w:lang w:val="en-AU"/>
        </w:rPr>
        <w:t>of</w:t>
      </w:r>
      <w:r w:rsidRPr="00241B3B">
        <w:rPr>
          <w:lang w:val="en-AU"/>
        </w:rPr>
        <w:t xml:space="preserve"> current and projected housing stock. </w:t>
      </w:r>
      <w:r w:rsidR="00F83038" w:rsidRPr="00241B3B">
        <w:rPr>
          <w:lang w:val="en-AU"/>
        </w:rPr>
        <w:t xml:space="preserve">This </w:t>
      </w:r>
      <w:r w:rsidR="00E93B54" w:rsidRPr="00241B3B">
        <w:rPr>
          <w:lang w:val="en-AU"/>
        </w:rPr>
        <w:t>process</w:t>
      </w:r>
      <w:r w:rsidR="00F83038" w:rsidRPr="00241B3B">
        <w:rPr>
          <w:lang w:val="en-AU"/>
        </w:rPr>
        <w:t xml:space="preserve"> </w:t>
      </w:r>
      <w:r w:rsidR="00944F27" w:rsidRPr="00241B3B">
        <w:rPr>
          <w:lang w:val="en-AU"/>
        </w:rPr>
        <w:t xml:space="preserve">provides transparency and clarity against waitlists </w:t>
      </w:r>
      <w:r w:rsidR="00944F27" w:rsidRPr="00241B3B">
        <w:rPr>
          <w:lang w:val="en-AU"/>
        </w:rPr>
        <w:lastRenderedPageBreak/>
        <w:t>for housing support, a</w:t>
      </w:r>
      <w:r w:rsidR="00F83038" w:rsidRPr="00241B3B">
        <w:rPr>
          <w:lang w:val="en-AU"/>
        </w:rPr>
        <w:t xml:space="preserve">s well as support </w:t>
      </w:r>
      <w:r w:rsidR="00C73CFE" w:rsidRPr="00241B3B">
        <w:rPr>
          <w:lang w:val="en-AU"/>
        </w:rPr>
        <w:t xml:space="preserve">the tracking of progress against </w:t>
      </w:r>
      <w:r w:rsidR="00E87791" w:rsidRPr="00241B3B">
        <w:rPr>
          <w:lang w:val="en-AU"/>
        </w:rPr>
        <w:t>housing stock/supply</w:t>
      </w:r>
      <w:r w:rsidR="00944F27" w:rsidRPr="00241B3B">
        <w:rPr>
          <w:lang w:val="en-AU"/>
        </w:rPr>
        <w:t xml:space="preserve"> </w:t>
      </w:r>
      <w:r w:rsidR="00E87791" w:rsidRPr="00241B3B">
        <w:rPr>
          <w:lang w:val="en-AU"/>
        </w:rPr>
        <w:t xml:space="preserve">expansion </w:t>
      </w:r>
      <w:r w:rsidR="00944F27" w:rsidRPr="00241B3B">
        <w:rPr>
          <w:lang w:val="en-AU"/>
        </w:rPr>
        <w:t>targets</w:t>
      </w:r>
      <w:r w:rsidR="00E87791" w:rsidRPr="00241B3B">
        <w:rPr>
          <w:lang w:val="en-AU"/>
        </w:rPr>
        <w:t>.</w:t>
      </w:r>
      <w:r w:rsidR="00963A19" w:rsidRPr="00241B3B">
        <w:rPr>
          <w:lang w:val="en-AU"/>
        </w:rPr>
        <w:t xml:space="preserve"> </w:t>
      </w:r>
    </w:p>
    <w:p w14:paraId="76062768" w14:textId="557D4F41" w:rsidR="00F83038" w:rsidRPr="00241B3B" w:rsidRDefault="00CF3206" w:rsidP="00241B3B">
      <w:pPr>
        <w:pStyle w:val="BodyText"/>
        <w:rPr>
          <w:lang w:val="en-AU"/>
        </w:rPr>
      </w:pPr>
      <w:r w:rsidRPr="00241B3B">
        <w:rPr>
          <w:lang w:val="en-AU"/>
        </w:rPr>
        <w:t>These targets need to be mapped against waitlist times</w:t>
      </w:r>
      <w:r w:rsidR="003860BF" w:rsidRPr="00241B3B">
        <w:rPr>
          <w:lang w:val="en-AU"/>
        </w:rPr>
        <w:t xml:space="preserve">. </w:t>
      </w:r>
      <w:r w:rsidR="0073184E" w:rsidRPr="00241B3B">
        <w:rPr>
          <w:lang w:val="en-AU"/>
        </w:rPr>
        <w:t>It is vital that this data</w:t>
      </w:r>
      <w:r w:rsidRPr="00241B3B">
        <w:rPr>
          <w:lang w:val="en-AU"/>
        </w:rPr>
        <w:t xml:space="preserve"> show</w:t>
      </w:r>
      <w:r w:rsidR="0073184E" w:rsidRPr="00241B3B">
        <w:rPr>
          <w:lang w:val="en-AU"/>
        </w:rPr>
        <w:t>s</w:t>
      </w:r>
      <w:r w:rsidRPr="00241B3B">
        <w:rPr>
          <w:lang w:val="en-AU"/>
        </w:rPr>
        <w:t xml:space="preserve"> net stock availability, </w:t>
      </w:r>
      <w:r w:rsidR="0073184E" w:rsidRPr="00241B3B">
        <w:rPr>
          <w:lang w:val="en-AU"/>
        </w:rPr>
        <w:t>including the</w:t>
      </w:r>
      <w:r w:rsidR="00140D70" w:rsidRPr="00241B3B">
        <w:rPr>
          <w:lang w:val="en-AU"/>
        </w:rPr>
        <w:t xml:space="preserve"> exact number of a</w:t>
      </w:r>
      <w:r w:rsidR="0073184E" w:rsidRPr="00241B3B">
        <w:rPr>
          <w:lang w:val="en-AU"/>
        </w:rPr>
        <w:t>ccessible</w:t>
      </w:r>
      <w:r w:rsidRPr="00241B3B">
        <w:rPr>
          <w:lang w:val="en-AU"/>
        </w:rPr>
        <w:t xml:space="preserve"> </w:t>
      </w:r>
      <w:r w:rsidR="0073184E" w:rsidRPr="00241B3B">
        <w:rPr>
          <w:lang w:val="en-AU"/>
        </w:rPr>
        <w:t>propert</w:t>
      </w:r>
      <w:r w:rsidR="00D8680B" w:rsidRPr="00241B3B">
        <w:rPr>
          <w:lang w:val="en-AU"/>
        </w:rPr>
        <w:t>ies by bedroom number</w:t>
      </w:r>
      <w:r w:rsidRPr="00241B3B">
        <w:rPr>
          <w:lang w:val="en-AU"/>
        </w:rPr>
        <w:t>, not merely gross amounts. It must</w:t>
      </w:r>
      <w:r w:rsidR="0097737A" w:rsidRPr="00241B3B">
        <w:rPr>
          <w:lang w:val="en-AU"/>
        </w:rPr>
        <w:t xml:space="preserve"> also</w:t>
      </w:r>
      <w:r w:rsidRPr="00241B3B">
        <w:rPr>
          <w:lang w:val="en-AU"/>
        </w:rPr>
        <w:t xml:space="preserve"> be transparent </w:t>
      </w:r>
      <w:r w:rsidR="00D00CA7" w:rsidRPr="00241B3B">
        <w:rPr>
          <w:lang w:val="en-AU"/>
        </w:rPr>
        <w:t>that any redevelopment</w:t>
      </w:r>
      <w:r w:rsidR="00367AD7" w:rsidRPr="00241B3B">
        <w:rPr>
          <w:lang w:val="en-AU"/>
        </w:rPr>
        <w:t xml:space="preserve"> or sale</w:t>
      </w:r>
      <w:r w:rsidR="00D00CA7" w:rsidRPr="00241B3B">
        <w:rPr>
          <w:lang w:val="en-AU"/>
        </w:rPr>
        <w:t xml:space="preserve"> of properties </w:t>
      </w:r>
      <w:r w:rsidR="0087497C" w:rsidRPr="00241B3B">
        <w:rPr>
          <w:lang w:val="en-AU"/>
        </w:rPr>
        <w:t>does</w:t>
      </w:r>
      <w:r w:rsidR="00D00CA7" w:rsidRPr="00241B3B">
        <w:rPr>
          <w:lang w:val="en-AU"/>
        </w:rPr>
        <w:t xml:space="preserve"> not lead to a net </w:t>
      </w:r>
      <w:r w:rsidRPr="00241B3B">
        <w:rPr>
          <w:lang w:val="en-AU"/>
        </w:rPr>
        <w:t xml:space="preserve">reduction in </w:t>
      </w:r>
      <w:r w:rsidR="00D00CA7" w:rsidRPr="00241B3B">
        <w:rPr>
          <w:lang w:val="en-AU"/>
        </w:rPr>
        <w:t xml:space="preserve">the </w:t>
      </w:r>
      <w:r w:rsidR="003C3A3A" w:rsidRPr="00241B3B">
        <w:rPr>
          <w:lang w:val="en-AU"/>
        </w:rPr>
        <w:t xml:space="preserve">overall </w:t>
      </w:r>
      <w:r w:rsidR="00CB42C9" w:rsidRPr="00241B3B">
        <w:rPr>
          <w:lang w:val="en-AU"/>
        </w:rPr>
        <w:t>number</w:t>
      </w:r>
      <w:r w:rsidR="00D00CA7" w:rsidRPr="00241B3B">
        <w:rPr>
          <w:lang w:val="en-AU"/>
        </w:rPr>
        <w:t xml:space="preserve"> of accessible </w:t>
      </w:r>
      <w:r w:rsidR="003C3A3A" w:rsidRPr="00241B3B">
        <w:rPr>
          <w:lang w:val="en-AU"/>
        </w:rPr>
        <w:t>prop</w:t>
      </w:r>
      <w:r w:rsidR="002C73A1" w:rsidRPr="00241B3B">
        <w:rPr>
          <w:lang w:val="en-AU"/>
        </w:rPr>
        <w:t>erties</w:t>
      </w:r>
      <w:r w:rsidR="00D00CA7" w:rsidRPr="00241B3B">
        <w:rPr>
          <w:lang w:val="en-AU"/>
        </w:rPr>
        <w:t>.</w:t>
      </w:r>
      <w:r w:rsidRPr="00241B3B">
        <w:rPr>
          <w:lang w:val="en-AU"/>
        </w:rPr>
        <w:t xml:space="preserve"> </w:t>
      </w:r>
    </w:p>
    <w:p w14:paraId="0A45F2C6" w14:textId="1DE33858" w:rsidR="00CB42C9" w:rsidRPr="00241B3B" w:rsidRDefault="00E87791" w:rsidP="00241B3B">
      <w:pPr>
        <w:pStyle w:val="BodyText"/>
        <w:rPr>
          <w:lang w:val="en-AU"/>
        </w:rPr>
      </w:pPr>
      <w:r w:rsidRPr="00241B3B">
        <w:rPr>
          <w:lang w:val="en-AU"/>
        </w:rPr>
        <w:t xml:space="preserve">This is consistent with </w:t>
      </w:r>
      <w:r w:rsidR="00944F27" w:rsidRPr="00241B3B">
        <w:rPr>
          <w:lang w:val="en-AU"/>
        </w:rPr>
        <w:t>Recommendation 5.5 (</w:t>
      </w:r>
      <w:r w:rsidR="00933EC0" w:rsidRPr="00241B3B">
        <w:rPr>
          <w:lang w:val="en-AU"/>
        </w:rPr>
        <w:t>‘</w:t>
      </w:r>
      <w:r w:rsidR="00944F27" w:rsidRPr="00241B3B">
        <w:rPr>
          <w:lang w:val="en-AU"/>
        </w:rPr>
        <w:t>Establishment of a National Disability Commission</w:t>
      </w:r>
      <w:r w:rsidR="00933EC0" w:rsidRPr="00241B3B">
        <w:rPr>
          <w:lang w:val="en-AU"/>
        </w:rPr>
        <w:t>’</w:t>
      </w:r>
      <w:r w:rsidR="00944F27" w:rsidRPr="00241B3B">
        <w:rPr>
          <w:lang w:val="en-AU"/>
        </w:rPr>
        <w:t>)</w:t>
      </w:r>
      <w:r w:rsidR="005A03F6" w:rsidRPr="00241B3B">
        <w:rPr>
          <w:lang w:val="en-AU"/>
        </w:rPr>
        <w:t xml:space="preserve"> </w:t>
      </w:r>
      <w:r w:rsidR="00933EC0" w:rsidRPr="00241B3B">
        <w:rPr>
          <w:lang w:val="en-AU"/>
        </w:rPr>
        <w:t>in the</w:t>
      </w:r>
      <w:r w:rsidR="001B1E9B" w:rsidRPr="00241B3B">
        <w:rPr>
          <w:lang w:val="en-AU"/>
        </w:rPr>
        <w:t xml:space="preserve"> </w:t>
      </w:r>
      <w:r w:rsidR="005A03F6" w:rsidRPr="00241B3B">
        <w:rPr>
          <w:lang w:val="en-AU"/>
        </w:rPr>
        <w:t>Final Report for the Disability Royal Commission, which called for</w:t>
      </w:r>
      <w:r w:rsidR="00944F27" w:rsidRPr="00241B3B">
        <w:rPr>
          <w:lang w:val="en-AU"/>
        </w:rPr>
        <w:t xml:space="preserve"> </w:t>
      </w:r>
      <w:r w:rsidR="00933EC0" w:rsidRPr="00241B3B">
        <w:rPr>
          <w:lang w:val="en-AU"/>
        </w:rPr>
        <w:t>‘</w:t>
      </w:r>
      <w:r w:rsidR="00944F27" w:rsidRPr="00241B3B">
        <w:rPr>
          <w:lang w:val="en-AU"/>
        </w:rPr>
        <w:t>developing an Outcomes for People with Disability report every two years and tabling it in the Australian Parliament.</w:t>
      </w:r>
      <w:r w:rsidR="00933EC0" w:rsidRPr="00241B3B">
        <w:rPr>
          <w:lang w:val="en-AU"/>
        </w:rPr>
        <w:t xml:space="preserve">’ </w:t>
      </w:r>
      <w:r w:rsidR="00944F27" w:rsidRPr="00241B3B">
        <w:rPr>
          <w:lang w:val="en-AU"/>
        </w:rPr>
        <w:t xml:space="preserve">The report would </w:t>
      </w:r>
      <w:r w:rsidR="00E93B54" w:rsidRPr="00241B3B">
        <w:rPr>
          <w:lang w:val="en-AU"/>
        </w:rPr>
        <w:t>‘</w:t>
      </w:r>
      <w:r w:rsidR="00944F27" w:rsidRPr="00241B3B">
        <w:rPr>
          <w:lang w:val="en-AU"/>
        </w:rPr>
        <w:t xml:space="preserve">analyse data, including outcomes data from National </w:t>
      </w:r>
      <w:r w:rsidR="00F83038" w:rsidRPr="00241B3B">
        <w:rPr>
          <w:lang w:val="en-AU"/>
        </w:rPr>
        <w:t>Disability Insurance</w:t>
      </w:r>
      <w:r w:rsidR="00944F27" w:rsidRPr="00241B3B">
        <w:rPr>
          <w:lang w:val="en-AU"/>
        </w:rPr>
        <w:t xml:space="preserve"> Scheme reporting and other relevant reporting from the Australian Government and state and territory governments</w:t>
      </w:r>
      <w:r w:rsidR="00F83038" w:rsidRPr="00241B3B">
        <w:rPr>
          <w:lang w:val="en-AU"/>
        </w:rPr>
        <w:t>.</w:t>
      </w:r>
      <w:r w:rsidR="00E93B54" w:rsidRPr="00241B3B">
        <w:rPr>
          <w:lang w:val="en-AU"/>
        </w:rPr>
        <w:t>’</w:t>
      </w:r>
      <w:r w:rsidR="00944F27" w:rsidRPr="00241B3B">
        <w:rPr>
          <w:lang w:val="en-AU"/>
        </w:rPr>
        <w:t xml:space="preserve"> </w:t>
      </w:r>
    </w:p>
    <w:p w14:paraId="29149907" w14:textId="5A63CB7D" w:rsidR="00944F27" w:rsidRPr="00241B3B" w:rsidRDefault="00CB42C9" w:rsidP="00241B3B">
      <w:pPr>
        <w:pStyle w:val="BodyText"/>
        <w:rPr>
          <w:lang w:val="en-AU"/>
        </w:rPr>
      </w:pPr>
      <w:r w:rsidRPr="00241B3B">
        <w:rPr>
          <w:lang w:val="en-AU"/>
        </w:rPr>
        <w:t xml:space="preserve">Under this outcome, PWDA recommends the </w:t>
      </w:r>
      <w:r w:rsidR="00944F27" w:rsidRPr="00241B3B">
        <w:rPr>
          <w:lang w:val="en-AU"/>
        </w:rPr>
        <w:t>inclusion of housing supply data</w:t>
      </w:r>
      <w:r w:rsidRPr="00241B3B">
        <w:rPr>
          <w:lang w:val="en-AU"/>
        </w:rPr>
        <w:t xml:space="preserve"> within </w:t>
      </w:r>
      <w:r w:rsidR="00933EC0" w:rsidRPr="00241B3B">
        <w:rPr>
          <w:lang w:val="en-AU"/>
        </w:rPr>
        <w:t xml:space="preserve">the Outcomes for People with Disability report </w:t>
      </w:r>
      <w:r w:rsidR="00B351F7" w:rsidRPr="00241B3B">
        <w:rPr>
          <w:lang w:val="en-AU"/>
        </w:rPr>
        <w:t>must include the</w:t>
      </w:r>
      <w:r w:rsidRPr="00241B3B">
        <w:rPr>
          <w:lang w:val="en-AU"/>
        </w:rPr>
        <w:t xml:space="preserve"> number of accessible </w:t>
      </w:r>
      <w:r w:rsidR="00702264" w:rsidRPr="00241B3B">
        <w:rPr>
          <w:lang w:val="en-AU"/>
        </w:rPr>
        <w:t xml:space="preserve">properties </w:t>
      </w:r>
      <w:r w:rsidRPr="00241B3B">
        <w:rPr>
          <w:lang w:val="en-AU"/>
        </w:rPr>
        <w:t xml:space="preserve">available </w:t>
      </w:r>
      <w:r w:rsidR="00702264" w:rsidRPr="00241B3B">
        <w:rPr>
          <w:lang w:val="en-AU"/>
        </w:rPr>
        <w:t>by bedroom number</w:t>
      </w:r>
      <w:r w:rsidRPr="00241B3B">
        <w:rPr>
          <w:lang w:val="en-AU"/>
        </w:rPr>
        <w:t>,</w:t>
      </w:r>
      <w:r w:rsidR="00944F27" w:rsidRPr="00241B3B">
        <w:rPr>
          <w:lang w:val="en-AU"/>
        </w:rPr>
        <w:t xml:space="preserve"> </w:t>
      </w:r>
      <w:r w:rsidR="00724F78" w:rsidRPr="00241B3B">
        <w:rPr>
          <w:lang w:val="en-AU"/>
        </w:rPr>
        <w:t xml:space="preserve">the loss of any accessible properties due to redevelopment, </w:t>
      </w:r>
      <w:r w:rsidR="00944F27" w:rsidRPr="00241B3B">
        <w:rPr>
          <w:lang w:val="en-AU"/>
        </w:rPr>
        <w:t>projected targets for addressing undersupply</w:t>
      </w:r>
      <w:r w:rsidR="00AD502A" w:rsidRPr="00241B3B">
        <w:rPr>
          <w:lang w:val="en-AU"/>
        </w:rPr>
        <w:t>,</w:t>
      </w:r>
      <w:r w:rsidRPr="00241B3B">
        <w:rPr>
          <w:lang w:val="en-AU"/>
        </w:rPr>
        <w:t xml:space="preserve"> and</w:t>
      </w:r>
      <w:r w:rsidR="00AD502A" w:rsidRPr="00241B3B">
        <w:rPr>
          <w:lang w:val="en-AU"/>
        </w:rPr>
        <w:t xml:space="preserve"> </w:t>
      </w:r>
      <w:r w:rsidR="00944F27" w:rsidRPr="00241B3B">
        <w:rPr>
          <w:lang w:val="en-AU"/>
        </w:rPr>
        <w:t>reporting on whether targets are being me</w:t>
      </w:r>
      <w:r w:rsidR="0087497C" w:rsidRPr="00241B3B">
        <w:rPr>
          <w:lang w:val="en-AU"/>
        </w:rPr>
        <w:t>t</w:t>
      </w:r>
      <w:r w:rsidR="00AD502A" w:rsidRPr="00241B3B">
        <w:rPr>
          <w:lang w:val="en-AU"/>
        </w:rPr>
        <w:t>.</w:t>
      </w:r>
    </w:p>
    <w:p w14:paraId="0A74C6B9" w14:textId="4F624BEB" w:rsidR="004B2655" w:rsidRPr="00241B3B" w:rsidRDefault="005C341E" w:rsidP="00424471">
      <w:pPr>
        <w:pStyle w:val="Heading4"/>
        <w:spacing w:line="288" w:lineRule="auto"/>
      </w:pPr>
      <w:r w:rsidRPr="00241B3B">
        <w:t xml:space="preserve">Outcome 3: </w:t>
      </w:r>
      <w:r w:rsidR="00E815D9" w:rsidRPr="00241B3B">
        <w:t>Improve affordability</w:t>
      </w:r>
      <w:r w:rsidR="002459BB" w:rsidRPr="00241B3B">
        <w:t xml:space="preserve"> of housing </w:t>
      </w:r>
    </w:p>
    <w:p w14:paraId="6DC5DB0E" w14:textId="4D16B954" w:rsidR="007C592A" w:rsidRPr="00241B3B" w:rsidRDefault="00B43BA8" w:rsidP="00241B3B">
      <w:pPr>
        <w:pStyle w:val="BodyText"/>
        <w:rPr>
          <w:lang w:val="en-AU"/>
        </w:rPr>
      </w:pPr>
      <w:r w:rsidRPr="00241B3B">
        <w:rPr>
          <w:lang w:val="en-AU"/>
        </w:rPr>
        <w:t>PWDA recommends that</w:t>
      </w:r>
      <w:r w:rsidR="005C341E" w:rsidRPr="00241B3B">
        <w:rPr>
          <w:lang w:val="en-AU"/>
        </w:rPr>
        <w:t xml:space="preserve"> unaffordability</w:t>
      </w:r>
      <w:r w:rsidRPr="00241B3B">
        <w:rPr>
          <w:lang w:val="en-AU"/>
        </w:rPr>
        <w:t xml:space="preserve"> of housing is addressed</w:t>
      </w:r>
      <w:r w:rsidR="005C341E" w:rsidRPr="00241B3B">
        <w:rPr>
          <w:lang w:val="en-AU"/>
        </w:rPr>
        <w:t xml:space="preserve"> by increasing investment to</w:t>
      </w:r>
      <w:r w:rsidR="00E815D9" w:rsidRPr="00241B3B">
        <w:rPr>
          <w:lang w:val="en-AU"/>
        </w:rPr>
        <w:t xml:space="preserve"> Commonwealth</w:t>
      </w:r>
      <w:r w:rsidR="005C341E" w:rsidRPr="00241B3B">
        <w:rPr>
          <w:lang w:val="en-AU"/>
        </w:rPr>
        <w:t xml:space="preserve"> income support</w:t>
      </w:r>
      <w:r w:rsidR="00E815D9" w:rsidRPr="00241B3B">
        <w:rPr>
          <w:lang w:val="en-AU"/>
        </w:rPr>
        <w:t xml:space="preserve"> payments</w:t>
      </w:r>
      <w:r w:rsidR="005C341E" w:rsidRPr="00241B3B">
        <w:rPr>
          <w:lang w:val="en-AU"/>
        </w:rPr>
        <w:t xml:space="preserve"> and rental affordability measures, including the National Rental Affordability Scheme (NRAS</w:t>
      </w:r>
      <w:r w:rsidR="00B65BB4" w:rsidRPr="00241B3B">
        <w:rPr>
          <w:lang w:val="en-AU"/>
        </w:rPr>
        <w:t>),</w:t>
      </w:r>
      <w:r w:rsidR="005C341E" w:rsidRPr="00241B3B">
        <w:rPr>
          <w:lang w:val="en-AU"/>
        </w:rPr>
        <w:t xml:space="preserve"> and increasing Commonwealth Rent Assistance (CRA) by 50%</w:t>
      </w:r>
      <w:r w:rsidR="007C592A" w:rsidRPr="00241B3B">
        <w:rPr>
          <w:lang w:val="en-AU"/>
        </w:rPr>
        <w:t>,</w:t>
      </w:r>
      <w:r w:rsidR="005C341E" w:rsidRPr="00241B3B">
        <w:rPr>
          <w:lang w:val="en-AU"/>
        </w:rPr>
        <w:t xml:space="preserve"> to support affordability and access to housing for people with disability living near, or under the poverty line.</w:t>
      </w:r>
    </w:p>
    <w:p w14:paraId="4FAB999F" w14:textId="32717213" w:rsidR="008A0486" w:rsidRPr="00241B3B" w:rsidRDefault="008A0486" w:rsidP="00241B3B">
      <w:pPr>
        <w:pStyle w:val="BodyText"/>
        <w:rPr>
          <w:lang w:val="en-AU"/>
        </w:rPr>
      </w:pPr>
      <w:r w:rsidRPr="00241B3B">
        <w:rPr>
          <w:lang w:val="en-AU"/>
        </w:rPr>
        <w:t xml:space="preserve">While the Disability Royal Commission included a single recommendation relating to improving information availability and transparency on the Disability Support Pension in its Final Report, it did not provide recommendations to address affordability and cost of living </w:t>
      </w:r>
      <w:r w:rsidR="001033B9" w:rsidRPr="00241B3B">
        <w:rPr>
          <w:lang w:val="en-AU"/>
        </w:rPr>
        <w:t>pressures</w:t>
      </w:r>
      <w:r w:rsidRPr="00241B3B">
        <w:rPr>
          <w:lang w:val="en-AU"/>
        </w:rPr>
        <w:t>. It is proposed</w:t>
      </w:r>
      <w:r w:rsidR="009030A4" w:rsidRPr="00241B3B">
        <w:rPr>
          <w:lang w:val="en-AU"/>
        </w:rPr>
        <w:t xml:space="preserve"> that</w:t>
      </w:r>
      <w:r w:rsidRPr="00241B3B">
        <w:rPr>
          <w:lang w:val="en-AU"/>
        </w:rPr>
        <w:t xml:space="preserve"> </w:t>
      </w:r>
      <w:r w:rsidR="00AA0A8E" w:rsidRPr="00241B3B">
        <w:rPr>
          <w:lang w:val="en-AU"/>
        </w:rPr>
        <w:t xml:space="preserve">meeting </w:t>
      </w:r>
      <w:r w:rsidR="006F4E17" w:rsidRPr="00241B3B">
        <w:rPr>
          <w:lang w:val="en-AU"/>
        </w:rPr>
        <w:t>O</w:t>
      </w:r>
      <w:r w:rsidR="00AA0A8E" w:rsidRPr="00241B3B">
        <w:rPr>
          <w:lang w:val="en-AU"/>
        </w:rPr>
        <w:t>utcome 3</w:t>
      </w:r>
      <w:r w:rsidRPr="00241B3B">
        <w:rPr>
          <w:lang w:val="en-AU"/>
        </w:rPr>
        <w:t xml:space="preserve"> would provide critical support to enable people with disability to have greater financial access to secure and safe housing options. </w:t>
      </w:r>
    </w:p>
    <w:p w14:paraId="606206CE" w14:textId="56AF5EEF" w:rsidR="004B2655" w:rsidRPr="00241B3B" w:rsidRDefault="005C341E" w:rsidP="00424471">
      <w:pPr>
        <w:pStyle w:val="Heading4"/>
        <w:spacing w:line="288" w:lineRule="auto"/>
      </w:pPr>
      <w:r w:rsidRPr="00241B3B">
        <w:t>Outcome 4:</w:t>
      </w:r>
      <w:r w:rsidR="002459BB" w:rsidRPr="00241B3B">
        <w:t xml:space="preserve"> Reduce violence as a driver for homelessness </w:t>
      </w:r>
    </w:p>
    <w:p w14:paraId="32F27509" w14:textId="00BC1F02" w:rsidR="005C341E" w:rsidRPr="00241B3B" w:rsidRDefault="00E93B54" w:rsidP="00241B3B">
      <w:pPr>
        <w:pStyle w:val="BodyText"/>
        <w:rPr>
          <w:lang w:val="en-AU"/>
        </w:rPr>
      </w:pPr>
      <w:r w:rsidRPr="00241B3B">
        <w:rPr>
          <w:lang w:val="en-AU"/>
        </w:rPr>
        <w:t xml:space="preserve">Reducing homelessness driven by violence </w:t>
      </w:r>
      <w:r w:rsidR="00D94B43" w:rsidRPr="00241B3B">
        <w:rPr>
          <w:lang w:val="en-AU"/>
        </w:rPr>
        <w:t>c</w:t>
      </w:r>
      <w:r w:rsidR="005C341E" w:rsidRPr="00241B3B">
        <w:rPr>
          <w:lang w:val="en-AU"/>
        </w:rPr>
        <w:t xml:space="preserve">ould be achieved </w:t>
      </w:r>
      <w:r w:rsidR="00CD4E63" w:rsidRPr="00241B3B">
        <w:rPr>
          <w:lang w:val="en-AU"/>
        </w:rPr>
        <w:t>through the measures outlined</w:t>
      </w:r>
      <w:r w:rsidR="00300084" w:rsidRPr="00241B3B">
        <w:rPr>
          <w:lang w:val="en-AU"/>
        </w:rPr>
        <w:t xml:space="preserve"> under Priority </w:t>
      </w:r>
      <w:r w:rsidR="001D512E" w:rsidRPr="00241B3B">
        <w:rPr>
          <w:lang w:val="en-AU"/>
        </w:rPr>
        <w:t>A</w:t>
      </w:r>
      <w:r w:rsidR="00300084" w:rsidRPr="00241B3B">
        <w:rPr>
          <w:lang w:val="en-AU"/>
        </w:rPr>
        <w:t>rea 4 in the</w:t>
      </w:r>
      <w:r w:rsidR="00CD4E63" w:rsidRPr="00241B3B">
        <w:rPr>
          <w:lang w:val="en-AU"/>
        </w:rPr>
        <w:t xml:space="preserve"> </w:t>
      </w:r>
      <w:r w:rsidR="008721C0" w:rsidRPr="00241B3B">
        <w:rPr>
          <w:i/>
          <w:iCs/>
          <w:lang w:val="en-AU"/>
        </w:rPr>
        <w:t>Targeted Housing Action Plan</w:t>
      </w:r>
      <w:r w:rsidR="005D650E" w:rsidRPr="00241B3B">
        <w:rPr>
          <w:i/>
          <w:iCs/>
          <w:lang w:val="en-AU"/>
        </w:rPr>
        <w:t xml:space="preserve"> for People with Disability</w:t>
      </w:r>
      <w:r w:rsidR="00300084" w:rsidRPr="00241B3B">
        <w:rPr>
          <w:lang w:val="en-AU"/>
        </w:rPr>
        <w:t>.</w:t>
      </w:r>
      <w:r w:rsidR="00927B63" w:rsidRPr="00241B3B">
        <w:rPr>
          <w:lang w:val="en-AU"/>
        </w:rPr>
        <w:t xml:space="preserve"> </w:t>
      </w:r>
      <w:r w:rsidR="00300084" w:rsidRPr="00241B3B">
        <w:rPr>
          <w:lang w:val="en-AU"/>
        </w:rPr>
        <w:t>This</w:t>
      </w:r>
      <w:r w:rsidR="00927B63" w:rsidRPr="00241B3B">
        <w:rPr>
          <w:lang w:val="en-AU"/>
        </w:rPr>
        <w:t xml:space="preserve"> </w:t>
      </w:r>
      <w:r w:rsidR="00E202C2" w:rsidRPr="00241B3B">
        <w:rPr>
          <w:lang w:val="en-AU"/>
        </w:rPr>
        <w:t>o</w:t>
      </w:r>
      <w:r w:rsidR="00691605" w:rsidRPr="00241B3B">
        <w:rPr>
          <w:lang w:val="en-AU"/>
        </w:rPr>
        <w:t xml:space="preserve">utcome </w:t>
      </w:r>
      <w:r w:rsidR="00927B63" w:rsidRPr="00241B3B">
        <w:rPr>
          <w:lang w:val="en-AU"/>
        </w:rPr>
        <w:t>is consistent with</w:t>
      </w:r>
      <w:r w:rsidR="005C341E" w:rsidRPr="00241B3B">
        <w:rPr>
          <w:lang w:val="en-AU"/>
        </w:rPr>
        <w:t xml:space="preserve"> Recommendation 8.23 </w:t>
      </w:r>
      <w:r w:rsidR="00927B63" w:rsidRPr="00241B3B">
        <w:rPr>
          <w:lang w:val="en-AU"/>
        </w:rPr>
        <w:t>(</w:t>
      </w:r>
      <w:r w:rsidR="000E5E46">
        <w:rPr>
          <w:lang w:val="en-AU"/>
        </w:rPr>
        <w:t>‘</w:t>
      </w:r>
      <w:r w:rsidR="005C341E" w:rsidRPr="00241B3B">
        <w:rPr>
          <w:lang w:val="en-AU"/>
        </w:rPr>
        <w:t>Action plan to end violence against women and children with disability</w:t>
      </w:r>
      <w:r w:rsidR="000E5E46">
        <w:rPr>
          <w:lang w:val="en-AU"/>
        </w:rPr>
        <w:t>’</w:t>
      </w:r>
      <w:r w:rsidR="00927B63" w:rsidRPr="00241B3B">
        <w:rPr>
          <w:lang w:val="en-AU"/>
        </w:rPr>
        <w:t>)</w:t>
      </w:r>
      <w:r w:rsidR="005C341E" w:rsidRPr="00241B3B">
        <w:rPr>
          <w:lang w:val="en-AU"/>
        </w:rPr>
        <w:t xml:space="preserve"> in the Final Report </w:t>
      </w:r>
      <w:r w:rsidR="00B7175E" w:rsidRPr="00241B3B">
        <w:rPr>
          <w:lang w:val="en-AU"/>
        </w:rPr>
        <w:t xml:space="preserve">of </w:t>
      </w:r>
      <w:r w:rsidR="005C341E" w:rsidRPr="00241B3B">
        <w:rPr>
          <w:lang w:val="en-AU"/>
        </w:rPr>
        <w:t xml:space="preserve">the Disability </w:t>
      </w:r>
      <w:r w:rsidR="005C341E" w:rsidRPr="00241B3B">
        <w:rPr>
          <w:lang w:val="en-AU"/>
        </w:rPr>
        <w:lastRenderedPageBreak/>
        <w:t>Royal Commission</w:t>
      </w:r>
      <w:r w:rsidR="003E0B93" w:rsidRPr="00241B3B">
        <w:rPr>
          <w:lang w:val="en-AU"/>
        </w:rPr>
        <w:t>, and Recommendation 4.7 (</w:t>
      </w:r>
      <w:r w:rsidR="00933EC0" w:rsidRPr="00241B3B">
        <w:rPr>
          <w:lang w:val="en-AU"/>
        </w:rPr>
        <w:t>‘</w:t>
      </w:r>
      <w:r w:rsidR="003E0B93" w:rsidRPr="00241B3B">
        <w:rPr>
          <w:lang w:val="en-AU"/>
        </w:rPr>
        <w:t>The right to live free from exploitation, violence and abuse</w:t>
      </w:r>
      <w:r w:rsidR="00933EC0" w:rsidRPr="00241B3B">
        <w:rPr>
          <w:lang w:val="en-AU"/>
        </w:rPr>
        <w:t>’</w:t>
      </w:r>
      <w:r w:rsidR="003E0B93" w:rsidRPr="00241B3B">
        <w:rPr>
          <w:lang w:val="en-AU"/>
        </w:rPr>
        <w:t>) in the Disability Royal Commission Final Report.</w:t>
      </w:r>
    </w:p>
    <w:p w14:paraId="750ECE58" w14:textId="6D1E6E6A" w:rsidR="00BF3A1F" w:rsidRPr="00241B3B" w:rsidRDefault="005C341E" w:rsidP="00B65BB4">
      <w:pPr>
        <w:pStyle w:val="Heading4"/>
        <w:spacing w:line="240" w:lineRule="auto"/>
      </w:pPr>
      <w:r w:rsidRPr="00241B3B">
        <w:t>Outcome 5:</w:t>
      </w:r>
      <w:r w:rsidR="00E267DF" w:rsidRPr="00241B3B">
        <w:t xml:space="preserve"> </w:t>
      </w:r>
      <w:r w:rsidR="00402526" w:rsidRPr="00241B3B">
        <w:t>Improv</w:t>
      </w:r>
      <w:r w:rsidR="00C67DDD" w:rsidRPr="00241B3B">
        <w:t>e</w:t>
      </w:r>
      <w:r w:rsidR="00402526" w:rsidRPr="00241B3B">
        <w:t xml:space="preserve"> the accessibility of</w:t>
      </w:r>
      <w:r w:rsidR="00100C16" w:rsidRPr="00241B3B">
        <w:t xml:space="preserve"> transitional and crisis accommodation</w:t>
      </w:r>
    </w:p>
    <w:p w14:paraId="0D7FD697" w14:textId="7BD0ADF8" w:rsidR="00596C1B" w:rsidRPr="00241B3B" w:rsidRDefault="0092125E" w:rsidP="00241B3B">
      <w:pPr>
        <w:pStyle w:val="BodyText"/>
        <w:rPr>
          <w:lang w:val="en-AU"/>
        </w:rPr>
      </w:pPr>
      <w:r w:rsidRPr="00241B3B">
        <w:rPr>
          <w:lang w:val="en-AU"/>
        </w:rPr>
        <w:t>People with disability who are homeless need to be able to access disability and general services through changes to service access criteri</w:t>
      </w:r>
      <w:r w:rsidR="00F44A5D" w:rsidRPr="00241B3B">
        <w:rPr>
          <w:lang w:val="en-AU"/>
        </w:rPr>
        <w:t>a</w:t>
      </w:r>
      <w:r w:rsidRPr="00241B3B">
        <w:rPr>
          <w:lang w:val="en-AU"/>
        </w:rPr>
        <w:t xml:space="preserve">, </w:t>
      </w:r>
      <w:r w:rsidR="00933EC0" w:rsidRPr="00241B3B">
        <w:rPr>
          <w:lang w:val="en-AU"/>
        </w:rPr>
        <w:t>to</w:t>
      </w:r>
      <w:r w:rsidR="00E93B54" w:rsidRPr="00241B3B">
        <w:rPr>
          <w:lang w:val="en-AU"/>
        </w:rPr>
        <w:t xml:space="preserve"> overcome the </w:t>
      </w:r>
      <w:r w:rsidRPr="00241B3B">
        <w:rPr>
          <w:lang w:val="en-AU"/>
        </w:rPr>
        <w:t xml:space="preserve">denial of access </w:t>
      </w:r>
      <w:r w:rsidR="009F77CF" w:rsidRPr="00241B3B">
        <w:rPr>
          <w:lang w:val="en-AU"/>
        </w:rPr>
        <w:t>based on a</w:t>
      </w:r>
      <w:r w:rsidRPr="00241B3B">
        <w:rPr>
          <w:lang w:val="en-AU"/>
        </w:rPr>
        <w:t xml:space="preserve"> person with disability not having a fixed address.</w:t>
      </w:r>
    </w:p>
    <w:p w14:paraId="072998D9" w14:textId="0FAEF6DC" w:rsidR="00BF3A1F" w:rsidRPr="00241B3B" w:rsidRDefault="00596C1B" w:rsidP="00241B3B">
      <w:pPr>
        <w:pStyle w:val="BodyText"/>
        <w:rPr>
          <w:lang w:val="en-AU"/>
        </w:rPr>
      </w:pPr>
      <w:r w:rsidRPr="00241B3B">
        <w:rPr>
          <w:lang w:val="en-AU"/>
        </w:rPr>
        <w:t>Further, specialist services</w:t>
      </w:r>
      <w:r w:rsidR="00511779" w:rsidRPr="00241B3B">
        <w:rPr>
          <w:lang w:val="en-AU"/>
        </w:rPr>
        <w:t xml:space="preserve"> through a transition pathway</w:t>
      </w:r>
      <w:r w:rsidRPr="00241B3B">
        <w:rPr>
          <w:lang w:val="en-AU"/>
        </w:rPr>
        <w:t xml:space="preserve"> need to be available to support people with disability experiencing</w:t>
      </w:r>
      <w:r w:rsidR="005D4D27" w:rsidRPr="00241B3B">
        <w:rPr>
          <w:lang w:val="en-AU"/>
        </w:rPr>
        <w:t xml:space="preserve"> (</w:t>
      </w:r>
      <w:r w:rsidRPr="00241B3B">
        <w:rPr>
          <w:lang w:val="en-AU"/>
        </w:rPr>
        <w:t>or at risk of</w:t>
      </w:r>
      <w:r w:rsidR="005D4D27" w:rsidRPr="00241B3B">
        <w:rPr>
          <w:lang w:val="en-AU"/>
        </w:rPr>
        <w:t>)</w:t>
      </w:r>
      <w:r w:rsidRPr="00241B3B">
        <w:rPr>
          <w:lang w:val="en-AU"/>
        </w:rPr>
        <w:t xml:space="preserve"> homelessness</w:t>
      </w:r>
      <w:r w:rsidR="00D66FA0" w:rsidRPr="00241B3B">
        <w:rPr>
          <w:lang w:val="en-AU"/>
        </w:rPr>
        <w:t xml:space="preserve"> to access housing. However, it should be ensured that</w:t>
      </w:r>
      <w:r w:rsidRPr="00241B3B">
        <w:rPr>
          <w:lang w:val="en-AU"/>
        </w:rPr>
        <w:t xml:space="preserve"> the infrastructure supporting people with disability through a </w:t>
      </w:r>
      <w:r w:rsidR="00DA296D" w:rsidRPr="00241B3B">
        <w:rPr>
          <w:lang w:val="en-AU"/>
        </w:rPr>
        <w:t xml:space="preserve">transition </w:t>
      </w:r>
      <w:r w:rsidRPr="00241B3B">
        <w:rPr>
          <w:lang w:val="en-AU"/>
        </w:rPr>
        <w:t>from homelessness to secure housing is completely accessible</w:t>
      </w:r>
      <w:r w:rsidR="002A6C83" w:rsidRPr="00241B3B">
        <w:rPr>
          <w:lang w:val="en-AU"/>
        </w:rPr>
        <w:t>.</w:t>
      </w:r>
    </w:p>
    <w:p w14:paraId="6E56A704" w14:textId="464121D3" w:rsidR="007B285F" w:rsidRPr="00241B3B" w:rsidRDefault="00246C1B" w:rsidP="00241B3B">
      <w:pPr>
        <w:pStyle w:val="BodyText"/>
        <w:rPr>
          <w:lang w:val="en-AU"/>
        </w:rPr>
      </w:pPr>
      <w:r w:rsidRPr="00241B3B">
        <w:rPr>
          <w:lang w:val="en-AU"/>
        </w:rPr>
        <w:t>Therefore, a</w:t>
      </w:r>
      <w:r w:rsidR="00C3348E" w:rsidRPr="00241B3B">
        <w:rPr>
          <w:lang w:val="en-AU"/>
        </w:rPr>
        <w:t>ll</w:t>
      </w:r>
      <w:r w:rsidR="00825FB6" w:rsidRPr="00241B3B">
        <w:rPr>
          <w:lang w:val="en-AU"/>
        </w:rPr>
        <w:t xml:space="preserve"> C</w:t>
      </w:r>
      <w:r w:rsidR="00C37C7C" w:rsidRPr="00241B3B">
        <w:rPr>
          <w:lang w:val="en-AU"/>
        </w:rPr>
        <w:t>ommonwealth</w:t>
      </w:r>
      <w:r w:rsidR="005C341E" w:rsidRPr="00241B3B">
        <w:rPr>
          <w:lang w:val="en-AU"/>
        </w:rPr>
        <w:t>, state, territory</w:t>
      </w:r>
      <w:r w:rsidR="00953A36" w:rsidRPr="00241B3B">
        <w:rPr>
          <w:lang w:val="en-AU"/>
        </w:rPr>
        <w:t>-funded services</w:t>
      </w:r>
      <w:r w:rsidR="00583801" w:rsidRPr="00241B3B">
        <w:rPr>
          <w:lang w:val="en-AU"/>
        </w:rPr>
        <w:t>,</w:t>
      </w:r>
      <w:r w:rsidR="005C341E" w:rsidRPr="00241B3B">
        <w:rPr>
          <w:lang w:val="en-AU"/>
        </w:rPr>
        <w:t xml:space="preserve"> and NDIS </w:t>
      </w:r>
      <w:r w:rsidR="009C32B5" w:rsidRPr="00241B3B">
        <w:rPr>
          <w:lang w:val="en-AU"/>
        </w:rPr>
        <w:t xml:space="preserve">providers </w:t>
      </w:r>
      <w:r w:rsidR="005C341E" w:rsidRPr="00241B3B">
        <w:rPr>
          <w:lang w:val="en-AU"/>
        </w:rPr>
        <w:t xml:space="preserve">providing </w:t>
      </w:r>
      <w:r w:rsidR="00891E52" w:rsidRPr="00241B3B">
        <w:rPr>
          <w:lang w:val="en-AU"/>
        </w:rPr>
        <w:t xml:space="preserve">relevant </w:t>
      </w:r>
      <w:r w:rsidR="005C341E" w:rsidRPr="00241B3B">
        <w:rPr>
          <w:lang w:val="en-AU"/>
        </w:rPr>
        <w:t xml:space="preserve">support need an integrated approach established through the </w:t>
      </w:r>
      <w:r w:rsidR="00402526" w:rsidRPr="00241B3B">
        <w:rPr>
          <w:lang w:val="en-AU"/>
        </w:rPr>
        <w:t>NHHA</w:t>
      </w:r>
      <w:r w:rsidR="005C341E" w:rsidRPr="00241B3B">
        <w:rPr>
          <w:lang w:val="en-AU"/>
        </w:rPr>
        <w:t xml:space="preserve"> to ensur</w:t>
      </w:r>
      <w:r w:rsidR="007B285F" w:rsidRPr="00241B3B">
        <w:rPr>
          <w:lang w:val="en-AU"/>
        </w:rPr>
        <w:t>e</w:t>
      </w:r>
      <w:r w:rsidR="005C341E" w:rsidRPr="00241B3B">
        <w:rPr>
          <w:lang w:val="en-AU"/>
        </w:rPr>
        <w:t xml:space="preserve"> people with disability who are homeless</w:t>
      </w:r>
      <w:r w:rsidR="000F39C2" w:rsidRPr="00241B3B">
        <w:rPr>
          <w:lang w:val="en-AU"/>
        </w:rPr>
        <w:t xml:space="preserve"> or at risk of homelessness</w:t>
      </w:r>
      <w:r w:rsidR="005C341E" w:rsidRPr="00241B3B">
        <w:rPr>
          <w:lang w:val="en-AU"/>
        </w:rPr>
        <w:t xml:space="preserve"> can access</w:t>
      </w:r>
      <w:r w:rsidR="00596C1B" w:rsidRPr="00241B3B">
        <w:rPr>
          <w:lang w:val="en-AU"/>
        </w:rPr>
        <w:t xml:space="preserve"> </w:t>
      </w:r>
      <w:r w:rsidR="0024305C" w:rsidRPr="00241B3B">
        <w:rPr>
          <w:lang w:val="en-AU"/>
        </w:rPr>
        <w:t xml:space="preserve">accessible </w:t>
      </w:r>
      <w:r w:rsidR="00596C1B" w:rsidRPr="00241B3B">
        <w:rPr>
          <w:lang w:val="en-AU"/>
        </w:rPr>
        <w:t xml:space="preserve">services that can support them in moving from homelessness to secure housing without having to meet </w:t>
      </w:r>
      <w:r w:rsidR="000B16B3" w:rsidRPr="00241B3B">
        <w:rPr>
          <w:lang w:val="en-AU"/>
        </w:rPr>
        <w:t xml:space="preserve">any stipulation for a </w:t>
      </w:r>
      <w:r w:rsidR="00596C1B" w:rsidRPr="00241B3B">
        <w:rPr>
          <w:lang w:val="en-AU"/>
        </w:rPr>
        <w:t>fixed address</w:t>
      </w:r>
      <w:r w:rsidR="0032755D" w:rsidRPr="00241B3B">
        <w:rPr>
          <w:lang w:val="en-AU"/>
        </w:rPr>
        <w:t>.</w:t>
      </w:r>
    </w:p>
    <w:p w14:paraId="57595E88" w14:textId="48D6AA78" w:rsidR="005C341E" w:rsidRPr="00241B3B" w:rsidRDefault="005C341E" w:rsidP="00241B3B">
      <w:pPr>
        <w:pStyle w:val="BodyText"/>
        <w:rPr>
          <w:lang w:val="en-AU"/>
        </w:rPr>
      </w:pPr>
      <w:r w:rsidRPr="00241B3B">
        <w:rPr>
          <w:lang w:val="en-AU"/>
        </w:rPr>
        <w:t xml:space="preserve">Further, this requires additional investment in disability advocacy support services to assist people with disability to navigate and access services. </w:t>
      </w:r>
    </w:p>
    <w:p w14:paraId="19CC6340" w14:textId="12934FA4" w:rsidR="004B2655" w:rsidRPr="00241B3B" w:rsidRDefault="005C341E" w:rsidP="00424471">
      <w:pPr>
        <w:pStyle w:val="Heading4"/>
        <w:spacing w:line="288" w:lineRule="auto"/>
      </w:pPr>
      <w:r w:rsidRPr="00241B3B">
        <w:t xml:space="preserve">Outcome 6: </w:t>
      </w:r>
      <w:r w:rsidR="00402526" w:rsidRPr="00241B3B">
        <w:t xml:space="preserve">Strengthen tenancy and occupancy protections </w:t>
      </w:r>
    </w:p>
    <w:p w14:paraId="6B15E7C1" w14:textId="4BBB7591" w:rsidR="007B285F" w:rsidRPr="00241B3B" w:rsidRDefault="007B285F" w:rsidP="00241B3B">
      <w:pPr>
        <w:pStyle w:val="BodyText"/>
        <w:rPr>
          <w:lang w:val="en-AU"/>
        </w:rPr>
      </w:pPr>
      <w:r w:rsidRPr="00241B3B">
        <w:rPr>
          <w:lang w:val="en-AU"/>
        </w:rPr>
        <w:t>T</w:t>
      </w:r>
      <w:r w:rsidR="005C341E" w:rsidRPr="00241B3B">
        <w:rPr>
          <w:lang w:val="en-AU"/>
        </w:rPr>
        <w:t>enancy and occupancy protections</w:t>
      </w:r>
      <w:r w:rsidRPr="00241B3B">
        <w:rPr>
          <w:lang w:val="en-AU"/>
        </w:rPr>
        <w:t xml:space="preserve"> must be strengthened in the </w:t>
      </w:r>
      <w:r w:rsidR="008721C0" w:rsidRPr="00241B3B">
        <w:rPr>
          <w:lang w:val="en-AU"/>
        </w:rPr>
        <w:t>Targeted</w:t>
      </w:r>
      <w:r w:rsidR="00596C1B" w:rsidRPr="00241B3B">
        <w:rPr>
          <w:lang w:val="en-AU"/>
        </w:rPr>
        <w:t xml:space="preserve"> </w:t>
      </w:r>
      <w:r w:rsidR="008721C0" w:rsidRPr="00241B3B">
        <w:rPr>
          <w:lang w:val="en-AU"/>
        </w:rPr>
        <w:t>Housing Action Plan</w:t>
      </w:r>
      <w:r w:rsidR="00596C1B" w:rsidRPr="00241B3B">
        <w:rPr>
          <w:lang w:val="en-AU"/>
        </w:rPr>
        <w:t xml:space="preserve"> for People with </w:t>
      </w:r>
      <w:r w:rsidR="007513AD" w:rsidRPr="00241B3B">
        <w:rPr>
          <w:lang w:val="en-AU"/>
        </w:rPr>
        <w:t>Disability</w:t>
      </w:r>
      <w:r w:rsidRPr="00241B3B">
        <w:rPr>
          <w:i/>
          <w:iCs/>
          <w:lang w:val="en-AU"/>
        </w:rPr>
        <w:t>,</w:t>
      </w:r>
      <w:r w:rsidR="005C341E" w:rsidRPr="00241B3B">
        <w:rPr>
          <w:lang w:val="en-AU"/>
        </w:rPr>
        <w:t xml:space="preserve"> through reviewing and updating legislation governing the tenancy and occupancy rights of people with </w:t>
      </w:r>
      <w:r w:rsidR="00882B5B" w:rsidRPr="00241B3B">
        <w:rPr>
          <w:lang w:val="en-AU"/>
        </w:rPr>
        <w:t>disability and</w:t>
      </w:r>
      <w:r w:rsidR="005C341E" w:rsidRPr="00241B3B">
        <w:rPr>
          <w:lang w:val="en-AU"/>
        </w:rPr>
        <w:t xml:space="preserve"> increas</w:t>
      </w:r>
      <w:r w:rsidRPr="00241B3B">
        <w:rPr>
          <w:lang w:val="en-AU"/>
        </w:rPr>
        <w:t>ing the</w:t>
      </w:r>
      <w:r w:rsidR="005C341E" w:rsidRPr="00241B3B">
        <w:rPr>
          <w:lang w:val="en-AU"/>
        </w:rPr>
        <w:t xml:space="preserve"> regulation of privately operated and </w:t>
      </w:r>
      <w:r w:rsidRPr="00241B3B">
        <w:rPr>
          <w:lang w:val="en-AU"/>
        </w:rPr>
        <w:t>g</w:t>
      </w:r>
      <w:r w:rsidR="008E74DA" w:rsidRPr="00241B3B">
        <w:rPr>
          <w:lang w:val="en-AU"/>
        </w:rPr>
        <w:t>overnment</w:t>
      </w:r>
      <w:r w:rsidR="005C341E" w:rsidRPr="00241B3B">
        <w:rPr>
          <w:lang w:val="en-AU"/>
        </w:rPr>
        <w:t>-funded supported accommodation services</w:t>
      </w:r>
      <w:r w:rsidRPr="00241B3B">
        <w:rPr>
          <w:lang w:val="en-AU"/>
        </w:rPr>
        <w:t>.</w:t>
      </w:r>
    </w:p>
    <w:p w14:paraId="12CC65FE" w14:textId="6C2EF55A" w:rsidR="00330954" w:rsidRPr="00241B3B" w:rsidRDefault="007B285F" w:rsidP="00241B3B">
      <w:pPr>
        <w:pStyle w:val="BodyText"/>
        <w:rPr>
          <w:lang w:val="en-AU"/>
        </w:rPr>
      </w:pPr>
      <w:r w:rsidRPr="00241B3B">
        <w:rPr>
          <w:lang w:val="en-AU"/>
        </w:rPr>
        <w:t>This is consistent with Recommendation 7.37 (</w:t>
      </w:r>
      <w:r w:rsidR="00933EC0" w:rsidRPr="00241B3B">
        <w:rPr>
          <w:lang w:val="en-AU"/>
        </w:rPr>
        <w:t>‘</w:t>
      </w:r>
      <w:r w:rsidRPr="00241B3B">
        <w:rPr>
          <w:lang w:val="en-AU"/>
        </w:rPr>
        <w:t>Increase tenancy and occupancy protections for people with disability</w:t>
      </w:r>
      <w:r w:rsidR="00933EC0" w:rsidRPr="00241B3B">
        <w:rPr>
          <w:lang w:val="en-AU"/>
        </w:rPr>
        <w:t>’</w:t>
      </w:r>
      <w:r w:rsidRPr="00241B3B">
        <w:rPr>
          <w:lang w:val="en-AU"/>
        </w:rPr>
        <w:t>) and Recommendation 7.38 (</w:t>
      </w:r>
      <w:r w:rsidR="00933EC0" w:rsidRPr="00241B3B">
        <w:rPr>
          <w:lang w:val="en-AU"/>
        </w:rPr>
        <w:t>‘</w:t>
      </w:r>
      <w:r w:rsidRPr="00241B3B">
        <w:rPr>
          <w:lang w:val="en-AU"/>
        </w:rPr>
        <w:t>Minimum service standards and monitoring and oversight of supported residential services and their equivalents</w:t>
      </w:r>
      <w:r w:rsidR="00933EC0" w:rsidRPr="00241B3B">
        <w:rPr>
          <w:lang w:val="en-AU"/>
        </w:rPr>
        <w:t>’</w:t>
      </w:r>
      <w:r w:rsidRPr="00241B3B">
        <w:rPr>
          <w:lang w:val="en-AU"/>
        </w:rPr>
        <w:t xml:space="preserve">) in the </w:t>
      </w:r>
      <w:r w:rsidR="005C341E" w:rsidRPr="00241B3B">
        <w:rPr>
          <w:lang w:val="en-AU"/>
        </w:rPr>
        <w:t>Disability Royal Commission</w:t>
      </w:r>
      <w:r w:rsidR="00CD263B" w:rsidRPr="00241B3B">
        <w:rPr>
          <w:lang w:val="en-AU"/>
        </w:rPr>
        <w:t xml:space="preserve"> </w:t>
      </w:r>
      <w:r w:rsidRPr="00241B3B">
        <w:rPr>
          <w:lang w:val="en-AU"/>
        </w:rPr>
        <w:t>Final Report</w:t>
      </w:r>
    </w:p>
    <w:p w14:paraId="3F0A3CB2" w14:textId="187392F0" w:rsidR="00241B3B" w:rsidRDefault="00241B3B" w:rsidP="008A2313">
      <w:pPr>
        <w:pStyle w:val="BodyText"/>
      </w:pPr>
      <w:bookmarkStart w:id="148" w:name="_Toc147911766"/>
      <w:bookmarkStart w:id="149" w:name="_Toc148013347"/>
      <w:r w:rsidRPr="00241B3B">
        <w:br w:type="page"/>
      </w:r>
    </w:p>
    <w:p w14:paraId="29A02389" w14:textId="77777777" w:rsidR="008A2313" w:rsidRPr="00241B3B" w:rsidRDefault="008A2313" w:rsidP="008A2313">
      <w:pPr>
        <w:pStyle w:val="BodyText"/>
        <w:rPr>
          <w:rFonts w:ascii="VAG Rounded" w:eastAsiaTheme="majorEastAsia" w:hAnsi="VAG Rounded" w:cstheme="majorBidi"/>
          <w:color w:val="005496" w:themeColor="text2"/>
          <w:spacing w:val="14"/>
        </w:rPr>
      </w:pPr>
    </w:p>
    <w:p w14:paraId="110A38F0" w14:textId="719A1450" w:rsidR="00661567" w:rsidRPr="00241B3B" w:rsidRDefault="0092052C" w:rsidP="008A2313">
      <w:pPr>
        <w:pStyle w:val="Heading1"/>
      </w:pPr>
      <w:bookmarkStart w:id="150" w:name="_Toc148957829"/>
      <w:r w:rsidRPr="00241B3B">
        <w:t>Conclusion</w:t>
      </w:r>
      <w:bookmarkEnd w:id="148"/>
      <w:bookmarkEnd w:id="149"/>
      <w:bookmarkEnd w:id="150"/>
    </w:p>
    <w:p w14:paraId="3CE84F07" w14:textId="77777777" w:rsidR="00661567" w:rsidRPr="00241B3B" w:rsidRDefault="00661567" w:rsidP="00241B3B">
      <w:pPr>
        <w:pStyle w:val="BodyText"/>
        <w:rPr>
          <w:lang w:val="en-AU"/>
        </w:rPr>
      </w:pPr>
      <w:r w:rsidRPr="00241B3B">
        <w:rPr>
          <w:lang w:val="en-AU"/>
        </w:rPr>
        <w:t xml:space="preserve">People with disability must be able to access safe, secure, affordable and accessible housing. </w:t>
      </w:r>
    </w:p>
    <w:p w14:paraId="0F6F0204" w14:textId="4A273FC9" w:rsidR="008D58A6" w:rsidRPr="00241B3B" w:rsidRDefault="00661567" w:rsidP="00241B3B">
      <w:pPr>
        <w:pStyle w:val="BodyText"/>
        <w:rPr>
          <w:lang w:val="en-AU"/>
        </w:rPr>
      </w:pPr>
      <w:r w:rsidRPr="00241B3B">
        <w:rPr>
          <w:lang w:val="en-AU"/>
        </w:rPr>
        <w:t xml:space="preserve">The right to housing is a cascading right, </w:t>
      </w:r>
      <w:r w:rsidR="00933EC0" w:rsidRPr="00241B3B">
        <w:rPr>
          <w:lang w:val="en-AU"/>
        </w:rPr>
        <w:t xml:space="preserve">meaning that </w:t>
      </w:r>
      <w:r w:rsidRPr="00241B3B">
        <w:rPr>
          <w:lang w:val="en-AU"/>
        </w:rPr>
        <w:t>without the ability to access housing, the violation of other human rights usually ensues. At present, the strained economic environment for Australians facing rising cost of living and associated financial stress related to housing is creating a housing crisis</w:t>
      </w:r>
      <w:r w:rsidR="002911F3" w:rsidRPr="00241B3B">
        <w:rPr>
          <w:lang w:val="en-AU"/>
        </w:rPr>
        <w:t xml:space="preserve"> </w:t>
      </w:r>
      <w:r w:rsidR="0055130B" w:rsidRPr="00241B3B">
        <w:rPr>
          <w:lang w:val="en-AU"/>
        </w:rPr>
        <w:t>disproportionately</w:t>
      </w:r>
      <w:r w:rsidRPr="00241B3B">
        <w:rPr>
          <w:lang w:val="en-AU"/>
        </w:rPr>
        <w:t xml:space="preserve"> impacting people with disability.</w:t>
      </w:r>
    </w:p>
    <w:p w14:paraId="6C4B1B74" w14:textId="01A5A668" w:rsidR="00661567" w:rsidRPr="00241B3B" w:rsidRDefault="00661567" w:rsidP="00241B3B">
      <w:pPr>
        <w:pStyle w:val="BodyText"/>
        <w:rPr>
          <w:lang w:val="en-AU"/>
        </w:rPr>
      </w:pPr>
      <w:r w:rsidRPr="00241B3B">
        <w:rPr>
          <w:lang w:val="en-AU"/>
        </w:rPr>
        <w:t xml:space="preserve">Throughout this submission, </w:t>
      </w:r>
      <w:r w:rsidR="008D58A6" w:rsidRPr="00241B3B">
        <w:rPr>
          <w:lang w:val="en-AU"/>
        </w:rPr>
        <w:t>PWDA</w:t>
      </w:r>
      <w:r w:rsidRPr="00241B3B">
        <w:rPr>
          <w:lang w:val="en-AU"/>
        </w:rPr>
        <w:t xml:space="preserve"> have outlined the barriers to housing facing </w:t>
      </w:r>
      <w:r w:rsidR="00933EC0" w:rsidRPr="00241B3B">
        <w:rPr>
          <w:lang w:val="en-AU"/>
        </w:rPr>
        <w:t xml:space="preserve">many </w:t>
      </w:r>
      <w:r w:rsidRPr="00241B3B">
        <w:rPr>
          <w:lang w:val="en-AU"/>
        </w:rPr>
        <w:t>people with disability across Australia</w:t>
      </w:r>
      <w:r w:rsidR="008D58A6" w:rsidRPr="00241B3B">
        <w:rPr>
          <w:lang w:val="en-AU"/>
        </w:rPr>
        <w:t xml:space="preserve">, </w:t>
      </w:r>
      <w:r w:rsidR="00D07677" w:rsidRPr="00241B3B">
        <w:rPr>
          <w:lang w:val="en-AU"/>
        </w:rPr>
        <w:t>namely,</w:t>
      </w:r>
      <w:r w:rsidR="008D58A6" w:rsidRPr="00241B3B">
        <w:rPr>
          <w:lang w:val="en-AU"/>
        </w:rPr>
        <w:t xml:space="preserve"> </w:t>
      </w:r>
      <w:r w:rsidRPr="00241B3B">
        <w:rPr>
          <w:lang w:val="en-AU"/>
        </w:rPr>
        <w:t xml:space="preserve">undersupply, unaffordability, and inaccessibility across all types of housing, including social, affordable, private rental and privately-owned dwellings. </w:t>
      </w:r>
    </w:p>
    <w:p w14:paraId="473A8C0B" w14:textId="786D4958" w:rsidR="008721C0" w:rsidRPr="00241B3B" w:rsidRDefault="0032156E" w:rsidP="00241B3B">
      <w:pPr>
        <w:pStyle w:val="BodyText"/>
        <w:rPr>
          <w:lang w:val="en-AU"/>
        </w:rPr>
      </w:pPr>
      <w:r w:rsidRPr="00241B3B">
        <w:rPr>
          <w:lang w:val="en-AU"/>
        </w:rPr>
        <w:t>PWDA</w:t>
      </w:r>
      <w:r w:rsidR="00882B5B" w:rsidRPr="00241B3B">
        <w:rPr>
          <w:lang w:val="en-AU"/>
        </w:rPr>
        <w:t xml:space="preserve"> </w:t>
      </w:r>
      <w:r w:rsidR="009C4D8C" w:rsidRPr="00241B3B">
        <w:rPr>
          <w:lang w:val="en-AU"/>
        </w:rPr>
        <w:t>has proposed</w:t>
      </w:r>
      <w:r w:rsidR="00661567" w:rsidRPr="00241B3B">
        <w:rPr>
          <w:lang w:val="en-AU"/>
        </w:rPr>
        <w:t xml:space="preserve"> two primary mechanisms</w:t>
      </w:r>
      <w:r w:rsidRPr="00241B3B">
        <w:rPr>
          <w:lang w:val="en-AU"/>
        </w:rPr>
        <w:t xml:space="preserve"> through this submission to address barriers to housing, to address </w:t>
      </w:r>
      <w:r w:rsidR="009C4D8C" w:rsidRPr="00241B3B">
        <w:rPr>
          <w:lang w:val="en-AU"/>
        </w:rPr>
        <w:t xml:space="preserve">both </w:t>
      </w:r>
      <w:r w:rsidRPr="00241B3B">
        <w:rPr>
          <w:lang w:val="en-AU"/>
        </w:rPr>
        <w:t>homelessness and</w:t>
      </w:r>
      <w:r w:rsidR="00661567" w:rsidRPr="00241B3B">
        <w:rPr>
          <w:lang w:val="en-AU"/>
        </w:rPr>
        <w:t xml:space="preserve"> to drive action to address housing inequity</w:t>
      </w:r>
      <w:r w:rsidRPr="00241B3B">
        <w:rPr>
          <w:lang w:val="en-AU"/>
        </w:rPr>
        <w:t>. Th</w:t>
      </w:r>
      <w:r w:rsidR="008D58A6" w:rsidRPr="00241B3B">
        <w:rPr>
          <w:lang w:val="en-AU"/>
        </w:rPr>
        <w:t>ese two plans are the</w:t>
      </w:r>
      <w:r w:rsidRPr="00241B3B">
        <w:rPr>
          <w:lang w:val="en-AU"/>
        </w:rPr>
        <w:t xml:space="preserve"> Congregate Housing Transition Plan and </w:t>
      </w:r>
      <w:r w:rsidR="008D58A6" w:rsidRPr="00241B3B">
        <w:rPr>
          <w:lang w:val="en-AU"/>
        </w:rPr>
        <w:t xml:space="preserve">the </w:t>
      </w:r>
      <w:r w:rsidRPr="00241B3B">
        <w:rPr>
          <w:lang w:val="en-AU"/>
        </w:rPr>
        <w:t>Targeted Housing Action Plan for People with Disability.</w:t>
      </w:r>
    </w:p>
    <w:p w14:paraId="245D8444" w14:textId="22D78D5D" w:rsidR="00AC1F83" w:rsidRPr="00241B3B" w:rsidRDefault="00933EC0" w:rsidP="00241B3B">
      <w:pPr>
        <w:pStyle w:val="BodyText"/>
        <w:rPr>
          <w:lang w:val="en-AU"/>
        </w:rPr>
      </w:pPr>
      <w:r w:rsidRPr="00241B3B">
        <w:rPr>
          <w:lang w:val="en-AU"/>
        </w:rPr>
        <w:t xml:space="preserve">PWDA’s proposed plans incorporate </w:t>
      </w:r>
      <w:r w:rsidR="008721C0" w:rsidRPr="00241B3B">
        <w:rPr>
          <w:lang w:val="en-AU"/>
        </w:rPr>
        <w:t>final recommendations from the recently released Final Report of the</w:t>
      </w:r>
      <w:r w:rsidR="00661567" w:rsidRPr="00241B3B">
        <w:rPr>
          <w:lang w:val="en-AU"/>
        </w:rPr>
        <w:t xml:space="preserve"> Royal Commission into Violence, Abuse, Neglect and Exploitation of People with Disabilit</w:t>
      </w:r>
      <w:r w:rsidR="008721C0" w:rsidRPr="00241B3B">
        <w:rPr>
          <w:lang w:val="en-AU"/>
        </w:rPr>
        <w:t>y, especially the key recommendation</w:t>
      </w:r>
      <w:r w:rsidR="00661567" w:rsidRPr="00241B3B">
        <w:rPr>
          <w:lang w:val="en-AU"/>
        </w:rPr>
        <w:t xml:space="preserve"> </w:t>
      </w:r>
      <w:r w:rsidR="008D58A6" w:rsidRPr="00241B3B">
        <w:rPr>
          <w:lang w:val="en-AU"/>
        </w:rPr>
        <w:t xml:space="preserve">to </w:t>
      </w:r>
      <w:r w:rsidR="00661567" w:rsidRPr="00241B3B">
        <w:rPr>
          <w:lang w:val="en-AU"/>
        </w:rPr>
        <w:t>phase out group homes</w:t>
      </w:r>
      <w:r w:rsidR="008721C0" w:rsidRPr="00241B3B">
        <w:rPr>
          <w:lang w:val="en-AU"/>
        </w:rPr>
        <w:t>.</w:t>
      </w:r>
      <w:r w:rsidR="00745993" w:rsidRPr="00241B3B">
        <w:rPr>
          <w:lang w:val="en-AU"/>
        </w:rPr>
        <w:t xml:space="preserve"> Additionally, both plans</w:t>
      </w:r>
      <w:r w:rsidRPr="00241B3B">
        <w:rPr>
          <w:lang w:val="en-AU"/>
        </w:rPr>
        <w:t xml:space="preserve"> provide recommendations that can address</w:t>
      </w:r>
      <w:r w:rsidR="00661567" w:rsidRPr="00241B3B">
        <w:rPr>
          <w:lang w:val="en-AU"/>
        </w:rPr>
        <w:t xml:space="preserve"> violence as a primary driver of homelessness for women and children with disability</w:t>
      </w:r>
      <w:r w:rsidR="0032755D" w:rsidRPr="00241B3B">
        <w:rPr>
          <w:lang w:val="en-AU"/>
        </w:rPr>
        <w:t xml:space="preserve">, through investment in a transition pathway for people with disability from homelessness, or to prevent homelessness for people with disability leaving closed settings. </w:t>
      </w:r>
    </w:p>
    <w:p w14:paraId="0F9C8B02" w14:textId="306572F0" w:rsidR="00661567" w:rsidRPr="00241B3B" w:rsidRDefault="00AC1F83" w:rsidP="00241B3B">
      <w:pPr>
        <w:pStyle w:val="BodyText"/>
        <w:rPr>
          <w:lang w:val="en-AU"/>
        </w:rPr>
        <w:sectPr w:rsidR="00661567" w:rsidRPr="00241B3B" w:rsidSect="00CD4D83">
          <w:footerReference w:type="default" r:id="rId35"/>
          <w:pgSz w:w="11906" w:h="16838" w:code="9"/>
          <w:pgMar w:top="1701" w:right="1134" w:bottom="1928" w:left="1134" w:header="284" w:footer="510" w:gutter="0"/>
          <w:cols w:space="708"/>
          <w:docGrid w:linePitch="360"/>
        </w:sectPr>
      </w:pPr>
      <w:r w:rsidRPr="00241B3B">
        <w:rPr>
          <w:lang w:val="en-AU"/>
        </w:rPr>
        <w:t>The National Housing and Homelessness Plan</w:t>
      </w:r>
      <w:r w:rsidR="004054E9" w:rsidRPr="00241B3B">
        <w:rPr>
          <w:lang w:val="en-AU"/>
        </w:rPr>
        <w:t xml:space="preserve"> (NHHP)</w:t>
      </w:r>
      <w:r w:rsidRPr="00241B3B">
        <w:rPr>
          <w:lang w:val="en-AU"/>
        </w:rPr>
        <w:t xml:space="preserve"> and </w:t>
      </w:r>
      <w:r w:rsidR="006D40F3" w:rsidRPr="00241B3B">
        <w:rPr>
          <w:lang w:val="en-AU"/>
        </w:rPr>
        <w:t xml:space="preserve">the National Housing and Homelessness Agreement </w:t>
      </w:r>
      <w:r w:rsidR="004054E9" w:rsidRPr="00241B3B">
        <w:rPr>
          <w:lang w:val="en-AU"/>
        </w:rPr>
        <w:t xml:space="preserve">(NHHA) </w:t>
      </w:r>
      <w:r w:rsidR="008D58A6" w:rsidRPr="00241B3B">
        <w:rPr>
          <w:lang w:val="en-AU"/>
        </w:rPr>
        <w:t>need</w:t>
      </w:r>
      <w:r w:rsidR="00933EC0" w:rsidRPr="00241B3B">
        <w:rPr>
          <w:lang w:val="en-AU"/>
        </w:rPr>
        <w:t>s</w:t>
      </w:r>
      <w:r w:rsidR="008D58A6" w:rsidRPr="00241B3B">
        <w:rPr>
          <w:lang w:val="en-AU"/>
        </w:rPr>
        <w:t xml:space="preserve"> to</w:t>
      </w:r>
      <w:r w:rsidR="006D40F3" w:rsidRPr="00241B3B">
        <w:rPr>
          <w:lang w:val="en-AU"/>
        </w:rPr>
        <w:t xml:space="preserve"> prioritise people with disability</w:t>
      </w:r>
      <w:r w:rsidR="00DF5354" w:rsidRPr="00241B3B">
        <w:rPr>
          <w:lang w:val="en-AU"/>
        </w:rPr>
        <w:t xml:space="preserve">, and the opportunity to do so must be seized </w:t>
      </w:r>
      <w:r w:rsidR="00652980" w:rsidRPr="00241B3B">
        <w:rPr>
          <w:lang w:val="en-AU"/>
        </w:rPr>
        <w:t>to</w:t>
      </w:r>
      <w:r w:rsidR="00DF5354" w:rsidRPr="00241B3B">
        <w:rPr>
          <w:lang w:val="en-AU"/>
        </w:rPr>
        <w:t xml:space="preserve"> improve housing </w:t>
      </w:r>
      <w:r w:rsidR="0095759D" w:rsidRPr="00241B3B">
        <w:rPr>
          <w:lang w:val="en-AU"/>
        </w:rPr>
        <w:t xml:space="preserve">outcomes and equity for </w:t>
      </w:r>
      <w:r w:rsidR="00661567" w:rsidRPr="00241B3B">
        <w:rPr>
          <w:lang w:val="en-AU"/>
        </w:rPr>
        <w:t>people with disability.</w:t>
      </w:r>
    </w:p>
    <w:p w14:paraId="5960C641" w14:textId="2F76044D" w:rsidR="000E2282" w:rsidRPr="00241B3B" w:rsidRDefault="006741BD" w:rsidP="00BA1B07">
      <w:pPr>
        <w:tabs>
          <w:tab w:val="left" w:pos="2327"/>
        </w:tabs>
        <w:spacing w:line="336" w:lineRule="auto"/>
        <w:rPr>
          <w:rFonts w:cstheme="minorHAnsi"/>
          <w:color w:val="000000"/>
          <w:sz w:val="20"/>
          <w:szCs w:val="20"/>
        </w:rPr>
      </w:pPr>
      <w:r w:rsidRPr="00241B3B">
        <w:rPr>
          <w:rFonts w:cstheme="minorHAnsi"/>
          <w:noProof/>
          <w:lang w:eastAsia="en-AU"/>
        </w:rPr>
        <w:lastRenderedPageBreak/>
        <w:drawing>
          <wp:anchor distT="0" distB="0" distL="114300" distR="114300" simplePos="0" relativeHeight="251664384" behindDoc="1" locked="1" layoutInCell="1" allowOverlap="1" wp14:anchorId="0A0E0F67" wp14:editId="3649D8CB">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0E2282" w:rsidRPr="00241B3B">
        <w:rPr>
          <w:rFonts w:cstheme="minorHAnsi"/>
          <w:color w:val="000000"/>
          <w:sz w:val="20"/>
          <w:szCs w:val="20"/>
        </w:rPr>
        <w:t>People with Disability Australia (PWDA) is a national disability rights and advocacy organisation made up of, and led by, people with disability.</w:t>
      </w:r>
    </w:p>
    <w:p w14:paraId="3B130FF8" w14:textId="35FC1076" w:rsidR="000E2282" w:rsidRPr="00241B3B" w:rsidRDefault="000E2282" w:rsidP="00BA1B07">
      <w:pPr>
        <w:tabs>
          <w:tab w:val="left" w:pos="2327"/>
        </w:tabs>
        <w:spacing w:line="336" w:lineRule="auto"/>
        <w:rPr>
          <w:rFonts w:cstheme="minorHAnsi"/>
        </w:rPr>
      </w:pPr>
      <w:r w:rsidRPr="00241B3B">
        <w:rPr>
          <w:rFonts w:cstheme="minorHAnsi"/>
          <w:color w:val="000000"/>
          <w:sz w:val="20"/>
          <w:szCs w:val="20"/>
        </w:rPr>
        <w:t>For individual advocacy support contact PWDA</w:t>
      </w:r>
      <w:r w:rsidRPr="00241B3B">
        <w:rPr>
          <w:rFonts w:cstheme="minorHAnsi"/>
          <w:b/>
          <w:bCs/>
          <w:color w:val="000000"/>
          <w:sz w:val="20"/>
          <w:szCs w:val="20"/>
        </w:rPr>
        <w:t xml:space="preserve"> </w:t>
      </w:r>
      <w:r w:rsidRPr="00241B3B">
        <w:rPr>
          <w:rFonts w:cstheme="minorHAnsi"/>
          <w:color w:val="000000"/>
          <w:sz w:val="20"/>
          <w:szCs w:val="20"/>
        </w:rPr>
        <w:t>between 9</w:t>
      </w:r>
      <w:r w:rsidR="00C0338D">
        <w:rPr>
          <w:rFonts w:cstheme="minorHAnsi"/>
          <w:color w:val="000000"/>
          <w:sz w:val="20"/>
          <w:szCs w:val="20"/>
        </w:rPr>
        <w:t>:00</w:t>
      </w:r>
      <w:r w:rsidRPr="00241B3B">
        <w:rPr>
          <w:rFonts w:cstheme="minorHAnsi"/>
          <w:color w:val="000000"/>
          <w:sz w:val="20"/>
          <w:szCs w:val="20"/>
        </w:rPr>
        <w:t xml:space="preserve"> am and 5</w:t>
      </w:r>
      <w:r w:rsidR="00C0338D">
        <w:rPr>
          <w:rFonts w:cstheme="minorHAnsi"/>
          <w:color w:val="000000"/>
          <w:sz w:val="20"/>
          <w:szCs w:val="20"/>
        </w:rPr>
        <w:t>:00</w:t>
      </w:r>
      <w:r w:rsidRPr="00241B3B">
        <w:rPr>
          <w:rFonts w:cstheme="minorHAnsi"/>
          <w:color w:val="000000"/>
          <w:sz w:val="20"/>
          <w:szCs w:val="20"/>
        </w:rPr>
        <w:t xml:space="preserve"> pm (AEST/AEDT) Monday to Friday via phone (toll free) on </w:t>
      </w:r>
      <w:r w:rsidRPr="00241B3B">
        <w:rPr>
          <w:rFonts w:cstheme="minorHAnsi"/>
          <w:b/>
          <w:bCs/>
          <w:color w:val="000000"/>
          <w:sz w:val="20"/>
          <w:szCs w:val="20"/>
        </w:rPr>
        <w:t xml:space="preserve">1800 843 929 </w:t>
      </w:r>
      <w:r w:rsidRPr="00241B3B">
        <w:rPr>
          <w:rFonts w:cstheme="minorHAnsi"/>
          <w:color w:val="000000"/>
          <w:sz w:val="20"/>
          <w:szCs w:val="20"/>
        </w:rPr>
        <w:t xml:space="preserve">or via email at </w:t>
      </w:r>
      <w:hyperlink r:id="rId37" w:history="1">
        <w:r w:rsidRPr="00241B3B">
          <w:rPr>
            <w:rStyle w:val="Hyperlink"/>
            <w:rFonts w:cstheme="minorHAnsi"/>
            <w:sz w:val="20"/>
            <w:szCs w:val="20"/>
          </w:rPr>
          <w:t>pwd@pwd.org.au</w:t>
        </w:r>
      </w:hyperlink>
      <w:r w:rsidRPr="00241B3B">
        <w:rPr>
          <w:rFonts w:cstheme="minorHAnsi"/>
          <w:color w:val="000000"/>
          <w:sz w:val="20"/>
          <w:szCs w:val="20"/>
        </w:rPr>
        <w:t xml:space="preserve"> </w:t>
      </w:r>
    </w:p>
    <w:p w14:paraId="658187F2" w14:textId="77777777" w:rsidR="00C0338D" w:rsidRDefault="00C0338D" w:rsidP="00335532">
      <w:pPr>
        <w:pStyle w:val="PWDAContacts"/>
        <w:spacing w:line="240" w:lineRule="auto"/>
        <w:rPr>
          <w:rFonts w:cstheme="minorHAnsi"/>
          <w:b/>
          <w:bCs/>
          <w:color w:val="000000"/>
          <w:szCs w:val="20"/>
        </w:rPr>
      </w:pPr>
    </w:p>
    <w:p w14:paraId="54A16F48" w14:textId="77777777" w:rsidR="00C0338D" w:rsidRDefault="00C0338D" w:rsidP="00335532">
      <w:pPr>
        <w:pStyle w:val="PWDAContacts"/>
        <w:spacing w:line="240" w:lineRule="auto"/>
        <w:rPr>
          <w:rFonts w:cstheme="minorHAnsi"/>
          <w:b/>
          <w:bCs/>
          <w:color w:val="000000"/>
          <w:szCs w:val="20"/>
        </w:rPr>
      </w:pPr>
    </w:p>
    <w:p w14:paraId="7ADC4094" w14:textId="354935CB" w:rsidR="000E2282" w:rsidRPr="00241B3B" w:rsidRDefault="000E2282" w:rsidP="00335532">
      <w:pPr>
        <w:pStyle w:val="PWDAContacts"/>
        <w:spacing w:line="240" w:lineRule="auto"/>
        <w:rPr>
          <w:rFonts w:cstheme="minorHAnsi"/>
          <w:b/>
          <w:bCs/>
          <w:color w:val="000000"/>
          <w:szCs w:val="20"/>
        </w:rPr>
      </w:pPr>
      <w:r w:rsidRPr="00241B3B">
        <w:rPr>
          <w:rFonts w:cstheme="minorHAnsi"/>
          <w:b/>
          <w:bCs/>
          <w:color w:val="000000"/>
          <w:szCs w:val="20"/>
        </w:rPr>
        <w:t>Submission contact</w:t>
      </w:r>
    </w:p>
    <w:p w14:paraId="5247A7FD" w14:textId="77777777" w:rsidR="000E2282" w:rsidRPr="00241B3B" w:rsidRDefault="000E2282" w:rsidP="00335532">
      <w:pPr>
        <w:pStyle w:val="PWDAContacts"/>
        <w:spacing w:line="240" w:lineRule="auto"/>
        <w:rPr>
          <w:rFonts w:cstheme="minorHAnsi"/>
          <w:color w:val="000000"/>
          <w:szCs w:val="20"/>
        </w:rPr>
      </w:pPr>
      <w:r w:rsidRPr="00241B3B">
        <w:rPr>
          <w:rFonts w:cstheme="minorHAnsi"/>
          <w:color w:val="000000"/>
          <w:szCs w:val="20"/>
        </w:rPr>
        <w:t>Giancarlo de Vera</w:t>
      </w:r>
    </w:p>
    <w:p w14:paraId="44AED580" w14:textId="77777777" w:rsidR="000E2282" w:rsidRPr="00241B3B" w:rsidRDefault="000E2282" w:rsidP="00335532">
      <w:pPr>
        <w:pStyle w:val="PWDAContacts"/>
        <w:spacing w:line="240" w:lineRule="auto"/>
        <w:rPr>
          <w:rFonts w:cstheme="minorHAnsi"/>
          <w:color w:val="000000"/>
          <w:szCs w:val="20"/>
        </w:rPr>
      </w:pPr>
      <w:r w:rsidRPr="00241B3B">
        <w:rPr>
          <w:rFonts w:cstheme="minorHAnsi"/>
          <w:color w:val="000000"/>
          <w:szCs w:val="20"/>
        </w:rPr>
        <w:t>Senior Manager of Policy</w:t>
      </w:r>
    </w:p>
    <w:p w14:paraId="203382D2" w14:textId="7F9CF65A" w:rsidR="000E2282" w:rsidRPr="00241B3B" w:rsidRDefault="000E2282" w:rsidP="00335532">
      <w:pPr>
        <w:pStyle w:val="PWDAContacts"/>
        <w:spacing w:line="240" w:lineRule="auto"/>
        <w:rPr>
          <w:rFonts w:cstheme="minorHAnsi"/>
          <w:b/>
          <w:bCs/>
          <w:color w:val="000000"/>
          <w:szCs w:val="20"/>
        </w:rPr>
      </w:pPr>
      <w:r w:rsidRPr="00241B3B">
        <w:rPr>
          <w:rFonts w:cstheme="minorHAnsi"/>
          <w:color w:val="000000"/>
          <w:szCs w:val="20"/>
        </w:rPr>
        <w:t xml:space="preserve">E: </w:t>
      </w:r>
      <w:hyperlink r:id="rId38" w:history="1">
        <w:r w:rsidRPr="00241B3B">
          <w:rPr>
            <w:rStyle w:val="Hyperlink"/>
            <w:rFonts w:cstheme="minorHAnsi"/>
            <w:bCs/>
            <w:szCs w:val="20"/>
          </w:rPr>
          <w:t>giancarlod@pwd.org.au</w:t>
        </w:r>
      </w:hyperlink>
      <w:r w:rsidRPr="00241B3B">
        <w:rPr>
          <w:rFonts w:cstheme="minorHAnsi"/>
          <w:b/>
          <w:bCs/>
          <w:color w:val="000000"/>
          <w:szCs w:val="20"/>
        </w:rPr>
        <w:t xml:space="preserve"> </w:t>
      </w:r>
    </w:p>
    <w:p w14:paraId="732E6A68" w14:textId="7ACD04FB" w:rsidR="00CB2E90" w:rsidRPr="00871656" w:rsidRDefault="00C8024E" w:rsidP="00241B3B">
      <w:pPr>
        <w:pStyle w:val="Finalpagecontactinformation"/>
      </w:pPr>
      <w:r w:rsidRPr="00241B3B">
        <w:rPr>
          <w:lang w:val="en-AU"/>
        </w:rPr>
        <w:br/>
      </w:r>
    </w:p>
    <w:sectPr w:rsidR="00CB2E90" w:rsidRPr="00871656" w:rsidSect="00C02BFC">
      <w:headerReference w:type="default" r:id="rId39"/>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2865" w14:textId="77777777" w:rsidR="009B4896" w:rsidRPr="00241B3B" w:rsidRDefault="009B4896" w:rsidP="00F1283C">
      <w:pPr>
        <w:spacing w:after="0" w:line="240" w:lineRule="auto"/>
      </w:pPr>
      <w:r w:rsidRPr="00241B3B">
        <w:separator/>
      </w:r>
    </w:p>
  </w:endnote>
  <w:endnote w:type="continuationSeparator" w:id="0">
    <w:p w14:paraId="70635CE0" w14:textId="77777777" w:rsidR="009B4896" w:rsidRPr="00241B3B" w:rsidRDefault="009B4896" w:rsidP="00F1283C">
      <w:pPr>
        <w:spacing w:after="0" w:line="240" w:lineRule="auto"/>
      </w:pPr>
      <w:r w:rsidRPr="00241B3B">
        <w:continuationSeparator/>
      </w:r>
    </w:p>
  </w:endnote>
  <w:endnote w:type="continuationNotice" w:id="1">
    <w:p w14:paraId="1FAB7DB9" w14:textId="77777777" w:rsidR="009B4896" w:rsidRPr="00241B3B" w:rsidRDefault="009B48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448" w14:textId="7184AA51" w:rsidR="00AF4139" w:rsidRPr="00241B3B" w:rsidRDefault="00AF4139" w:rsidP="009F10D8">
    <w:pPr>
      <w:pStyle w:val="Footer"/>
      <w:tabs>
        <w:tab w:val="clear" w:pos="4680"/>
        <w:tab w:val="clear" w:pos="9360"/>
        <w:tab w:val="right" w:pos="2835"/>
        <w:tab w:val="right" w:pos="8505"/>
        <w:tab w:val="right" w:pos="9639"/>
      </w:tabs>
      <w:jc w:val="right"/>
    </w:pPr>
    <w:r w:rsidRPr="00241B3B">
      <w:rPr>
        <w:noProof/>
        <w:lang w:eastAsia="en-AU"/>
      </w:rPr>
      <w:drawing>
        <wp:anchor distT="0" distB="0" distL="114300" distR="114300" simplePos="0" relativeHeight="251657728"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149296829" name="Picture 1492968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sidRPr="00241B3B">
      <w:fldChar w:fldCharType="begin"/>
    </w:r>
    <w:r w:rsidR="009F10D8" w:rsidRPr="00241B3B">
      <w:instrText xml:space="preserve"> STYLEREF  "Heading 1"  \* MERGEFORMAT </w:instrText>
    </w:r>
    <w:r w:rsidR="009F10D8" w:rsidRPr="00241B3B">
      <w:fldChar w:fldCharType="end"/>
    </w:r>
    <w:r w:rsidR="009F10D8" w:rsidRPr="00241B3B">
      <w:tab/>
    </w:r>
    <w:r w:rsidR="00CD4D83" w:rsidRPr="00241B3B">
      <w:fldChar w:fldCharType="begin"/>
    </w:r>
    <w:r w:rsidR="00CD4D83" w:rsidRPr="00241B3B">
      <w:instrText xml:space="preserve"> PAGE  \* Arabic  \* MERGEFORMAT </w:instrText>
    </w:r>
    <w:r w:rsidR="00CD4D83" w:rsidRPr="00241B3B">
      <w:fldChar w:fldCharType="separate"/>
    </w:r>
    <w:r w:rsidR="00CD4D83" w:rsidRPr="00241B3B">
      <w:t>2</w:t>
    </w:r>
    <w:r w:rsidR="00CD4D83" w:rsidRPr="00241B3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2EB" w14:textId="3F2F0DED" w:rsidR="00AF4139" w:rsidRPr="00241B3B" w:rsidRDefault="00492CA3" w:rsidP="004B0CC2">
    <w:pPr>
      <w:pStyle w:val="Footer"/>
      <w:tabs>
        <w:tab w:val="clear" w:pos="4680"/>
        <w:tab w:val="clear" w:pos="9360"/>
        <w:tab w:val="right" w:pos="8505"/>
        <w:tab w:val="right" w:pos="9639"/>
      </w:tabs>
      <w:jc w:val="right"/>
    </w:pPr>
    <w:r w:rsidRPr="00241B3B">
      <w:rPr>
        <w:rFonts w:asciiTheme="minorHAnsi" w:hAnsiTheme="minorHAnsi" w:cstheme="minorHAnsi"/>
      </w:rPr>
      <w:t xml:space="preserve">       </w:t>
    </w:r>
    <w:r w:rsidR="0091255A" w:rsidRPr="00241B3B">
      <w:rPr>
        <w:rFonts w:asciiTheme="minorHAnsi" w:hAnsiTheme="minorHAnsi" w:cstheme="minorHAnsi"/>
      </w:rPr>
      <w:t>National Housing and Homelessness Plan Response</w:t>
    </w:r>
    <w:r w:rsidR="0091255A" w:rsidRPr="00241B3B">
      <w:t xml:space="preserve"> </w:t>
    </w:r>
    <w:r w:rsidR="00AF4139" w:rsidRPr="00241B3B">
      <w:rPr>
        <w:noProof/>
        <w:lang w:eastAsia="en-AU"/>
      </w:rPr>
      <w:drawing>
        <wp:anchor distT="0" distB="0" distL="114300" distR="114300" simplePos="0" relativeHeight="251656704" behindDoc="1" locked="0" layoutInCell="1" allowOverlap="1" wp14:anchorId="098107C3" wp14:editId="43BCF56C">
          <wp:simplePos x="0" y="0"/>
          <wp:positionH relativeFrom="column">
            <wp:posOffset>-215265</wp:posOffset>
          </wp:positionH>
          <wp:positionV relativeFrom="paragraph">
            <wp:posOffset>-163195</wp:posOffset>
          </wp:positionV>
          <wp:extent cx="468000" cy="496036"/>
          <wp:effectExtent l="0" t="0" r="8255" b="0"/>
          <wp:wrapTight wrapText="bothSides">
            <wp:wrapPolygon edited="0">
              <wp:start x="4396" y="0"/>
              <wp:lineTo x="0" y="5808"/>
              <wp:lineTo x="0" y="9127"/>
              <wp:lineTo x="879" y="13275"/>
              <wp:lineTo x="4396" y="20743"/>
              <wp:lineTo x="21102" y="20743"/>
              <wp:lineTo x="21102" y="5808"/>
              <wp:lineTo x="9672" y="0"/>
              <wp:lineTo x="4396" y="0"/>
            </wp:wrapPolygon>
          </wp:wrapTight>
          <wp:docPr id="669156907" name="Picture 6691569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anchor>
      </w:drawing>
    </w:r>
    <w:r w:rsidR="00AF4139" w:rsidRPr="00241B3B">
      <w:tab/>
    </w:r>
    <w:r w:rsidR="00AF4139" w:rsidRPr="00241B3B">
      <w:rPr>
        <w:rFonts w:asciiTheme="minorHAnsi" w:hAnsiTheme="minorHAnsi" w:cstheme="minorHAnsi"/>
      </w:rPr>
      <w:fldChar w:fldCharType="begin"/>
    </w:r>
    <w:r w:rsidR="00AF4139" w:rsidRPr="00241B3B">
      <w:rPr>
        <w:rFonts w:asciiTheme="minorHAnsi" w:hAnsiTheme="minorHAnsi" w:cstheme="minorHAnsi"/>
      </w:rPr>
      <w:instrText xml:space="preserve"> PAGE   \* MERGEFORMAT </w:instrText>
    </w:r>
    <w:r w:rsidR="00AF4139" w:rsidRPr="00241B3B">
      <w:rPr>
        <w:rFonts w:asciiTheme="minorHAnsi" w:hAnsiTheme="minorHAnsi" w:cstheme="minorHAnsi"/>
      </w:rPr>
      <w:fldChar w:fldCharType="separate"/>
    </w:r>
    <w:r w:rsidR="00AF4139" w:rsidRPr="00241B3B">
      <w:rPr>
        <w:rFonts w:asciiTheme="minorHAnsi" w:hAnsiTheme="minorHAnsi" w:cstheme="minorHAnsi"/>
      </w:rPr>
      <w:t>19</w:t>
    </w:r>
    <w:r w:rsidR="00AF4139" w:rsidRPr="00241B3B">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D680" w14:textId="77777777" w:rsidR="009B4896" w:rsidRPr="00241B3B" w:rsidRDefault="009B4896" w:rsidP="00F1283C">
      <w:pPr>
        <w:spacing w:after="0" w:line="240" w:lineRule="auto"/>
      </w:pPr>
      <w:r w:rsidRPr="00241B3B">
        <w:separator/>
      </w:r>
    </w:p>
  </w:footnote>
  <w:footnote w:type="continuationSeparator" w:id="0">
    <w:p w14:paraId="7D566D28" w14:textId="77777777" w:rsidR="009B4896" w:rsidRPr="00241B3B" w:rsidRDefault="009B4896" w:rsidP="00F1283C">
      <w:pPr>
        <w:spacing w:after="0" w:line="240" w:lineRule="auto"/>
      </w:pPr>
      <w:r w:rsidRPr="00241B3B">
        <w:continuationSeparator/>
      </w:r>
    </w:p>
  </w:footnote>
  <w:footnote w:type="continuationNotice" w:id="1">
    <w:p w14:paraId="4BAAC965" w14:textId="77777777" w:rsidR="009B4896" w:rsidRPr="00241B3B" w:rsidRDefault="009B4896">
      <w:pPr>
        <w:spacing w:before="0" w:after="0" w:line="240" w:lineRule="auto"/>
      </w:pPr>
    </w:p>
  </w:footnote>
  <w:footnote w:id="2">
    <w:p w14:paraId="711480F3" w14:textId="4899A695" w:rsidR="006024D1" w:rsidRPr="00241B3B" w:rsidRDefault="006024D1" w:rsidP="00592F56">
      <w:pPr>
        <w:pStyle w:val="FootnoteText"/>
        <w:spacing w:before="0"/>
        <w:rPr>
          <w:sz w:val="16"/>
          <w:szCs w:val="16"/>
        </w:rPr>
      </w:pPr>
      <w:r w:rsidRPr="00241B3B">
        <w:rPr>
          <w:rStyle w:val="FootnoteReference"/>
          <w:sz w:val="16"/>
          <w:szCs w:val="16"/>
        </w:rPr>
        <w:footnoteRef/>
      </w:r>
      <w:r w:rsidRPr="00241B3B">
        <w:rPr>
          <w:sz w:val="16"/>
          <w:szCs w:val="16"/>
        </w:rPr>
        <w:t xml:space="preserve"> Community Housing Industry Association (2023). </w:t>
      </w:r>
      <w:r w:rsidRPr="00241B3B">
        <w:rPr>
          <w:i/>
          <w:iCs/>
          <w:sz w:val="16"/>
          <w:szCs w:val="16"/>
        </w:rPr>
        <w:t xml:space="preserve">CHIA 2023-24 </w:t>
      </w:r>
      <w:r w:rsidR="00C37C7C" w:rsidRPr="00241B3B">
        <w:rPr>
          <w:i/>
          <w:iCs/>
          <w:sz w:val="16"/>
          <w:szCs w:val="16"/>
        </w:rPr>
        <w:t>Commonwealth</w:t>
      </w:r>
      <w:r w:rsidRPr="00241B3B">
        <w:rPr>
          <w:i/>
          <w:iCs/>
          <w:sz w:val="16"/>
          <w:szCs w:val="16"/>
        </w:rPr>
        <w:t xml:space="preserve"> Pre-Budget Submission</w:t>
      </w:r>
      <w:r w:rsidRPr="00241B3B">
        <w:rPr>
          <w:sz w:val="16"/>
          <w:szCs w:val="16"/>
        </w:rPr>
        <w:t xml:space="preserve">. </w:t>
      </w:r>
      <w:hyperlink r:id="rId1" w:history="1">
        <w:r w:rsidRPr="00241B3B">
          <w:rPr>
            <w:rStyle w:val="Hyperlink"/>
            <w:sz w:val="16"/>
            <w:szCs w:val="16"/>
          </w:rPr>
          <w:t>https://www.communityhousing.com.au/our-advocacy/submissions/</w:t>
        </w:r>
      </w:hyperlink>
      <w:r w:rsidRPr="00241B3B">
        <w:rPr>
          <w:sz w:val="16"/>
          <w:szCs w:val="16"/>
        </w:rPr>
        <w:t xml:space="preserve">  </w:t>
      </w:r>
    </w:p>
  </w:footnote>
  <w:footnote w:id="3">
    <w:p w14:paraId="4D0E42E5" w14:textId="01EABB05" w:rsidR="00E4076F" w:rsidRPr="00241B3B" w:rsidRDefault="00E4076F" w:rsidP="00592F56">
      <w:pPr>
        <w:pStyle w:val="FootnoteText"/>
        <w:spacing w:before="0"/>
        <w:rPr>
          <w:sz w:val="16"/>
          <w:szCs w:val="16"/>
        </w:rPr>
      </w:pPr>
      <w:r w:rsidRPr="00241B3B">
        <w:rPr>
          <w:rStyle w:val="FootnoteReference"/>
          <w:sz w:val="16"/>
          <w:szCs w:val="16"/>
        </w:rPr>
        <w:footnoteRef/>
      </w:r>
      <w:r w:rsidRPr="00241B3B">
        <w:rPr>
          <w:sz w:val="16"/>
          <w:szCs w:val="16"/>
        </w:rPr>
        <w:t xml:space="preserve"> Australian institute of Health and Welfare (2022). People with </w:t>
      </w:r>
      <w:r w:rsidR="00241B3B" w:rsidRPr="00241B3B">
        <w:rPr>
          <w:sz w:val="16"/>
          <w:szCs w:val="16"/>
        </w:rPr>
        <w:t>disability in</w:t>
      </w:r>
      <w:r w:rsidRPr="00241B3B">
        <w:rPr>
          <w:sz w:val="16"/>
          <w:szCs w:val="16"/>
        </w:rPr>
        <w:t xml:space="preserve"> Australia, housing. </w:t>
      </w:r>
      <w:hyperlink r:id="rId2" w:history="1">
        <w:r w:rsidRPr="00241B3B">
          <w:rPr>
            <w:rStyle w:val="Hyperlink"/>
            <w:sz w:val="16"/>
            <w:szCs w:val="16"/>
          </w:rPr>
          <w:t>https://www.aihw.gov.au/reports/disability/people-with-disability-in-australia/contents/housing</w:t>
        </w:r>
      </w:hyperlink>
      <w:r w:rsidRPr="00241B3B">
        <w:rPr>
          <w:sz w:val="16"/>
          <w:szCs w:val="16"/>
        </w:rPr>
        <w:t xml:space="preserve"> </w:t>
      </w:r>
    </w:p>
  </w:footnote>
  <w:footnote w:id="4">
    <w:p w14:paraId="1A9B3021" w14:textId="77777777" w:rsidR="005C341E" w:rsidRPr="00241B3B" w:rsidRDefault="005C341E" w:rsidP="00592F56">
      <w:pPr>
        <w:pStyle w:val="FootnoteText"/>
        <w:spacing w:before="0"/>
        <w:rPr>
          <w:sz w:val="16"/>
          <w:szCs w:val="16"/>
        </w:rPr>
      </w:pPr>
      <w:r w:rsidRPr="00241B3B">
        <w:rPr>
          <w:rStyle w:val="FootnoteReference"/>
          <w:sz w:val="16"/>
          <w:szCs w:val="16"/>
        </w:rPr>
        <w:footnoteRef/>
      </w:r>
      <w:r w:rsidRPr="00241B3B">
        <w:rPr>
          <w:sz w:val="16"/>
          <w:szCs w:val="16"/>
        </w:rPr>
        <w:t xml:space="preserve"> Productivity Commission (2022). In need of repair: The National Housing and Homelessness Agreement Review. </w:t>
      </w:r>
      <w:hyperlink r:id="rId3" w:history="1">
        <w:r w:rsidRPr="00241B3B">
          <w:rPr>
            <w:rStyle w:val="Hyperlink"/>
            <w:sz w:val="16"/>
            <w:szCs w:val="16"/>
          </w:rPr>
          <w:t>https://www.pc.gov.au/inquiries/completed/housing-homelessness/report</w:t>
        </w:r>
      </w:hyperlink>
      <w:r w:rsidRPr="00241B3B">
        <w:rPr>
          <w:sz w:val="16"/>
          <w:szCs w:val="16"/>
        </w:rPr>
        <w:t xml:space="preserve"> </w:t>
      </w:r>
    </w:p>
  </w:footnote>
  <w:footnote w:id="5">
    <w:p w14:paraId="2BD8B153" w14:textId="77777777" w:rsidR="004F7069" w:rsidRPr="00241B3B" w:rsidRDefault="004F7069" w:rsidP="00592F56">
      <w:pPr>
        <w:pStyle w:val="FootnoteText"/>
        <w:spacing w:before="0"/>
        <w:rPr>
          <w:sz w:val="16"/>
          <w:szCs w:val="16"/>
        </w:rPr>
      </w:pPr>
      <w:r w:rsidRPr="00241B3B">
        <w:rPr>
          <w:rStyle w:val="FootnoteReference"/>
          <w:sz w:val="16"/>
          <w:szCs w:val="16"/>
        </w:rPr>
        <w:footnoteRef/>
      </w:r>
      <w:r w:rsidRPr="00241B3B">
        <w:rPr>
          <w:sz w:val="16"/>
          <w:szCs w:val="16"/>
        </w:rPr>
        <w:t xml:space="preserve"> Australian Institute of Health and Welfare (2022). People with disability in Australia, Housing. </w:t>
      </w:r>
      <w:hyperlink r:id="rId4" w:history="1">
        <w:r w:rsidRPr="00241B3B">
          <w:rPr>
            <w:rStyle w:val="Hyperlink"/>
            <w:sz w:val="16"/>
            <w:szCs w:val="16"/>
          </w:rPr>
          <w:t>https://www.aihw.gov.au/reports/disability/people-with-disability-in-australia/contents/housing</w:t>
        </w:r>
      </w:hyperlink>
      <w:r w:rsidRPr="00241B3B">
        <w:rPr>
          <w:sz w:val="16"/>
          <w:szCs w:val="16"/>
        </w:rPr>
        <w:t xml:space="preserve"> </w:t>
      </w:r>
    </w:p>
  </w:footnote>
  <w:footnote w:id="6">
    <w:p w14:paraId="39B260FA" w14:textId="77777777" w:rsidR="00B77923" w:rsidRPr="00241B3B" w:rsidRDefault="00B77923" w:rsidP="00592F56">
      <w:pPr>
        <w:pStyle w:val="FootnoteText"/>
        <w:spacing w:before="0"/>
        <w:rPr>
          <w:sz w:val="16"/>
          <w:szCs w:val="16"/>
        </w:rPr>
      </w:pPr>
      <w:r w:rsidRPr="00241B3B">
        <w:rPr>
          <w:rStyle w:val="FootnoteReference"/>
          <w:sz w:val="16"/>
          <w:szCs w:val="16"/>
        </w:rPr>
        <w:footnoteRef/>
      </w:r>
      <w:r w:rsidRPr="00241B3B">
        <w:rPr>
          <w:sz w:val="16"/>
          <w:szCs w:val="16"/>
        </w:rPr>
        <w:t xml:space="preserve"> Beer, A., Daniel, L., Baker, E. &amp; Lester, L. (2020). </w:t>
      </w:r>
      <w:r w:rsidRPr="00241B3B">
        <w:rPr>
          <w:i/>
          <w:iCs/>
          <w:sz w:val="16"/>
          <w:szCs w:val="16"/>
        </w:rPr>
        <w:t>The Shifting Risk of Homelessness among Persons with a Disability: Insights from a National Policy Intervention</w:t>
      </w:r>
      <w:r w:rsidRPr="00241B3B">
        <w:rPr>
          <w:sz w:val="16"/>
          <w:szCs w:val="16"/>
        </w:rPr>
        <w:t xml:space="preserve">. International Journal of Environmental Research and Public Health, </w:t>
      </w:r>
      <w:r w:rsidRPr="00241B3B">
        <w:rPr>
          <w:rFonts w:ascii="Helvetica" w:hAnsi="Helvetica"/>
          <w:i/>
          <w:iCs/>
          <w:color w:val="212121"/>
          <w:sz w:val="16"/>
          <w:szCs w:val="16"/>
          <w:shd w:val="clear" w:color="auto" w:fill="FFFFFF"/>
        </w:rPr>
        <w:t>17</w:t>
      </w:r>
      <w:r w:rsidRPr="00241B3B">
        <w:rPr>
          <w:rFonts w:ascii="Helvetica" w:hAnsi="Helvetica"/>
          <w:color w:val="212121"/>
          <w:sz w:val="16"/>
          <w:szCs w:val="16"/>
          <w:shd w:val="clear" w:color="auto" w:fill="FFFFFF"/>
        </w:rPr>
        <w:t xml:space="preserve">(18). </w:t>
      </w:r>
      <w:hyperlink r:id="rId5" w:history="1">
        <w:r w:rsidRPr="00241B3B">
          <w:rPr>
            <w:rStyle w:val="Hyperlink"/>
            <w:rFonts w:ascii="Helvetica" w:hAnsi="Helvetica"/>
            <w:sz w:val="16"/>
            <w:szCs w:val="16"/>
            <w:shd w:val="clear" w:color="auto" w:fill="FFFFFF"/>
          </w:rPr>
          <w:t>https://doi.org/10.3390/ijerph17186512</w:t>
        </w:r>
      </w:hyperlink>
      <w:r w:rsidRPr="00241B3B">
        <w:rPr>
          <w:rFonts w:ascii="Helvetica" w:hAnsi="Helvetica"/>
          <w:color w:val="212121"/>
          <w:sz w:val="16"/>
          <w:szCs w:val="16"/>
          <w:shd w:val="clear" w:color="auto" w:fill="FFFFFF"/>
        </w:rPr>
        <w:t xml:space="preserve"> </w:t>
      </w:r>
      <w:r w:rsidRPr="00241B3B">
        <w:rPr>
          <w:sz w:val="16"/>
          <w:szCs w:val="16"/>
        </w:rPr>
        <w:t xml:space="preserve"> </w:t>
      </w:r>
    </w:p>
  </w:footnote>
  <w:footnote w:id="7">
    <w:p w14:paraId="2DCE1FC8" w14:textId="77777777" w:rsidR="005A0820" w:rsidRPr="00241B3B" w:rsidRDefault="005A0820" w:rsidP="00592F56">
      <w:pPr>
        <w:pStyle w:val="FootnoteText"/>
        <w:spacing w:before="0"/>
        <w:rPr>
          <w:sz w:val="16"/>
          <w:szCs w:val="16"/>
        </w:rPr>
      </w:pPr>
      <w:r w:rsidRPr="00241B3B">
        <w:rPr>
          <w:rStyle w:val="FootnoteReference"/>
          <w:sz w:val="16"/>
          <w:szCs w:val="16"/>
        </w:rPr>
        <w:footnoteRef/>
      </w:r>
      <w:r w:rsidRPr="00241B3B">
        <w:rPr>
          <w:sz w:val="16"/>
          <w:szCs w:val="16"/>
        </w:rPr>
        <w:t xml:space="preserve"> Royal Commission into Violence, Abuse, Neglect and Exploitation of People with Disability. (October 2020). </w:t>
      </w:r>
      <w:r w:rsidRPr="00241B3B">
        <w:rPr>
          <w:i/>
          <w:iCs/>
          <w:sz w:val="16"/>
          <w:szCs w:val="16"/>
        </w:rPr>
        <w:t>Overview of the responses to the Group homes Issues paper</w:t>
      </w:r>
      <w:r w:rsidRPr="00241B3B">
        <w:rPr>
          <w:sz w:val="16"/>
          <w:szCs w:val="16"/>
        </w:rPr>
        <w:t xml:space="preserve">. </w:t>
      </w:r>
      <w:hyperlink r:id="rId6" w:history="1">
        <w:r w:rsidRPr="00241B3B">
          <w:rPr>
            <w:rStyle w:val="Hyperlink"/>
            <w:sz w:val="16"/>
            <w:szCs w:val="16"/>
          </w:rPr>
          <w:t>https://disability.royalcommission.gov.au/publications/group-homes</w:t>
        </w:r>
      </w:hyperlink>
      <w:r w:rsidRPr="00241B3B">
        <w:rPr>
          <w:sz w:val="16"/>
          <w:szCs w:val="16"/>
        </w:rPr>
        <w:t xml:space="preserve"> </w:t>
      </w:r>
    </w:p>
  </w:footnote>
  <w:footnote w:id="8">
    <w:p w14:paraId="02AED5E7" w14:textId="77777777" w:rsidR="000D6DDD" w:rsidRPr="00241B3B" w:rsidRDefault="000D6DDD" w:rsidP="00592F56">
      <w:pPr>
        <w:pStyle w:val="FootnoteText"/>
        <w:spacing w:before="0"/>
        <w:rPr>
          <w:sz w:val="16"/>
          <w:szCs w:val="16"/>
        </w:rPr>
      </w:pPr>
      <w:r w:rsidRPr="00241B3B">
        <w:rPr>
          <w:rStyle w:val="FootnoteReference"/>
          <w:sz w:val="16"/>
          <w:szCs w:val="16"/>
        </w:rPr>
        <w:footnoteRef/>
      </w:r>
      <w:r w:rsidRPr="00241B3B">
        <w:rPr>
          <w:sz w:val="16"/>
          <w:szCs w:val="16"/>
        </w:rPr>
        <w:t xml:space="preserve"> Disabled People’s Organisations Australia (2020). </w:t>
      </w:r>
      <w:r w:rsidRPr="00241B3B">
        <w:rPr>
          <w:i/>
          <w:iCs/>
          <w:sz w:val="16"/>
          <w:szCs w:val="16"/>
        </w:rPr>
        <w:t xml:space="preserve">Segregation of people with disability is discrimination and must end. </w:t>
      </w:r>
      <w:hyperlink r:id="rId7" w:history="1">
        <w:r w:rsidRPr="00241B3B">
          <w:rPr>
            <w:rStyle w:val="Hyperlink"/>
            <w:sz w:val="16"/>
            <w:szCs w:val="16"/>
          </w:rPr>
          <w:t>https://dpoa.org.au/endsegregation/</w:t>
        </w:r>
      </w:hyperlink>
      <w:r w:rsidRPr="00241B3B">
        <w:rPr>
          <w:sz w:val="16"/>
          <w:szCs w:val="16"/>
        </w:rPr>
        <w:t xml:space="preserve"> </w:t>
      </w:r>
    </w:p>
  </w:footnote>
  <w:footnote w:id="9">
    <w:p w14:paraId="01570AA3" w14:textId="77777777" w:rsidR="00E667B9" w:rsidRPr="00241B3B" w:rsidRDefault="00E667B9" w:rsidP="00592F56">
      <w:pPr>
        <w:pStyle w:val="FootnoteText"/>
        <w:spacing w:before="0"/>
        <w:rPr>
          <w:sz w:val="16"/>
          <w:szCs w:val="16"/>
        </w:rPr>
      </w:pPr>
      <w:r w:rsidRPr="00241B3B">
        <w:rPr>
          <w:rStyle w:val="FootnoteReference"/>
          <w:sz w:val="16"/>
          <w:szCs w:val="16"/>
        </w:rPr>
        <w:footnoteRef/>
      </w:r>
      <w:r w:rsidRPr="00241B3B">
        <w:rPr>
          <w:sz w:val="16"/>
          <w:szCs w:val="16"/>
        </w:rPr>
        <w:t xml:space="preserve"> Australian Human Rights Commission. </w:t>
      </w:r>
      <w:r w:rsidRPr="00241B3B">
        <w:rPr>
          <w:i/>
          <w:iCs/>
          <w:sz w:val="16"/>
          <w:szCs w:val="16"/>
        </w:rPr>
        <w:t>The Rights of People with Disabilities: Areas of Need for Increased Protection: Chapter 4: Accommodation</w:t>
      </w:r>
      <w:r w:rsidRPr="00241B3B">
        <w:rPr>
          <w:sz w:val="16"/>
          <w:szCs w:val="16"/>
        </w:rPr>
        <w:t xml:space="preserve">. </w:t>
      </w:r>
      <w:hyperlink r:id="rId8" w:history="1">
        <w:r w:rsidRPr="00241B3B">
          <w:rPr>
            <w:rStyle w:val="Hyperlink"/>
            <w:sz w:val="16"/>
            <w:szCs w:val="16"/>
          </w:rPr>
          <w:t>https://humanrights.gov.au/our-work</w:t>
        </w:r>
      </w:hyperlink>
      <w:r w:rsidRPr="00241B3B">
        <w:rPr>
          <w:sz w:val="16"/>
          <w:szCs w:val="16"/>
        </w:rPr>
        <w:t xml:space="preserve"> </w:t>
      </w:r>
    </w:p>
  </w:footnote>
  <w:footnote w:id="10">
    <w:p w14:paraId="5C687FD9" w14:textId="7D91726D" w:rsidR="00970632" w:rsidRPr="00241B3B" w:rsidRDefault="00970632" w:rsidP="00592F56">
      <w:pPr>
        <w:pStyle w:val="FootnoteText"/>
        <w:spacing w:before="0"/>
        <w:rPr>
          <w:sz w:val="16"/>
          <w:szCs w:val="16"/>
        </w:rPr>
      </w:pPr>
      <w:r w:rsidRPr="00241B3B">
        <w:rPr>
          <w:rStyle w:val="FootnoteReference"/>
          <w:sz w:val="16"/>
          <w:szCs w:val="16"/>
        </w:rPr>
        <w:footnoteRef/>
      </w:r>
      <w:r w:rsidRPr="00241B3B">
        <w:rPr>
          <w:sz w:val="16"/>
          <w:szCs w:val="16"/>
        </w:rPr>
        <w:t xml:space="preserve"> Grattan Institute (2021). </w:t>
      </w:r>
      <w:r w:rsidRPr="00241B3B">
        <w:rPr>
          <w:i/>
          <w:iCs/>
          <w:sz w:val="16"/>
          <w:szCs w:val="16"/>
        </w:rPr>
        <w:t>How to ma</w:t>
      </w:r>
      <w:r w:rsidR="0094303B" w:rsidRPr="00241B3B">
        <w:rPr>
          <w:i/>
          <w:iCs/>
          <w:sz w:val="16"/>
          <w:szCs w:val="16"/>
        </w:rPr>
        <w:t>ke</w:t>
      </w:r>
      <w:r w:rsidRPr="00241B3B">
        <w:rPr>
          <w:i/>
          <w:iCs/>
          <w:sz w:val="16"/>
          <w:szCs w:val="16"/>
        </w:rPr>
        <w:t xml:space="preserve"> housing more affordable: Submission to the parliamentary inquiry into housing affordability and supply in Australia.</w:t>
      </w:r>
      <w:r w:rsidRPr="00241B3B">
        <w:rPr>
          <w:sz w:val="16"/>
          <w:szCs w:val="16"/>
        </w:rPr>
        <w:t xml:space="preserve"> </w:t>
      </w:r>
      <w:hyperlink r:id="rId9" w:history="1">
        <w:r w:rsidRPr="00241B3B">
          <w:rPr>
            <w:rStyle w:val="Hyperlink"/>
            <w:sz w:val="16"/>
            <w:szCs w:val="16"/>
          </w:rPr>
          <w:t>https://grattan.edu.au/news/how-to-make-housing-more-affordable/</w:t>
        </w:r>
      </w:hyperlink>
      <w:r w:rsidRPr="00241B3B">
        <w:rPr>
          <w:sz w:val="16"/>
          <w:szCs w:val="16"/>
        </w:rPr>
        <w:t xml:space="preserve"> </w:t>
      </w:r>
    </w:p>
  </w:footnote>
  <w:footnote w:id="11">
    <w:p w14:paraId="66C07F5B" w14:textId="6D2451AB" w:rsidR="0069748F" w:rsidRPr="00241B3B" w:rsidRDefault="0069748F" w:rsidP="00336529">
      <w:pPr>
        <w:pStyle w:val="FootnoteText"/>
        <w:spacing w:before="0"/>
      </w:pPr>
      <w:r w:rsidRPr="00241B3B">
        <w:rPr>
          <w:rStyle w:val="FootnoteReference"/>
          <w:sz w:val="16"/>
          <w:szCs w:val="16"/>
        </w:rPr>
        <w:footnoteRef/>
      </w:r>
      <w:r w:rsidRPr="00241B3B">
        <w:rPr>
          <w:sz w:val="16"/>
          <w:szCs w:val="16"/>
        </w:rPr>
        <w:t xml:space="preserve"> Australian Institute of Health and Welfare (2023). Housing assistance in Australia. https://www.aihw.gov.au/reports/housing-assistance/housing-assistance-in-australia/contents/households-and-waiting-lists</w:t>
      </w:r>
    </w:p>
  </w:footnote>
  <w:footnote w:id="12">
    <w:p w14:paraId="1729C06E" w14:textId="407894EB" w:rsidR="0078415B" w:rsidRPr="00241B3B" w:rsidRDefault="0078415B" w:rsidP="00336529">
      <w:pPr>
        <w:pStyle w:val="FootnoteText"/>
        <w:spacing w:before="0"/>
        <w:rPr>
          <w:sz w:val="16"/>
          <w:szCs w:val="16"/>
        </w:rPr>
      </w:pPr>
      <w:r w:rsidRPr="00241B3B">
        <w:rPr>
          <w:rStyle w:val="FootnoteReference"/>
          <w:sz w:val="16"/>
          <w:szCs w:val="16"/>
        </w:rPr>
        <w:footnoteRef/>
      </w:r>
      <w:r w:rsidRPr="00241B3B">
        <w:rPr>
          <w:sz w:val="16"/>
          <w:szCs w:val="16"/>
        </w:rPr>
        <w:t xml:space="preserve"> Ibid</w:t>
      </w:r>
    </w:p>
  </w:footnote>
  <w:footnote w:id="13">
    <w:p w14:paraId="2DEC6894" w14:textId="5C274C47" w:rsidR="005C341E" w:rsidRPr="00241B3B" w:rsidRDefault="005C341E" w:rsidP="0069748F">
      <w:pPr>
        <w:pStyle w:val="FootnoteText"/>
        <w:spacing w:before="0"/>
        <w:rPr>
          <w:sz w:val="16"/>
          <w:szCs w:val="16"/>
        </w:rPr>
      </w:pPr>
      <w:r w:rsidRPr="00241B3B">
        <w:rPr>
          <w:rStyle w:val="FootnoteReference"/>
          <w:sz w:val="16"/>
          <w:szCs w:val="16"/>
        </w:rPr>
        <w:footnoteRef/>
      </w:r>
      <w:r w:rsidR="00FF6B6E" w:rsidRPr="00241B3B">
        <w:rPr>
          <w:sz w:val="16"/>
          <w:szCs w:val="16"/>
        </w:rPr>
        <w:t xml:space="preserve">Community Housing Industry Association (2023). </w:t>
      </w:r>
      <w:r w:rsidR="00FF6B6E" w:rsidRPr="00241B3B">
        <w:rPr>
          <w:i/>
          <w:iCs/>
          <w:sz w:val="16"/>
          <w:szCs w:val="16"/>
        </w:rPr>
        <w:t>CHIA 2023-24 Commonwealth Pre-Budget Submission</w:t>
      </w:r>
      <w:r w:rsidR="00FF6B6E" w:rsidRPr="00241B3B">
        <w:rPr>
          <w:sz w:val="16"/>
          <w:szCs w:val="16"/>
        </w:rPr>
        <w:t xml:space="preserve">. </w:t>
      </w:r>
      <w:hyperlink r:id="rId10" w:history="1">
        <w:r w:rsidR="00FF6B6E" w:rsidRPr="00241B3B">
          <w:rPr>
            <w:rStyle w:val="Hyperlink"/>
            <w:sz w:val="16"/>
            <w:szCs w:val="16"/>
          </w:rPr>
          <w:t>https://www.communityhousing.com.au/our-advocacy/submissions/</w:t>
        </w:r>
      </w:hyperlink>
      <w:r w:rsidR="00FF6B6E" w:rsidRPr="00241B3B">
        <w:rPr>
          <w:sz w:val="16"/>
          <w:szCs w:val="16"/>
        </w:rPr>
        <w:t xml:space="preserve">; National Shelter (2023). </w:t>
      </w:r>
      <w:r w:rsidR="00FF6B6E" w:rsidRPr="00241B3B">
        <w:rPr>
          <w:i/>
          <w:iCs/>
          <w:sz w:val="16"/>
          <w:szCs w:val="16"/>
        </w:rPr>
        <w:t>Pre-Budget Submission 2023-24</w:t>
      </w:r>
      <w:r w:rsidR="00FF6B6E" w:rsidRPr="00241B3B">
        <w:rPr>
          <w:sz w:val="16"/>
          <w:szCs w:val="16"/>
        </w:rPr>
        <w:t xml:space="preserve">. </w:t>
      </w:r>
      <w:hyperlink r:id="rId11" w:history="1">
        <w:r w:rsidR="00FF6B6E" w:rsidRPr="00241B3B">
          <w:rPr>
            <w:rStyle w:val="Hyperlink"/>
            <w:sz w:val="16"/>
            <w:szCs w:val="16"/>
          </w:rPr>
          <w:t>https://shelter.org.au/category/publications/submissions/</w:t>
        </w:r>
      </w:hyperlink>
    </w:p>
  </w:footnote>
  <w:footnote w:id="14">
    <w:p w14:paraId="6174C6C3" w14:textId="77777777" w:rsidR="005C341E" w:rsidRPr="00241B3B" w:rsidRDefault="005C341E" w:rsidP="00592F56">
      <w:pPr>
        <w:pStyle w:val="FootnoteText"/>
        <w:spacing w:before="0"/>
        <w:rPr>
          <w:sz w:val="16"/>
          <w:szCs w:val="16"/>
        </w:rPr>
      </w:pPr>
      <w:r w:rsidRPr="00241B3B">
        <w:rPr>
          <w:rStyle w:val="FootnoteReference"/>
          <w:sz w:val="16"/>
          <w:szCs w:val="16"/>
        </w:rPr>
        <w:footnoteRef/>
      </w:r>
      <w:r w:rsidRPr="00241B3B">
        <w:rPr>
          <w:sz w:val="16"/>
          <w:szCs w:val="16"/>
        </w:rPr>
        <w:t xml:space="preserve"> NCOSS (2023). Barely hanging on: The cost of living crisis in NSW. </w:t>
      </w:r>
      <w:hyperlink r:id="rId12" w:history="1">
        <w:r w:rsidRPr="00241B3B">
          <w:rPr>
            <w:rStyle w:val="Hyperlink"/>
            <w:sz w:val="16"/>
            <w:szCs w:val="16"/>
          </w:rPr>
          <w:t>https://www.ncoss.org.au/policy-advocacy/policy-research-publications/barely-hanging-on-the-cost-of-living-crisis-in-nsw/</w:t>
        </w:r>
      </w:hyperlink>
      <w:r w:rsidRPr="00241B3B">
        <w:rPr>
          <w:sz w:val="16"/>
          <w:szCs w:val="16"/>
        </w:rPr>
        <w:t>, p.35</w:t>
      </w:r>
    </w:p>
  </w:footnote>
  <w:footnote w:id="15">
    <w:p w14:paraId="57FA0E3D" w14:textId="77777777" w:rsidR="005C341E" w:rsidRPr="00241B3B" w:rsidRDefault="005C341E" w:rsidP="00592F56">
      <w:pPr>
        <w:pStyle w:val="FootnoteText"/>
        <w:spacing w:before="0"/>
        <w:rPr>
          <w:sz w:val="16"/>
          <w:szCs w:val="16"/>
        </w:rPr>
      </w:pPr>
      <w:r w:rsidRPr="00241B3B">
        <w:rPr>
          <w:rStyle w:val="FootnoteReference"/>
          <w:sz w:val="16"/>
          <w:szCs w:val="16"/>
        </w:rPr>
        <w:footnoteRef/>
      </w:r>
      <w:r w:rsidRPr="00241B3B">
        <w:rPr>
          <w:sz w:val="16"/>
          <w:szCs w:val="16"/>
        </w:rPr>
        <w:t xml:space="preserve"> Ibid, p.50</w:t>
      </w:r>
    </w:p>
  </w:footnote>
  <w:footnote w:id="16">
    <w:p w14:paraId="67A638F3" w14:textId="77777777" w:rsidR="00743CCA" w:rsidRPr="00241B3B" w:rsidRDefault="00743CCA" w:rsidP="00592F56">
      <w:pPr>
        <w:pStyle w:val="FootnoteText"/>
        <w:spacing w:before="0"/>
        <w:rPr>
          <w:sz w:val="16"/>
          <w:szCs w:val="16"/>
        </w:rPr>
      </w:pPr>
      <w:r w:rsidRPr="00241B3B">
        <w:rPr>
          <w:rStyle w:val="FootnoteReference"/>
          <w:sz w:val="16"/>
          <w:szCs w:val="16"/>
        </w:rPr>
        <w:footnoteRef/>
      </w:r>
      <w:r w:rsidRPr="00241B3B">
        <w:rPr>
          <w:sz w:val="16"/>
          <w:szCs w:val="16"/>
        </w:rPr>
        <w:t xml:space="preserve"> Australian Institute of Health and Welfare (2022). People with disability in Australia, Income. </w:t>
      </w:r>
      <w:hyperlink r:id="rId13" w:history="1">
        <w:r w:rsidRPr="00241B3B">
          <w:rPr>
            <w:rStyle w:val="Hyperlink"/>
            <w:sz w:val="16"/>
            <w:szCs w:val="16"/>
          </w:rPr>
          <w:t>https:/i/www.aihw.gov.au/reports/disability/people-with-disability-in-australia/contents/income-and-finance/income</w:t>
        </w:r>
      </w:hyperlink>
    </w:p>
  </w:footnote>
  <w:footnote w:id="17">
    <w:p w14:paraId="2F012D7A" w14:textId="77777777" w:rsidR="005C341E" w:rsidRPr="00241B3B" w:rsidRDefault="005C341E" w:rsidP="00592F56">
      <w:pPr>
        <w:pStyle w:val="FootnoteText"/>
        <w:spacing w:before="0"/>
        <w:rPr>
          <w:sz w:val="16"/>
          <w:szCs w:val="16"/>
        </w:rPr>
      </w:pPr>
      <w:r w:rsidRPr="00241B3B">
        <w:rPr>
          <w:rStyle w:val="FootnoteReference"/>
          <w:sz w:val="16"/>
          <w:szCs w:val="16"/>
        </w:rPr>
        <w:footnoteRef/>
      </w:r>
      <w:r w:rsidRPr="00241B3B">
        <w:rPr>
          <w:sz w:val="16"/>
          <w:szCs w:val="16"/>
        </w:rPr>
        <w:t xml:space="preserve"> Australian Institute of Health and Welfare (2022). People with disability in Australia, Income. </w:t>
      </w:r>
      <w:hyperlink r:id="rId14" w:history="1">
        <w:r w:rsidRPr="00241B3B">
          <w:rPr>
            <w:rStyle w:val="Hyperlink"/>
            <w:sz w:val="16"/>
            <w:szCs w:val="16"/>
          </w:rPr>
          <w:t>https://www.aihw.gov.au/reports/disability/people-with-disability-in-australia/contents/income-and-finance/income</w:t>
        </w:r>
      </w:hyperlink>
      <w:r w:rsidRPr="00241B3B">
        <w:rPr>
          <w:sz w:val="16"/>
          <w:szCs w:val="16"/>
        </w:rPr>
        <w:t xml:space="preserve"> </w:t>
      </w:r>
    </w:p>
  </w:footnote>
  <w:footnote w:id="18">
    <w:p w14:paraId="5B3A69B3" w14:textId="77777777" w:rsidR="005C341E" w:rsidRPr="00241B3B" w:rsidRDefault="005C341E" w:rsidP="00592F56">
      <w:pPr>
        <w:pStyle w:val="FootnoteText"/>
        <w:spacing w:before="0"/>
        <w:rPr>
          <w:sz w:val="16"/>
          <w:szCs w:val="16"/>
        </w:rPr>
      </w:pPr>
      <w:r w:rsidRPr="00241B3B">
        <w:rPr>
          <w:rStyle w:val="FootnoteReference"/>
          <w:sz w:val="16"/>
          <w:szCs w:val="16"/>
        </w:rPr>
        <w:footnoteRef/>
      </w:r>
      <w:r w:rsidRPr="00241B3B">
        <w:rPr>
          <w:sz w:val="16"/>
          <w:szCs w:val="16"/>
        </w:rPr>
        <w:t xml:space="preserve"> Australian Institute of Health and Welfare (2022). People with disability in Australia, Unemployment. </w:t>
      </w:r>
      <w:hyperlink r:id="rId15" w:history="1">
        <w:r w:rsidRPr="00241B3B">
          <w:rPr>
            <w:rStyle w:val="Hyperlink"/>
            <w:sz w:val="16"/>
            <w:szCs w:val="16"/>
          </w:rPr>
          <w:t>https://www.aihw.gov.au/reports/disability/people-with-disability-in-australia/contents/employment/unemployment</w:t>
        </w:r>
      </w:hyperlink>
      <w:r w:rsidRPr="00241B3B">
        <w:rPr>
          <w:sz w:val="16"/>
          <w:szCs w:val="16"/>
        </w:rPr>
        <w:t xml:space="preserve"> </w:t>
      </w:r>
    </w:p>
  </w:footnote>
  <w:footnote w:id="19">
    <w:p w14:paraId="6AF5E3B2" w14:textId="33034E6F" w:rsidR="005C341E" w:rsidRPr="00241B3B" w:rsidRDefault="005C341E" w:rsidP="00592F56">
      <w:pPr>
        <w:pStyle w:val="FootnoteText"/>
        <w:spacing w:before="0"/>
        <w:rPr>
          <w:sz w:val="16"/>
          <w:szCs w:val="16"/>
        </w:rPr>
      </w:pPr>
      <w:r w:rsidRPr="00241B3B">
        <w:rPr>
          <w:rStyle w:val="FootnoteReference"/>
          <w:sz w:val="16"/>
          <w:szCs w:val="16"/>
        </w:rPr>
        <w:footnoteRef/>
      </w:r>
      <w:r w:rsidRPr="00241B3B">
        <w:rPr>
          <w:sz w:val="16"/>
          <w:szCs w:val="16"/>
        </w:rPr>
        <w:t xml:space="preserve"> PWC, </w:t>
      </w:r>
      <w:r w:rsidRPr="00241B3B">
        <w:rPr>
          <w:i/>
          <w:iCs/>
          <w:sz w:val="16"/>
          <w:szCs w:val="16"/>
        </w:rPr>
        <w:t>Disability expectations: Investing in a better life, a stronger Australia – Achieving better outcomes for people with a disability and their families,</w:t>
      </w:r>
      <w:r w:rsidRPr="00241B3B">
        <w:rPr>
          <w:sz w:val="16"/>
          <w:szCs w:val="16"/>
        </w:rPr>
        <w:t xml:space="preserve"> November 2011, last accessed 23 January 2023. </w:t>
      </w:r>
      <w:hyperlink r:id="rId16" w:history="1">
        <w:r w:rsidRPr="00241B3B">
          <w:rPr>
            <w:rStyle w:val="Hyperlink"/>
            <w:sz w:val="16"/>
            <w:szCs w:val="16"/>
          </w:rPr>
          <w:t>https://www.pwc.com.au/industry/</w:t>
        </w:r>
        <w:r w:rsidR="008E74DA" w:rsidRPr="00241B3B">
          <w:rPr>
            <w:rStyle w:val="Hyperlink"/>
            <w:sz w:val="16"/>
            <w:szCs w:val="16"/>
          </w:rPr>
          <w:t>Government</w:t>
        </w:r>
        <w:r w:rsidRPr="00241B3B">
          <w:rPr>
            <w:rStyle w:val="Hyperlink"/>
            <w:sz w:val="16"/>
            <w:szCs w:val="16"/>
          </w:rPr>
          <w:t>/assets/disability-in-australia.pdf</w:t>
        </w:r>
      </w:hyperlink>
    </w:p>
  </w:footnote>
  <w:footnote w:id="20">
    <w:p w14:paraId="762D248A" w14:textId="77777777" w:rsidR="005C341E" w:rsidRPr="00241B3B" w:rsidRDefault="005C341E" w:rsidP="00592F56">
      <w:pPr>
        <w:pStyle w:val="FootnoteText"/>
        <w:spacing w:before="0"/>
        <w:rPr>
          <w:sz w:val="16"/>
          <w:szCs w:val="16"/>
        </w:rPr>
      </w:pPr>
      <w:r w:rsidRPr="00241B3B">
        <w:rPr>
          <w:rStyle w:val="FootnoteReference"/>
          <w:sz w:val="16"/>
          <w:szCs w:val="16"/>
        </w:rPr>
        <w:footnoteRef/>
      </w:r>
      <w:r w:rsidRPr="00241B3B">
        <w:rPr>
          <w:sz w:val="16"/>
          <w:szCs w:val="16"/>
        </w:rPr>
        <w:t xml:space="preserve"> OECD, </w:t>
      </w:r>
      <w:hyperlink r:id="rId17" w:history="1">
        <w:r w:rsidRPr="00241B3B">
          <w:rPr>
            <w:rStyle w:val="Hyperlink"/>
            <w:sz w:val="16"/>
            <w:szCs w:val="16"/>
          </w:rPr>
          <w:t>Sickness, disability and work</w:t>
        </w:r>
      </w:hyperlink>
    </w:p>
  </w:footnote>
  <w:footnote w:id="21">
    <w:p w14:paraId="4C91239B" w14:textId="77777777" w:rsidR="00200A97" w:rsidRPr="00241B3B" w:rsidRDefault="00200A97" w:rsidP="00592F56">
      <w:pPr>
        <w:pStyle w:val="FootnoteText"/>
        <w:spacing w:before="0"/>
        <w:rPr>
          <w:sz w:val="16"/>
          <w:szCs w:val="16"/>
        </w:rPr>
      </w:pPr>
      <w:r w:rsidRPr="00241B3B">
        <w:rPr>
          <w:rStyle w:val="FootnoteReference"/>
          <w:sz w:val="16"/>
          <w:szCs w:val="16"/>
        </w:rPr>
        <w:footnoteRef/>
      </w:r>
      <w:r w:rsidRPr="00241B3B">
        <w:rPr>
          <w:sz w:val="16"/>
          <w:szCs w:val="16"/>
        </w:rPr>
        <w:t xml:space="preserve"> Monash University (2021). Adaptable housing for people with disability: A scoping study. </w:t>
      </w:r>
      <w:hyperlink r:id="rId18" w:history="1">
        <w:r w:rsidRPr="00241B3B">
          <w:rPr>
            <w:rStyle w:val="Hyperlink"/>
            <w:sz w:val="16"/>
            <w:szCs w:val="16"/>
          </w:rPr>
          <w:t>https://bridges.monash.edu/articles/report/Adaptable_housing_for_people_with_disability_in_Australia_a_scoping_study/14458563</w:t>
        </w:r>
      </w:hyperlink>
      <w:r w:rsidRPr="00241B3B">
        <w:rPr>
          <w:sz w:val="16"/>
          <w:szCs w:val="16"/>
        </w:rPr>
        <w:t xml:space="preserve"> </w:t>
      </w:r>
    </w:p>
  </w:footnote>
  <w:footnote w:id="22">
    <w:p w14:paraId="4C3BBA77" w14:textId="77777777" w:rsidR="00263CB8" w:rsidRPr="00241B3B" w:rsidRDefault="00263CB8" w:rsidP="00592F56">
      <w:pPr>
        <w:pStyle w:val="FootnoteText"/>
        <w:spacing w:before="0"/>
        <w:rPr>
          <w:sz w:val="16"/>
          <w:szCs w:val="16"/>
        </w:rPr>
      </w:pPr>
      <w:r w:rsidRPr="00241B3B">
        <w:rPr>
          <w:rStyle w:val="FootnoteReference"/>
          <w:sz w:val="16"/>
          <w:szCs w:val="16"/>
        </w:rPr>
        <w:footnoteRef/>
      </w:r>
      <w:r w:rsidRPr="00241B3B">
        <w:rPr>
          <w:sz w:val="16"/>
          <w:szCs w:val="16"/>
        </w:rPr>
        <w:t xml:space="preserve"> Homelessness Australia (2023). </w:t>
      </w:r>
      <w:r w:rsidRPr="00241B3B">
        <w:rPr>
          <w:i/>
          <w:iCs/>
          <w:sz w:val="16"/>
          <w:szCs w:val="16"/>
        </w:rPr>
        <w:t xml:space="preserve">Overstretched and overwhelmed: The strain on homelessness services. </w:t>
      </w:r>
      <w:hyperlink r:id="rId19" w:history="1">
        <w:r w:rsidRPr="00241B3B">
          <w:rPr>
            <w:rStyle w:val="Hyperlink"/>
            <w:sz w:val="16"/>
            <w:szCs w:val="16"/>
          </w:rPr>
          <w:t>https://homelessnessaustralia.org.au/housing-crisis-is-driving-surging-demand-for-homelessness-services/</w:t>
        </w:r>
      </w:hyperlink>
      <w:r w:rsidRPr="00241B3B">
        <w:rPr>
          <w:sz w:val="16"/>
          <w:szCs w:val="16"/>
        </w:rPr>
        <w:t xml:space="preserve"> </w:t>
      </w:r>
    </w:p>
  </w:footnote>
  <w:footnote w:id="23">
    <w:p w14:paraId="2A6D3DD9" w14:textId="77777777" w:rsidR="00263CB8" w:rsidRPr="00454ED7" w:rsidRDefault="00263CB8" w:rsidP="00592F56">
      <w:pPr>
        <w:pStyle w:val="FootnoteText"/>
        <w:spacing w:before="0"/>
        <w:rPr>
          <w:sz w:val="16"/>
          <w:szCs w:val="16"/>
        </w:rPr>
      </w:pPr>
      <w:r w:rsidRPr="00241B3B">
        <w:rPr>
          <w:rStyle w:val="FootnoteReference"/>
          <w:sz w:val="16"/>
          <w:szCs w:val="16"/>
        </w:rPr>
        <w:footnoteRef/>
      </w:r>
      <w:r w:rsidRPr="00241B3B">
        <w:rPr>
          <w:sz w:val="16"/>
          <w:szCs w:val="16"/>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C3ED" w14:textId="77777777" w:rsidR="00AF4139" w:rsidRPr="00241B3B" w:rsidRDefault="00AF4139" w:rsidP="00C02BFC">
    <w:pPr>
      <w:pStyle w:val="Header"/>
    </w:pPr>
  </w:p>
  <w:p w14:paraId="272C4E1D" w14:textId="77777777" w:rsidR="00AF4139" w:rsidRPr="00241B3B"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446"/>
    <w:multiLevelType w:val="hybridMultilevel"/>
    <w:tmpl w:val="D80E2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15:restartNumberingAfterBreak="0">
    <w:nsid w:val="0ADF45A8"/>
    <w:multiLevelType w:val="hybridMultilevel"/>
    <w:tmpl w:val="B65A4F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94B5E"/>
    <w:multiLevelType w:val="hybridMultilevel"/>
    <w:tmpl w:val="09A8D6C4"/>
    <w:lvl w:ilvl="0" w:tplc="71BE14EA">
      <w:start w:val="1"/>
      <w:numFmt w:val="lowerRoman"/>
      <w:lvlText w:val="(%1)"/>
      <w:lvlJc w:val="left"/>
      <w:pPr>
        <w:ind w:left="2154" w:hanging="720"/>
      </w:pPr>
      <w:rPr>
        <w:rFonts w:hint="default"/>
      </w:rPr>
    </w:lvl>
    <w:lvl w:ilvl="1" w:tplc="0C090019">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4" w15:restartNumberingAfterBreak="0">
    <w:nsid w:val="10400FEA"/>
    <w:multiLevelType w:val="hybridMultilevel"/>
    <w:tmpl w:val="79901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3F24BF"/>
    <w:multiLevelType w:val="hybridMultilevel"/>
    <w:tmpl w:val="251C191E"/>
    <w:lvl w:ilvl="0" w:tplc="0680B7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36B26DF"/>
    <w:multiLevelType w:val="hybridMultilevel"/>
    <w:tmpl w:val="A1AE03B6"/>
    <w:lvl w:ilvl="0" w:tplc="BD04C8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BD5E95"/>
    <w:multiLevelType w:val="hybridMultilevel"/>
    <w:tmpl w:val="98EC0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814C9B"/>
    <w:multiLevelType w:val="hybridMultilevel"/>
    <w:tmpl w:val="2794D50A"/>
    <w:lvl w:ilvl="0" w:tplc="0C09000F">
      <w:start w:val="1"/>
      <w:numFmt w:val="decimal"/>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9" w15:restartNumberingAfterBreak="0">
    <w:nsid w:val="1A2234C5"/>
    <w:multiLevelType w:val="hybridMultilevel"/>
    <w:tmpl w:val="3948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007392"/>
    <w:multiLevelType w:val="hybridMultilevel"/>
    <w:tmpl w:val="F154A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873497"/>
    <w:multiLevelType w:val="multilevel"/>
    <w:tmpl w:val="3F002D38"/>
    <w:name w:val="PWDA_Bullets2"/>
    <w:numStyleLink w:val="PWDABullets"/>
  </w:abstractNum>
  <w:abstractNum w:abstractNumId="12" w15:restartNumberingAfterBreak="0">
    <w:nsid w:val="1BED1B3A"/>
    <w:multiLevelType w:val="hybridMultilevel"/>
    <w:tmpl w:val="9A2E7A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C85F35"/>
    <w:multiLevelType w:val="hybridMultilevel"/>
    <w:tmpl w:val="977A9A1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4" w15:restartNumberingAfterBreak="0">
    <w:nsid w:val="1FE3006F"/>
    <w:multiLevelType w:val="hybridMultilevel"/>
    <w:tmpl w:val="04F21AA2"/>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0812844"/>
    <w:multiLevelType w:val="hybridMultilevel"/>
    <w:tmpl w:val="0618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7" w15:restartNumberingAfterBreak="0">
    <w:nsid w:val="26B40CCD"/>
    <w:multiLevelType w:val="hybridMultilevel"/>
    <w:tmpl w:val="7BC6D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E2782A"/>
    <w:multiLevelType w:val="hybridMultilevel"/>
    <w:tmpl w:val="69CC4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60705F"/>
    <w:multiLevelType w:val="hybridMultilevel"/>
    <w:tmpl w:val="8A86A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477380"/>
    <w:multiLevelType w:val="hybridMultilevel"/>
    <w:tmpl w:val="933E305A"/>
    <w:lvl w:ilvl="0" w:tplc="6480F96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3E6C4B"/>
    <w:multiLevelType w:val="hybridMultilevel"/>
    <w:tmpl w:val="78827C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AAF7B96"/>
    <w:multiLevelType w:val="hybridMultilevel"/>
    <w:tmpl w:val="FB742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E06E76"/>
    <w:multiLevelType w:val="hybridMultilevel"/>
    <w:tmpl w:val="FB5CAF68"/>
    <w:lvl w:ilvl="0" w:tplc="0C09000F">
      <w:start w:val="1"/>
      <w:numFmt w:val="decimal"/>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24" w15:restartNumberingAfterBreak="0">
    <w:nsid w:val="3E127AD0"/>
    <w:multiLevelType w:val="hybridMultilevel"/>
    <w:tmpl w:val="B65A4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5B40C1"/>
    <w:multiLevelType w:val="hybridMultilevel"/>
    <w:tmpl w:val="65E6A81E"/>
    <w:lvl w:ilvl="0" w:tplc="E6306D94">
      <w:start w:val="1"/>
      <w:numFmt w:val="lowerLetter"/>
      <w:lvlText w:val="(%1)"/>
      <w:lvlJc w:val="left"/>
      <w:pPr>
        <w:ind w:left="1074" w:hanging="360"/>
      </w:pPr>
      <w:rPr>
        <w:rFonts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519D282B"/>
    <w:multiLevelType w:val="hybridMultilevel"/>
    <w:tmpl w:val="B93263B4"/>
    <w:lvl w:ilvl="0" w:tplc="9A368970">
      <w:start w:val="1"/>
      <w:numFmt w:val="lowerRoman"/>
      <w:lvlText w:val="(%1)"/>
      <w:lvlJc w:val="left"/>
      <w:pPr>
        <w:ind w:left="2154" w:hanging="72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27" w15:restartNumberingAfterBreak="0">
    <w:nsid w:val="53274D87"/>
    <w:multiLevelType w:val="hybridMultilevel"/>
    <w:tmpl w:val="FD88E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2F075C"/>
    <w:multiLevelType w:val="hybridMultilevel"/>
    <w:tmpl w:val="15CC8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AA1B93"/>
    <w:multiLevelType w:val="hybridMultilevel"/>
    <w:tmpl w:val="0CE88F8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70A5FAA"/>
    <w:multiLevelType w:val="hybridMultilevel"/>
    <w:tmpl w:val="83A48C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57F35A46"/>
    <w:multiLevelType w:val="hybridMultilevel"/>
    <w:tmpl w:val="DB50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63007D"/>
    <w:multiLevelType w:val="hybridMultilevel"/>
    <w:tmpl w:val="D3785A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B43543F"/>
    <w:multiLevelType w:val="hybridMultilevel"/>
    <w:tmpl w:val="6D4C6C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BF582C"/>
    <w:multiLevelType w:val="hybridMultilevel"/>
    <w:tmpl w:val="887C6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6D4D2A"/>
    <w:multiLevelType w:val="hybridMultilevel"/>
    <w:tmpl w:val="7E561904"/>
    <w:lvl w:ilvl="0" w:tplc="48266E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9242EB"/>
    <w:multiLevelType w:val="hybridMultilevel"/>
    <w:tmpl w:val="06EC0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981D06"/>
    <w:multiLevelType w:val="hybridMultilevel"/>
    <w:tmpl w:val="43B27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DB710C"/>
    <w:multiLevelType w:val="hybridMultilevel"/>
    <w:tmpl w:val="5F3C1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90409E"/>
    <w:multiLevelType w:val="hybridMultilevel"/>
    <w:tmpl w:val="3AA67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033A6B"/>
    <w:multiLevelType w:val="hybridMultilevel"/>
    <w:tmpl w:val="CD46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FC1AA6"/>
    <w:multiLevelType w:val="hybridMultilevel"/>
    <w:tmpl w:val="25F23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8B370F"/>
    <w:multiLevelType w:val="hybridMultilevel"/>
    <w:tmpl w:val="F5BE2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CC55A14"/>
    <w:multiLevelType w:val="hybridMultilevel"/>
    <w:tmpl w:val="E9506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16"/>
  </w:num>
  <w:num w:numId="2" w16cid:durableId="1383677892">
    <w:abstractNumId w:val="1"/>
  </w:num>
  <w:num w:numId="3" w16cid:durableId="1588730485">
    <w:abstractNumId w:val="6"/>
  </w:num>
  <w:num w:numId="4" w16cid:durableId="1461730697">
    <w:abstractNumId w:val="44"/>
  </w:num>
  <w:num w:numId="5" w16cid:durableId="1070887488">
    <w:abstractNumId w:val="29"/>
  </w:num>
  <w:num w:numId="6" w16cid:durableId="578174227">
    <w:abstractNumId w:val="21"/>
  </w:num>
  <w:num w:numId="7" w16cid:durableId="1083335205">
    <w:abstractNumId w:val="25"/>
  </w:num>
  <w:num w:numId="8" w16cid:durableId="24601174">
    <w:abstractNumId w:val="3"/>
  </w:num>
  <w:num w:numId="9" w16cid:durableId="1460226381">
    <w:abstractNumId w:val="26"/>
  </w:num>
  <w:num w:numId="10" w16cid:durableId="954095847">
    <w:abstractNumId w:val="12"/>
  </w:num>
  <w:num w:numId="11" w16cid:durableId="1328434488">
    <w:abstractNumId w:val="35"/>
  </w:num>
  <w:num w:numId="12" w16cid:durableId="1777484728">
    <w:abstractNumId w:val="0"/>
  </w:num>
  <w:num w:numId="13" w16cid:durableId="1619290186">
    <w:abstractNumId w:val="14"/>
  </w:num>
  <w:num w:numId="14" w16cid:durableId="1490247051">
    <w:abstractNumId w:val="33"/>
  </w:num>
  <w:num w:numId="15" w16cid:durableId="1543519755">
    <w:abstractNumId w:val="37"/>
  </w:num>
  <w:num w:numId="16" w16cid:durableId="2065642673">
    <w:abstractNumId w:val="9"/>
  </w:num>
  <w:num w:numId="17" w16cid:durableId="960109042">
    <w:abstractNumId w:val="5"/>
  </w:num>
  <w:num w:numId="18" w16cid:durableId="547648822">
    <w:abstractNumId w:val="39"/>
  </w:num>
  <w:num w:numId="19" w16cid:durableId="84957844">
    <w:abstractNumId w:val="8"/>
  </w:num>
  <w:num w:numId="20" w16cid:durableId="205723360">
    <w:abstractNumId w:val="40"/>
  </w:num>
  <w:num w:numId="21" w16cid:durableId="840313530">
    <w:abstractNumId w:val="32"/>
  </w:num>
  <w:num w:numId="22" w16cid:durableId="2044749336">
    <w:abstractNumId w:val="38"/>
  </w:num>
  <w:num w:numId="23" w16cid:durableId="1292714433">
    <w:abstractNumId w:val="23"/>
  </w:num>
  <w:num w:numId="24" w16cid:durableId="1932203423">
    <w:abstractNumId w:val="17"/>
  </w:num>
  <w:num w:numId="25" w16cid:durableId="317806204">
    <w:abstractNumId w:val="13"/>
  </w:num>
  <w:num w:numId="26" w16cid:durableId="879710264">
    <w:abstractNumId w:val="19"/>
  </w:num>
  <w:num w:numId="27" w16cid:durableId="882793259">
    <w:abstractNumId w:val="27"/>
  </w:num>
  <w:num w:numId="28" w16cid:durableId="784349199">
    <w:abstractNumId w:val="28"/>
  </w:num>
  <w:num w:numId="29" w16cid:durableId="271473943">
    <w:abstractNumId w:val="7"/>
  </w:num>
  <w:num w:numId="30" w16cid:durableId="1990818344">
    <w:abstractNumId w:val="15"/>
  </w:num>
  <w:num w:numId="31" w16cid:durableId="647247236">
    <w:abstractNumId w:val="30"/>
  </w:num>
  <w:num w:numId="32" w16cid:durableId="1315184874">
    <w:abstractNumId w:val="36"/>
  </w:num>
  <w:num w:numId="33" w16cid:durableId="1598710069">
    <w:abstractNumId w:val="41"/>
  </w:num>
  <w:num w:numId="34" w16cid:durableId="205600959">
    <w:abstractNumId w:val="18"/>
  </w:num>
  <w:num w:numId="35" w16cid:durableId="824666003">
    <w:abstractNumId w:val="24"/>
  </w:num>
  <w:num w:numId="36" w16cid:durableId="1795522322">
    <w:abstractNumId w:val="22"/>
  </w:num>
  <w:num w:numId="37" w16cid:durableId="508447429">
    <w:abstractNumId w:val="10"/>
  </w:num>
  <w:num w:numId="38" w16cid:durableId="1933856252">
    <w:abstractNumId w:val="2"/>
  </w:num>
  <w:num w:numId="39" w16cid:durableId="1148009105">
    <w:abstractNumId w:val="4"/>
  </w:num>
  <w:num w:numId="40" w16cid:durableId="749084982">
    <w:abstractNumId w:val="31"/>
  </w:num>
  <w:num w:numId="41" w16cid:durableId="834802986">
    <w:abstractNumId w:val="20"/>
  </w:num>
  <w:num w:numId="42" w16cid:durableId="828178784">
    <w:abstractNumId w:val="34"/>
  </w:num>
  <w:num w:numId="43" w16cid:durableId="19607195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0422088">
    <w:abstractNumId w:val="42"/>
  </w:num>
  <w:num w:numId="45" w16cid:durableId="206534513">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D402C8"/>
    <w:rsid w:val="000006FE"/>
    <w:rsid w:val="00000E32"/>
    <w:rsid w:val="0000145B"/>
    <w:rsid w:val="00002861"/>
    <w:rsid w:val="00003077"/>
    <w:rsid w:val="00003112"/>
    <w:rsid w:val="000037B8"/>
    <w:rsid w:val="00003A55"/>
    <w:rsid w:val="00003DD0"/>
    <w:rsid w:val="0000457A"/>
    <w:rsid w:val="000045E9"/>
    <w:rsid w:val="0000635E"/>
    <w:rsid w:val="0000661F"/>
    <w:rsid w:val="00006C0A"/>
    <w:rsid w:val="00006C78"/>
    <w:rsid w:val="00007A0D"/>
    <w:rsid w:val="00007DC1"/>
    <w:rsid w:val="000107EE"/>
    <w:rsid w:val="00010F15"/>
    <w:rsid w:val="00011007"/>
    <w:rsid w:val="00011B59"/>
    <w:rsid w:val="00012D31"/>
    <w:rsid w:val="00013C30"/>
    <w:rsid w:val="00014092"/>
    <w:rsid w:val="00014E80"/>
    <w:rsid w:val="00015058"/>
    <w:rsid w:val="000152EF"/>
    <w:rsid w:val="0001574C"/>
    <w:rsid w:val="000163CD"/>
    <w:rsid w:val="000171EA"/>
    <w:rsid w:val="00017285"/>
    <w:rsid w:val="00017E0B"/>
    <w:rsid w:val="00020182"/>
    <w:rsid w:val="000205BC"/>
    <w:rsid w:val="0002151A"/>
    <w:rsid w:val="000218B9"/>
    <w:rsid w:val="0002294E"/>
    <w:rsid w:val="00022B9F"/>
    <w:rsid w:val="00022E6B"/>
    <w:rsid w:val="00022F06"/>
    <w:rsid w:val="00023001"/>
    <w:rsid w:val="00023215"/>
    <w:rsid w:val="0002393D"/>
    <w:rsid w:val="00023ACE"/>
    <w:rsid w:val="00023BB4"/>
    <w:rsid w:val="00024EFE"/>
    <w:rsid w:val="000254A2"/>
    <w:rsid w:val="00025B30"/>
    <w:rsid w:val="00025D07"/>
    <w:rsid w:val="000261ED"/>
    <w:rsid w:val="00026B7F"/>
    <w:rsid w:val="00027154"/>
    <w:rsid w:val="00027C4A"/>
    <w:rsid w:val="00027EEB"/>
    <w:rsid w:val="0003018A"/>
    <w:rsid w:val="000301F8"/>
    <w:rsid w:val="00030551"/>
    <w:rsid w:val="000305F7"/>
    <w:rsid w:val="00030E4A"/>
    <w:rsid w:val="000312E9"/>
    <w:rsid w:val="00031325"/>
    <w:rsid w:val="00031A4D"/>
    <w:rsid w:val="00032DB7"/>
    <w:rsid w:val="00033909"/>
    <w:rsid w:val="00033B8D"/>
    <w:rsid w:val="00034185"/>
    <w:rsid w:val="00035F4A"/>
    <w:rsid w:val="0003619C"/>
    <w:rsid w:val="00036636"/>
    <w:rsid w:val="00036B51"/>
    <w:rsid w:val="0003779A"/>
    <w:rsid w:val="0004055B"/>
    <w:rsid w:val="00040A48"/>
    <w:rsid w:val="00041A17"/>
    <w:rsid w:val="00041E00"/>
    <w:rsid w:val="00041EB7"/>
    <w:rsid w:val="000427D2"/>
    <w:rsid w:val="00042A20"/>
    <w:rsid w:val="00042B6E"/>
    <w:rsid w:val="00042C20"/>
    <w:rsid w:val="00043A08"/>
    <w:rsid w:val="00043E96"/>
    <w:rsid w:val="00044041"/>
    <w:rsid w:val="00044916"/>
    <w:rsid w:val="00045BF3"/>
    <w:rsid w:val="000470F4"/>
    <w:rsid w:val="00050733"/>
    <w:rsid w:val="00051330"/>
    <w:rsid w:val="00052003"/>
    <w:rsid w:val="00052035"/>
    <w:rsid w:val="0005232A"/>
    <w:rsid w:val="00052779"/>
    <w:rsid w:val="000529ED"/>
    <w:rsid w:val="000537AD"/>
    <w:rsid w:val="00053D40"/>
    <w:rsid w:val="00055A0A"/>
    <w:rsid w:val="00057179"/>
    <w:rsid w:val="000574B0"/>
    <w:rsid w:val="00057E44"/>
    <w:rsid w:val="00060182"/>
    <w:rsid w:val="00060AC5"/>
    <w:rsid w:val="00060C05"/>
    <w:rsid w:val="00060D99"/>
    <w:rsid w:val="000610B9"/>
    <w:rsid w:val="00061A1F"/>
    <w:rsid w:val="000623B8"/>
    <w:rsid w:val="00062A74"/>
    <w:rsid w:val="00063604"/>
    <w:rsid w:val="000653AC"/>
    <w:rsid w:val="00065454"/>
    <w:rsid w:val="00065E83"/>
    <w:rsid w:val="00066521"/>
    <w:rsid w:val="00067117"/>
    <w:rsid w:val="00067167"/>
    <w:rsid w:val="00067E9A"/>
    <w:rsid w:val="000708AB"/>
    <w:rsid w:val="00070CF8"/>
    <w:rsid w:val="00070E09"/>
    <w:rsid w:val="0007180E"/>
    <w:rsid w:val="00072059"/>
    <w:rsid w:val="000720F7"/>
    <w:rsid w:val="000721E2"/>
    <w:rsid w:val="00072238"/>
    <w:rsid w:val="000722D4"/>
    <w:rsid w:val="00073425"/>
    <w:rsid w:val="00073BED"/>
    <w:rsid w:val="00074417"/>
    <w:rsid w:val="000761B7"/>
    <w:rsid w:val="000761C2"/>
    <w:rsid w:val="00077001"/>
    <w:rsid w:val="00077369"/>
    <w:rsid w:val="000776F9"/>
    <w:rsid w:val="0008001A"/>
    <w:rsid w:val="0008011D"/>
    <w:rsid w:val="0008014F"/>
    <w:rsid w:val="000808F3"/>
    <w:rsid w:val="00081B67"/>
    <w:rsid w:val="00082226"/>
    <w:rsid w:val="00082968"/>
    <w:rsid w:val="00085087"/>
    <w:rsid w:val="000854A6"/>
    <w:rsid w:val="0008589B"/>
    <w:rsid w:val="00085E48"/>
    <w:rsid w:val="00086537"/>
    <w:rsid w:val="00087107"/>
    <w:rsid w:val="0008782D"/>
    <w:rsid w:val="00090388"/>
    <w:rsid w:val="0009040B"/>
    <w:rsid w:val="000908CC"/>
    <w:rsid w:val="00090B99"/>
    <w:rsid w:val="00090F8C"/>
    <w:rsid w:val="00091567"/>
    <w:rsid w:val="00091A63"/>
    <w:rsid w:val="0009359A"/>
    <w:rsid w:val="000935B5"/>
    <w:rsid w:val="000952BC"/>
    <w:rsid w:val="0009533C"/>
    <w:rsid w:val="0009555A"/>
    <w:rsid w:val="00096769"/>
    <w:rsid w:val="00096912"/>
    <w:rsid w:val="00096E73"/>
    <w:rsid w:val="00097197"/>
    <w:rsid w:val="000971CC"/>
    <w:rsid w:val="00097261"/>
    <w:rsid w:val="000A0030"/>
    <w:rsid w:val="000A128B"/>
    <w:rsid w:val="000A28CA"/>
    <w:rsid w:val="000A3568"/>
    <w:rsid w:val="000A3A77"/>
    <w:rsid w:val="000A3EA3"/>
    <w:rsid w:val="000A4B6F"/>
    <w:rsid w:val="000A5BF6"/>
    <w:rsid w:val="000A6247"/>
    <w:rsid w:val="000A6288"/>
    <w:rsid w:val="000A649C"/>
    <w:rsid w:val="000A6A7B"/>
    <w:rsid w:val="000A7186"/>
    <w:rsid w:val="000B091D"/>
    <w:rsid w:val="000B13EC"/>
    <w:rsid w:val="000B16B3"/>
    <w:rsid w:val="000B16E6"/>
    <w:rsid w:val="000B1703"/>
    <w:rsid w:val="000B1802"/>
    <w:rsid w:val="000B264C"/>
    <w:rsid w:val="000B2AD2"/>
    <w:rsid w:val="000B326F"/>
    <w:rsid w:val="000B4373"/>
    <w:rsid w:val="000B5D63"/>
    <w:rsid w:val="000B603E"/>
    <w:rsid w:val="000B7051"/>
    <w:rsid w:val="000B7CA1"/>
    <w:rsid w:val="000B7E7D"/>
    <w:rsid w:val="000C020F"/>
    <w:rsid w:val="000C147C"/>
    <w:rsid w:val="000C1F63"/>
    <w:rsid w:val="000C20F4"/>
    <w:rsid w:val="000C36D0"/>
    <w:rsid w:val="000C37EF"/>
    <w:rsid w:val="000C47EF"/>
    <w:rsid w:val="000C564A"/>
    <w:rsid w:val="000C580A"/>
    <w:rsid w:val="000C6881"/>
    <w:rsid w:val="000C7C2F"/>
    <w:rsid w:val="000D05D9"/>
    <w:rsid w:val="000D07C9"/>
    <w:rsid w:val="000D0D91"/>
    <w:rsid w:val="000D12DE"/>
    <w:rsid w:val="000D1480"/>
    <w:rsid w:val="000D25AD"/>
    <w:rsid w:val="000D27C9"/>
    <w:rsid w:val="000D521D"/>
    <w:rsid w:val="000D525D"/>
    <w:rsid w:val="000D62AD"/>
    <w:rsid w:val="000D6DDD"/>
    <w:rsid w:val="000D7181"/>
    <w:rsid w:val="000D7B71"/>
    <w:rsid w:val="000D7D2D"/>
    <w:rsid w:val="000E07A7"/>
    <w:rsid w:val="000E0BB7"/>
    <w:rsid w:val="000E12B5"/>
    <w:rsid w:val="000E1570"/>
    <w:rsid w:val="000E1F09"/>
    <w:rsid w:val="000E2258"/>
    <w:rsid w:val="000E2282"/>
    <w:rsid w:val="000E259B"/>
    <w:rsid w:val="000E296B"/>
    <w:rsid w:val="000E35FD"/>
    <w:rsid w:val="000E393A"/>
    <w:rsid w:val="000E3CEE"/>
    <w:rsid w:val="000E40FA"/>
    <w:rsid w:val="000E42F6"/>
    <w:rsid w:val="000E4608"/>
    <w:rsid w:val="000E54DC"/>
    <w:rsid w:val="000E5545"/>
    <w:rsid w:val="000E5820"/>
    <w:rsid w:val="000E58F7"/>
    <w:rsid w:val="000E5E46"/>
    <w:rsid w:val="000E6AB0"/>
    <w:rsid w:val="000E7158"/>
    <w:rsid w:val="000E721A"/>
    <w:rsid w:val="000E74E4"/>
    <w:rsid w:val="000E75F5"/>
    <w:rsid w:val="000E7B96"/>
    <w:rsid w:val="000E7E32"/>
    <w:rsid w:val="000F029B"/>
    <w:rsid w:val="000F08F3"/>
    <w:rsid w:val="000F0B6A"/>
    <w:rsid w:val="000F10EF"/>
    <w:rsid w:val="000F1388"/>
    <w:rsid w:val="000F1412"/>
    <w:rsid w:val="000F165B"/>
    <w:rsid w:val="000F1694"/>
    <w:rsid w:val="000F195D"/>
    <w:rsid w:val="000F2DB7"/>
    <w:rsid w:val="000F39C2"/>
    <w:rsid w:val="000F5B34"/>
    <w:rsid w:val="000F5E47"/>
    <w:rsid w:val="000F6577"/>
    <w:rsid w:val="000F6ED1"/>
    <w:rsid w:val="000F74F3"/>
    <w:rsid w:val="000F798D"/>
    <w:rsid w:val="00100939"/>
    <w:rsid w:val="00100AF7"/>
    <w:rsid w:val="00100C16"/>
    <w:rsid w:val="00100F27"/>
    <w:rsid w:val="00101B51"/>
    <w:rsid w:val="0010226F"/>
    <w:rsid w:val="001025AE"/>
    <w:rsid w:val="00102992"/>
    <w:rsid w:val="00102EE4"/>
    <w:rsid w:val="00103300"/>
    <w:rsid w:val="001033B9"/>
    <w:rsid w:val="00103D07"/>
    <w:rsid w:val="00103D64"/>
    <w:rsid w:val="001048F2"/>
    <w:rsid w:val="00104DC5"/>
    <w:rsid w:val="001062A1"/>
    <w:rsid w:val="00106472"/>
    <w:rsid w:val="00106927"/>
    <w:rsid w:val="00106BFD"/>
    <w:rsid w:val="00107201"/>
    <w:rsid w:val="00107512"/>
    <w:rsid w:val="00107771"/>
    <w:rsid w:val="0011098F"/>
    <w:rsid w:val="00110BD2"/>
    <w:rsid w:val="00111074"/>
    <w:rsid w:val="00111254"/>
    <w:rsid w:val="00111580"/>
    <w:rsid w:val="0011164D"/>
    <w:rsid w:val="00111A56"/>
    <w:rsid w:val="00111C16"/>
    <w:rsid w:val="00112997"/>
    <w:rsid w:val="00113059"/>
    <w:rsid w:val="00113414"/>
    <w:rsid w:val="00113E7C"/>
    <w:rsid w:val="001140B6"/>
    <w:rsid w:val="001141C2"/>
    <w:rsid w:val="0011450F"/>
    <w:rsid w:val="00114AC8"/>
    <w:rsid w:val="00114CF2"/>
    <w:rsid w:val="00116CB0"/>
    <w:rsid w:val="001172A8"/>
    <w:rsid w:val="001173B3"/>
    <w:rsid w:val="00120A98"/>
    <w:rsid w:val="00120B46"/>
    <w:rsid w:val="0012251F"/>
    <w:rsid w:val="001226E3"/>
    <w:rsid w:val="0012294D"/>
    <w:rsid w:val="00122DB1"/>
    <w:rsid w:val="001230DF"/>
    <w:rsid w:val="0012328C"/>
    <w:rsid w:val="001234CE"/>
    <w:rsid w:val="00123976"/>
    <w:rsid w:val="00123F5D"/>
    <w:rsid w:val="0012411B"/>
    <w:rsid w:val="00124352"/>
    <w:rsid w:val="00125281"/>
    <w:rsid w:val="00125572"/>
    <w:rsid w:val="00126FA2"/>
    <w:rsid w:val="0012798D"/>
    <w:rsid w:val="00130422"/>
    <w:rsid w:val="00130813"/>
    <w:rsid w:val="00130DFB"/>
    <w:rsid w:val="00131C60"/>
    <w:rsid w:val="00131EBE"/>
    <w:rsid w:val="00133C7C"/>
    <w:rsid w:val="0013478A"/>
    <w:rsid w:val="0013505B"/>
    <w:rsid w:val="00135AD0"/>
    <w:rsid w:val="00136227"/>
    <w:rsid w:val="00136441"/>
    <w:rsid w:val="001366E1"/>
    <w:rsid w:val="001369F1"/>
    <w:rsid w:val="00136BC9"/>
    <w:rsid w:val="00137985"/>
    <w:rsid w:val="00137CF4"/>
    <w:rsid w:val="0014011E"/>
    <w:rsid w:val="00140561"/>
    <w:rsid w:val="00140D70"/>
    <w:rsid w:val="001411B9"/>
    <w:rsid w:val="00142071"/>
    <w:rsid w:val="001421EA"/>
    <w:rsid w:val="0014221D"/>
    <w:rsid w:val="00142358"/>
    <w:rsid w:val="001429DB"/>
    <w:rsid w:val="00143D23"/>
    <w:rsid w:val="00144826"/>
    <w:rsid w:val="00144F01"/>
    <w:rsid w:val="001455A3"/>
    <w:rsid w:val="00146C80"/>
    <w:rsid w:val="0015041C"/>
    <w:rsid w:val="00150516"/>
    <w:rsid w:val="001508ED"/>
    <w:rsid w:val="00151F96"/>
    <w:rsid w:val="00152131"/>
    <w:rsid w:val="001522AD"/>
    <w:rsid w:val="00152895"/>
    <w:rsid w:val="00152EB5"/>
    <w:rsid w:val="00153092"/>
    <w:rsid w:val="001530DE"/>
    <w:rsid w:val="00154047"/>
    <w:rsid w:val="00155D49"/>
    <w:rsid w:val="001564EF"/>
    <w:rsid w:val="00156928"/>
    <w:rsid w:val="00156CEE"/>
    <w:rsid w:val="00157132"/>
    <w:rsid w:val="00157165"/>
    <w:rsid w:val="00157757"/>
    <w:rsid w:val="00157BFE"/>
    <w:rsid w:val="00160105"/>
    <w:rsid w:val="00160A09"/>
    <w:rsid w:val="00160A2A"/>
    <w:rsid w:val="00160B2D"/>
    <w:rsid w:val="00160ECD"/>
    <w:rsid w:val="00161179"/>
    <w:rsid w:val="00162050"/>
    <w:rsid w:val="0016209B"/>
    <w:rsid w:val="00162E53"/>
    <w:rsid w:val="00163143"/>
    <w:rsid w:val="00163B21"/>
    <w:rsid w:val="00163DF2"/>
    <w:rsid w:val="0016427C"/>
    <w:rsid w:val="00164A0B"/>
    <w:rsid w:val="001654F9"/>
    <w:rsid w:val="0016616F"/>
    <w:rsid w:val="00166927"/>
    <w:rsid w:val="00166BF7"/>
    <w:rsid w:val="00167E58"/>
    <w:rsid w:val="0017098D"/>
    <w:rsid w:val="00170D58"/>
    <w:rsid w:val="00172248"/>
    <w:rsid w:val="0017280A"/>
    <w:rsid w:val="00173437"/>
    <w:rsid w:val="0017439A"/>
    <w:rsid w:val="00175367"/>
    <w:rsid w:val="001756C0"/>
    <w:rsid w:val="00176DD5"/>
    <w:rsid w:val="0017792A"/>
    <w:rsid w:val="001800F1"/>
    <w:rsid w:val="00180168"/>
    <w:rsid w:val="001802A0"/>
    <w:rsid w:val="001805F9"/>
    <w:rsid w:val="0018071F"/>
    <w:rsid w:val="00181410"/>
    <w:rsid w:val="001818A8"/>
    <w:rsid w:val="00182010"/>
    <w:rsid w:val="00182618"/>
    <w:rsid w:val="00183FAD"/>
    <w:rsid w:val="001844AB"/>
    <w:rsid w:val="0018493F"/>
    <w:rsid w:val="00184C99"/>
    <w:rsid w:val="00185075"/>
    <w:rsid w:val="00185435"/>
    <w:rsid w:val="00185BD1"/>
    <w:rsid w:val="00186551"/>
    <w:rsid w:val="0018657F"/>
    <w:rsid w:val="00190AB7"/>
    <w:rsid w:val="001926DC"/>
    <w:rsid w:val="00192B0A"/>
    <w:rsid w:val="00192BFE"/>
    <w:rsid w:val="001931C1"/>
    <w:rsid w:val="001932A1"/>
    <w:rsid w:val="001939ED"/>
    <w:rsid w:val="0019531B"/>
    <w:rsid w:val="00195CF6"/>
    <w:rsid w:val="00196BDD"/>
    <w:rsid w:val="00196FC1"/>
    <w:rsid w:val="0019713F"/>
    <w:rsid w:val="001973D2"/>
    <w:rsid w:val="00197440"/>
    <w:rsid w:val="00197854"/>
    <w:rsid w:val="00197EF2"/>
    <w:rsid w:val="001A0136"/>
    <w:rsid w:val="001A0B8F"/>
    <w:rsid w:val="001A1031"/>
    <w:rsid w:val="001A1057"/>
    <w:rsid w:val="001A151F"/>
    <w:rsid w:val="001A234B"/>
    <w:rsid w:val="001A32D3"/>
    <w:rsid w:val="001A397A"/>
    <w:rsid w:val="001A3A94"/>
    <w:rsid w:val="001A3EC5"/>
    <w:rsid w:val="001A3EF0"/>
    <w:rsid w:val="001A4D38"/>
    <w:rsid w:val="001A526A"/>
    <w:rsid w:val="001A5C7A"/>
    <w:rsid w:val="001A5E17"/>
    <w:rsid w:val="001A60E3"/>
    <w:rsid w:val="001A6198"/>
    <w:rsid w:val="001A67EB"/>
    <w:rsid w:val="001A6854"/>
    <w:rsid w:val="001A72BD"/>
    <w:rsid w:val="001A78CE"/>
    <w:rsid w:val="001A78F7"/>
    <w:rsid w:val="001A794A"/>
    <w:rsid w:val="001B0509"/>
    <w:rsid w:val="001B0696"/>
    <w:rsid w:val="001B0A96"/>
    <w:rsid w:val="001B1BC1"/>
    <w:rsid w:val="001B1E9B"/>
    <w:rsid w:val="001B1F8B"/>
    <w:rsid w:val="001B2080"/>
    <w:rsid w:val="001B2422"/>
    <w:rsid w:val="001B2A5D"/>
    <w:rsid w:val="001B3520"/>
    <w:rsid w:val="001B3611"/>
    <w:rsid w:val="001B3621"/>
    <w:rsid w:val="001B3657"/>
    <w:rsid w:val="001B45EE"/>
    <w:rsid w:val="001B4FAA"/>
    <w:rsid w:val="001B5BF7"/>
    <w:rsid w:val="001B63D5"/>
    <w:rsid w:val="001B6657"/>
    <w:rsid w:val="001B6AAA"/>
    <w:rsid w:val="001B792A"/>
    <w:rsid w:val="001C0669"/>
    <w:rsid w:val="001C07CA"/>
    <w:rsid w:val="001C11DF"/>
    <w:rsid w:val="001C2CAD"/>
    <w:rsid w:val="001C2FF0"/>
    <w:rsid w:val="001C42BB"/>
    <w:rsid w:val="001C5BAD"/>
    <w:rsid w:val="001C6892"/>
    <w:rsid w:val="001C6CC3"/>
    <w:rsid w:val="001C6D20"/>
    <w:rsid w:val="001C76E0"/>
    <w:rsid w:val="001C7979"/>
    <w:rsid w:val="001C7BEF"/>
    <w:rsid w:val="001C7EAA"/>
    <w:rsid w:val="001D037F"/>
    <w:rsid w:val="001D0EFF"/>
    <w:rsid w:val="001D1DBA"/>
    <w:rsid w:val="001D1F91"/>
    <w:rsid w:val="001D23A0"/>
    <w:rsid w:val="001D363A"/>
    <w:rsid w:val="001D39FA"/>
    <w:rsid w:val="001D4153"/>
    <w:rsid w:val="001D418B"/>
    <w:rsid w:val="001D4839"/>
    <w:rsid w:val="001D4E77"/>
    <w:rsid w:val="001D512E"/>
    <w:rsid w:val="001D51B8"/>
    <w:rsid w:val="001D5350"/>
    <w:rsid w:val="001D61FB"/>
    <w:rsid w:val="001D722D"/>
    <w:rsid w:val="001D77F3"/>
    <w:rsid w:val="001D7AB2"/>
    <w:rsid w:val="001D7D1D"/>
    <w:rsid w:val="001E0ABC"/>
    <w:rsid w:val="001E1948"/>
    <w:rsid w:val="001E1A31"/>
    <w:rsid w:val="001E1C7B"/>
    <w:rsid w:val="001E2045"/>
    <w:rsid w:val="001E22E7"/>
    <w:rsid w:val="001E24DE"/>
    <w:rsid w:val="001E2AA2"/>
    <w:rsid w:val="001E2CCE"/>
    <w:rsid w:val="001E2D73"/>
    <w:rsid w:val="001E3286"/>
    <w:rsid w:val="001E3584"/>
    <w:rsid w:val="001E3753"/>
    <w:rsid w:val="001E3F17"/>
    <w:rsid w:val="001E40A5"/>
    <w:rsid w:val="001E46E8"/>
    <w:rsid w:val="001E47D6"/>
    <w:rsid w:val="001E4ED3"/>
    <w:rsid w:val="001E5741"/>
    <w:rsid w:val="001E6248"/>
    <w:rsid w:val="001E6834"/>
    <w:rsid w:val="001E6C2F"/>
    <w:rsid w:val="001F0DAD"/>
    <w:rsid w:val="001F108D"/>
    <w:rsid w:val="001F1378"/>
    <w:rsid w:val="001F159A"/>
    <w:rsid w:val="001F17EC"/>
    <w:rsid w:val="001F2675"/>
    <w:rsid w:val="001F2821"/>
    <w:rsid w:val="001F322E"/>
    <w:rsid w:val="001F32A8"/>
    <w:rsid w:val="001F3602"/>
    <w:rsid w:val="001F4692"/>
    <w:rsid w:val="001F4F13"/>
    <w:rsid w:val="001F522A"/>
    <w:rsid w:val="001F5464"/>
    <w:rsid w:val="001F558C"/>
    <w:rsid w:val="001F5632"/>
    <w:rsid w:val="001F7002"/>
    <w:rsid w:val="001F798F"/>
    <w:rsid w:val="001F7BF2"/>
    <w:rsid w:val="0020046E"/>
    <w:rsid w:val="00200965"/>
    <w:rsid w:val="00200A97"/>
    <w:rsid w:val="00200E75"/>
    <w:rsid w:val="00201A09"/>
    <w:rsid w:val="00201AC6"/>
    <w:rsid w:val="00201AD8"/>
    <w:rsid w:val="00201E43"/>
    <w:rsid w:val="002023A6"/>
    <w:rsid w:val="002026B3"/>
    <w:rsid w:val="002033A1"/>
    <w:rsid w:val="00203A30"/>
    <w:rsid w:val="0020441A"/>
    <w:rsid w:val="00204A85"/>
    <w:rsid w:val="00204E12"/>
    <w:rsid w:val="00206A47"/>
    <w:rsid w:val="002102DC"/>
    <w:rsid w:val="002106BB"/>
    <w:rsid w:val="002108A3"/>
    <w:rsid w:val="00210C29"/>
    <w:rsid w:val="00211EB3"/>
    <w:rsid w:val="00212136"/>
    <w:rsid w:val="0021242E"/>
    <w:rsid w:val="00212D5B"/>
    <w:rsid w:val="00213494"/>
    <w:rsid w:val="00213D80"/>
    <w:rsid w:val="002145E5"/>
    <w:rsid w:val="00214BC1"/>
    <w:rsid w:val="00215411"/>
    <w:rsid w:val="00215463"/>
    <w:rsid w:val="002154EA"/>
    <w:rsid w:val="00215754"/>
    <w:rsid w:val="0021583F"/>
    <w:rsid w:val="002162A5"/>
    <w:rsid w:val="002162FA"/>
    <w:rsid w:val="002163B4"/>
    <w:rsid w:val="00216952"/>
    <w:rsid w:val="00217AA7"/>
    <w:rsid w:val="00220053"/>
    <w:rsid w:val="002205F9"/>
    <w:rsid w:val="002211C3"/>
    <w:rsid w:val="00221FA0"/>
    <w:rsid w:val="00222028"/>
    <w:rsid w:val="002230C2"/>
    <w:rsid w:val="00223A5B"/>
    <w:rsid w:val="002247B2"/>
    <w:rsid w:val="00224E16"/>
    <w:rsid w:val="00225EE4"/>
    <w:rsid w:val="00226ACA"/>
    <w:rsid w:val="002276CB"/>
    <w:rsid w:val="002310F7"/>
    <w:rsid w:val="00231147"/>
    <w:rsid w:val="0023184B"/>
    <w:rsid w:val="00231AA4"/>
    <w:rsid w:val="00231BF5"/>
    <w:rsid w:val="002324CA"/>
    <w:rsid w:val="00232893"/>
    <w:rsid w:val="00233AE9"/>
    <w:rsid w:val="00233EE4"/>
    <w:rsid w:val="00234006"/>
    <w:rsid w:val="002346D5"/>
    <w:rsid w:val="00234768"/>
    <w:rsid w:val="002352F0"/>
    <w:rsid w:val="00235FA8"/>
    <w:rsid w:val="002363D9"/>
    <w:rsid w:val="00236AFC"/>
    <w:rsid w:val="00237042"/>
    <w:rsid w:val="00237BD7"/>
    <w:rsid w:val="00237C4A"/>
    <w:rsid w:val="00240875"/>
    <w:rsid w:val="00240D2A"/>
    <w:rsid w:val="0024140A"/>
    <w:rsid w:val="00241B3B"/>
    <w:rsid w:val="00241BB5"/>
    <w:rsid w:val="00242405"/>
    <w:rsid w:val="0024256B"/>
    <w:rsid w:val="002428D9"/>
    <w:rsid w:val="00242F7D"/>
    <w:rsid w:val="0024302F"/>
    <w:rsid w:val="0024305C"/>
    <w:rsid w:val="00243342"/>
    <w:rsid w:val="00243B74"/>
    <w:rsid w:val="00243DFA"/>
    <w:rsid w:val="00243E7F"/>
    <w:rsid w:val="002446AA"/>
    <w:rsid w:val="00244D9D"/>
    <w:rsid w:val="00245028"/>
    <w:rsid w:val="00245152"/>
    <w:rsid w:val="0024528A"/>
    <w:rsid w:val="00245331"/>
    <w:rsid w:val="00245503"/>
    <w:rsid w:val="002455EA"/>
    <w:rsid w:val="00245853"/>
    <w:rsid w:val="002459BB"/>
    <w:rsid w:val="00245BC5"/>
    <w:rsid w:val="002463FA"/>
    <w:rsid w:val="0024683F"/>
    <w:rsid w:val="002468B6"/>
    <w:rsid w:val="00246C1B"/>
    <w:rsid w:val="00246DC0"/>
    <w:rsid w:val="0024755A"/>
    <w:rsid w:val="00250249"/>
    <w:rsid w:val="00250252"/>
    <w:rsid w:val="00250CE8"/>
    <w:rsid w:val="002510E2"/>
    <w:rsid w:val="00251283"/>
    <w:rsid w:val="00251B88"/>
    <w:rsid w:val="0025250D"/>
    <w:rsid w:val="00252D00"/>
    <w:rsid w:val="002552A6"/>
    <w:rsid w:val="002554B9"/>
    <w:rsid w:val="00255A0C"/>
    <w:rsid w:val="002565C8"/>
    <w:rsid w:val="0025661C"/>
    <w:rsid w:val="00256703"/>
    <w:rsid w:val="00257CE8"/>
    <w:rsid w:val="00257D97"/>
    <w:rsid w:val="00260A40"/>
    <w:rsid w:val="00261019"/>
    <w:rsid w:val="00261284"/>
    <w:rsid w:val="0026128F"/>
    <w:rsid w:val="002612B1"/>
    <w:rsid w:val="0026191E"/>
    <w:rsid w:val="00261DAF"/>
    <w:rsid w:val="00262430"/>
    <w:rsid w:val="002626F8"/>
    <w:rsid w:val="00262CC2"/>
    <w:rsid w:val="00263CB8"/>
    <w:rsid w:val="00265812"/>
    <w:rsid w:val="00265B7C"/>
    <w:rsid w:val="00266586"/>
    <w:rsid w:val="00266D22"/>
    <w:rsid w:val="002670D6"/>
    <w:rsid w:val="00267903"/>
    <w:rsid w:val="00267F31"/>
    <w:rsid w:val="002704D5"/>
    <w:rsid w:val="00270B2C"/>
    <w:rsid w:val="00270CC6"/>
    <w:rsid w:val="00270DA8"/>
    <w:rsid w:val="00270E4A"/>
    <w:rsid w:val="00271A43"/>
    <w:rsid w:val="00271CC5"/>
    <w:rsid w:val="00272DFB"/>
    <w:rsid w:val="00273040"/>
    <w:rsid w:val="002732CA"/>
    <w:rsid w:val="00273971"/>
    <w:rsid w:val="00273A1A"/>
    <w:rsid w:val="00274293"/>
    <w:rsid w:val="00275438"/>
    <w:rsid w:val="00275E16"/>
    <w:rsid w:val="00277161"/>
    <w:rsid w:val="00277F81"/>
    <w:rsid w:val="00280642"/>
    <w:rsid w:val="00280DFE"/>
    <w:rsid w:val="00281D4B"/>
    <w:rsid w:val="00282538"/>
    <w:rsid w:val="00283311"/>
    <w:rsid w:val="00283895"/>
    <w:rsid w:val="00283EEE"/>
    <w:rsid w:val="0028463D"/>
    <w:rsid w:val="00284CEB"/>
    <w:rsid w:val="002858D4"/>
    <w:rsid w:val="00285A15"/>
    <w:rsid w:val="00286470"/>
    <w:rsid w:val="002867E2"/>
    <w:rsid w:val="002868DF"/>
    <w:rsid w:val="00287131"/>
    <w:rsid w:val="00287171"/>
    <w:rsid w:val="00287464"/>
    <w:rsid w:val="002879B5"/>
    <w:rsid w:val="00287BCC"/>
    <w:rsid w:val="002906BB"/>
    <w:rsid w:val="00291020"/>
    <w:rsid w:val="002911F3"/>
    <w:rsid w:val="002915BF"/>
    <w:rsid w:val="002916E0"/>
    <w:rsid w:val="00291A98"/>
    <w:rsid w:val="0029281B"/>
    <w:rsid w:val="00292FEE"/>
    <w:rsid w:val="0029350C"/>
    <w:rsid w:val="0029355E"/>
    <w:rsid w:val="002937C8"/>
    <w:rsid w:val="00293FBC"/>
    <w:rsid w:val="00294716"/>
    <w:rsid w:val="00294973"/>
    <w:rsid w:val="00296133"/>
    <w:rsid w:val="00296AB4"/>
    <w:rsid w:val="00296AEE"/>
    <w:rsid w:val="00297533"/>
    <w:rsid w:val="002A063F"/>
    <w:rsid w:val="002A1218"/>
    <w:rsid w:val="002A18A6"/>
    <w:rsid w:val="002A1D63"/>
    <w:rsid w:val="002A2087"/>
    <w:rsid w:val="002A20DB"/>
    <w:rsid w:val="002A23DC"/>
    <w:rsid w:val="002A2ABB"/>
    <w:rsid w:val="002A2B98"/>
    <w:rsid w:val="002A376E"/>
    <w:rsid w:val="002A47AD"/>
    <w:rsid w:val="002A4BEB"/>
    <w:rsid w:val="002A4C77"/>
    <w:rsid w:val="002A4DD0"/>
    <w:rsid w:val="002A4E56"/>
    <w:rsid w:val="002A4F1A"/>
    <w:rsid w:val="002A558C"/>
    <w:rsid w:val="002A587B"/>
    <w:rsid w:val="002A607D"/>
    <w:rsid w:val="002A609D"/>
    <w:rsid w:val="002A65B9"/>
    <w:rsid w:val="002A678E"/>
    <w:rsid w:val="002A6C83"/>
    <w:rsid w:val="002A768B"/>
    <w:rsid w:val="002A793A"/>
    <w:rsid w:val="002B039E"/>
    <w:rsid w:val="002B062E"/>
    <w:rsid w:val="002B0987"/>
    <w:rsid w:val="002B0F96"/>
    <w:rsid w:val="002B114C"/>
    <w:rsid w:val="002B26FC"/>
    <w:rsid w:val="002B3C93"/>
    <w:rsid w:val="002B44C6"/>
    <w:rsid w:val="002B4A27"/>
    <w:rsid w:val="002B504D"/>
    <w:rsid w:val="002B5542"/>
    <w:rsid w:val="002B588B"/>
    <w:rsid w:val="002B5FC2"/>
    <w:rsid w:val="002B6077"/>
    <w:rsid w:val="002B6755"/>
    <w:rsid w:val="002B678F"/>
    <w:rsid w:val="002B6AD2"/>
    <w:rsid w:val="002B6DFD"/>
    <w:rsid w:val="002B6FDF"/>
    <w:rsid w:val="002B724B"/>
    <w:rsid w:val="002C1202"/>
    <w:rsid w:val="002C149A"/>
    <w:rsid w:val="002C15AD"/>
    <w:rsid w:val="002C21A9"/>
    <w:rsid w:val="002C22FE"/>
    <w:rsid w:val="002C2AA2"/>
    <w:rsid w:val="002C3A26"/>
    <w:rsid w:val="002C3C50"/>
    <w:rsid w:val="002C3F5C"/>
    <w:rsid w:val="002C4B48"/>
    <w:rsid w:val="002C584C"/>
    <w:rsid w:val="002C61E5"/>
    <w:rsid w:val="002C6A88"/>
    <w:rsid w:val="002C73A1"/>
    <w:rsid w:val="002C7486"/>
    <w:rsid w:val="002C7727"/>
    <w:rsid w:val="002C7AED"/>
    <w:rsid w:val="002C7F8C"/>
    <w:rsid w:val="002D0790"/>
    <w:rsid w:val="002D0F85"/>
    <w:rsid w:val="002D15FF"/>
    <w:rsid w:val="002D1BA4"/>
    <w:rsid w:val="002D32E8"/>
    <w:rsid w:val="002D37AF"/>
    <w:rsid w:val="002D3912"/>
    <w:rsid w:val="002D45D2"/>
    <w:rsid w:val="002D4635"/>
    <w:rsid w:val="002D46ED"/>
    <w:rsid w:val="002D4AFF"/>
    <w:rsid w:val="002D5083"/>
    <w:rsid w:val="002D5993"/>
    <w:rsid w:val="002D5A4B"/>
    <w:rsid w:val="002D5E56"/>
    <w:rsid w:val="002D75AF"/>
    <w:rsid w:val="002D7989"/>
    <w:rsid w:val="002D7D9F"/>
    <w:rsid w:val="002E0331"/>
    <w:rsid w:val="002E05E0"/>
    <w:rsid w:val="002E0B98"/>
    <w:rsid w:val="002E1E31"/>
    <w:rsid w:val="002E31F8"/>
    <w:rsid w:val="002E348E"/>
    <w:rsid w:val="002E354F"/>
    <w:rsid w:val="002E3732"/>
    <w:rsid w:val="002E4D98"/>
    <w:rsid w:val="002E526C"/>
    <w:rsid w:val="002E5DEF"/>
    <w:rsid w:val="002E61F3"/>
    <w:rsid w:val="002E69D9"/>
    <w:rsid w:val="002E78E1"/>
    <w:rsid w:val="002F0553"/>
    <w:rsid w:val="002F077E"/>
    <w:rsid w:val="002F0850"/>
    <w:rsid w:val="002F0BA8"/>
    <w:rsid w:val="002F0C87"/>
    <w:rsid w:val="002F0E2F"/>
    <w:rsid w:val="002F2253"/>
    <w:rsid w:val="002F27C1"/>
    <w:rsid w:val="002F2BF8"/>
    <w:rsid w:val="002F36D9"/>
    <w:rsid w:val="002F3731"/>
    <w:rsid w:val="002F4240"/>
    <w:rsid w:val="002F4AD8"/>
    <w:rsid w:val="002F51C3"/>
    <w:rsid w:val="002F59E3"/>
    <w:rsid w:val="002F60EC"/>
    <w:rsid w:val="002F65E8"/>
    <w:rsid w:val="002F67D3"/>
    <w:rsid w:val="002F6846"/>
    <w:rsid w:val="002F6C1E"/>
    <w:rsid w:val="002F6D28"/>
    <w:rsid w:val="002F7353"/>
    <w:rsid w:val="00300084"/>
    <w:rsid w:val="0030089A"/>
    <w:rsid w:val="00300A39"/>
    <w:rsid w:val="00300E01"/>
    <w:rsid w:val="0030231B"/>
    <w:rsid w:val="00302C5F"/>
    <w:rsid w:val="00303604"/>
    <w:rsid w:val="003045D3"/>
    <w:rsid w:val="00304682"/>
    <w:rsid w:val="00304B33"/>
    <w:rsid w:val="00304F82"/>
    <w:rsid w:val="003055AF"/>
    <w:rsid w:val="003058B9"/>
    <w:rsid w:val="00305E26"/>
    <w:rsid w:val="00306EA8"/>
    <w:rsid w:val="003074B0"/>
    <w:rsid w:val="00307582"/>
    <w:rsid w:val="00307C65"/>
    <w:rsid w:val="0031091D"/>
    <w:rsid w:val="0031228A"/>
    <w:rsid w:val="0031249C"/>
    <w:rsid w:val="00312AC2"/>
    <w:rsid w:val="00312C1E"/>
    <w:rsid w:val="003142B9"/>
    <w:rsid w:val="00315214"/>
    <w:rsid w:val="0031572A"/>
    <w:rsid w:val="003162E0"/>
    <w:rsid w:val="0031667D"/>
    <w:rsid w:val="00316786"/>
    <w:rsid w:val="00316CEE"/>
    <w:rsid w:val="00316E1E"/>
    <w:rsid w:val="00317085"/>
    <w:rsid w:val="003173B9"/>
    <w:rsid w:val="00317960"/>
    <w:rsid w:val="00320026"/>
    <w:rsid w:val="00320A93"/>
    <w:rsid w:val="00320FEA"/>
    <w:rsid w:val="00321159"/>
    <w:rsid w:val="0032156E"/>
    <w:rsid w:val="00321677"/>
    <w:rsid w:val="00321CEA"/>
    <w:rsid w:val="0032225C"/>
    <w:rsid w:val="0032262B"/>
    <w:rsid w:val="003238CC"/>
    <w:rsid w:val="00324086"/>
    <w:rsid w:val="00324A77"/>
    <w:rsid w:val="00324F23"/>
    <w:rsid w:val="00325210"/>
    <w:rsid w:val="00325AA7"/>
    <w:rsid w:val="00325CC0"/>
    <w:rsid w:val="0032665B"/>
    <w:rsid w:val="0032714F"/>
    <w:rsid w:val="00327151"/>
    <w:rsid w:val="0032749C"/>
    <w:rsid w:val="0032755D"/>
    <w:rsid w:val="003277B6"/>
    <w:rsid w:val="00327C8D"/>
    <w:rsid w:val="00330239"/>
    <w:rsid w:val="003302FC"/>
    <w:rsid w:val="00330954"/>
    <w:rsid w:val="00330F3C"/>
    <w:rsid w:val="0033130C"/>
    <w:rsid w:val="003317D2"/>
    <w:rsid w:val="0033198C"/>
    <w:rsid w:val="00331B72"/>
    <w:rsid w:val="003336BF"/>
    <w:rsid w:val="00333A2F"/>
    <w:rsid w:val="00334074"/>
    <w:rsid w:val="003346FE"/>
    <w:rsid w:val="00334A38"/>
    <w:rsid w:val="003350C0"/>
    <w:rsid w:val="003351D7"/>
    <w:rsid w:val="00335532"/>
    <w:rsid w:val="00335AEF"/>
    <w:rsid w:val="00335B4B"/>
    <w:rsid w:val="00336529"/>
    <w:rsid w:val="00336BBA"/>
    <w:rsid w:val="00337087"/>
    <w:rsid w:val="0033718B"/>
    <w:rsid w:val="0033788F"/>
    <w:rsid w:val="00340B13"/>
    <w:rsid w:val="00341121"/>
    <w:rsid w:val="00341526"/>
    <w:rsid w:val="00342054"/>
    <w:rsid w:val="00342589"/>
    <w:rsid w:val="00342C57"/>
    <w:rsid w:val="0034349D"/>
    <w:rsid w:val="003441C2"/>
    <w:rsid w:val="003447E0"/>
    <w:rsid w:val="0034558C"/>
    <w:rsid w:val="00345680"/>
    <w:rsid w:val="00345BE4"/>
    <w:rsid w:val="00345BEE"/>
    <w:rsid w:val="00345EFE"/>
    <w:rsid w:val="003469CC"/>
    <w:rsid w:val="00346DBC"/>
    <w:rsid w:val="003473D4"/>
    <w:rsid w:val="00347C4D"/>
    <w:rsid w:val="0035028A"/>
    <w:rsid w:val="003505E2"/>
    <w:rsid w:val="00350BAD"/>
    <w:rsid w:val="00350E3B"/>
    <w:rsid w:val="00351072"/>
    <w:rsid w:val="0035181A"/>
    <w:rsid w:val="00351AEA"/>
    <w:rsid w:val="003530FD"/>
    <w:rsid w:val="00353729"/>
    <w:rsid w:val="00353AA6"/>
    <w:rsid w:val="0035429B"/>
    <w:rsid w:val="00355D6D"/>
    <w:rsid w:val="00355DA0"/>
    <w:rsid w:val="00356562"/>
    <w:rsid w:val="003565D5"/>
    <w:rsid w:val="003566AC"/>
    <w:rsid w:val="00356738"/>
    <w:rsid w:val="00360C4B"/>
    <w:rsid w:val="00360F7E"/>
    <w:rsid w:val="00361235"/>
    <w:rsid w:val="0036142C"/>
    <w:rsid w:val="00361825"/>
    <w:rsid w:val="00362073"/>
    <w:rsid w:val="00362151"/>
    <w:rsid w:val="0036246B"/>
    <w:rsid w:val="0036258C"/>
    <w:rsid w:val="003642C3"/>
    <w:rsid w:val="003643A7"/>
    <w:rsid w:val="003643AB"/>
    <w:rsid w:val="00364C03"/>
    <w:rsid w:val="003650CB"/>
    <w:rsid w:val="003658C6"/>
    <w:rsid w:val="00365C9B"/>
    <w:rsid w:val="00366DF7"/>
    <w:rsid w:val="003671DA"/>
    <w:rsid w:val="00367AD7"/>
    <w:rsid w:val="00367BF8"/>
    <w:rsid w:val="00367C67"/>
    <w:rsid w:val="003704C6"/>
    <w:rsid w:val="00370628"/>
    <w:rsid w:val="003712DD"/>
    <w:rsid w:val="003720A7"/>
    <w:rsid w:val="003720CD"/>
    <w:rsid w:val="00372B17"/>
    <w:rsid w:val="00373A0D"/>
    <w:rsid w:val="003740FB"/>
    <w:rsid w:val="003746BD"/>
    <w:rsid w:val="00375017"/>
    <w:rsid w:val="003751A4"/>
    <w:rsid w:val="003756A4"/>
    <w:rsid w:val="0037635A"/>
    <w:rsid w:val="0037636E"/>
    <w:rsid w:val="00380471"/>
    <w:rsid w:val="003804EC"/>
    <w:rsid w:val="00382441"/>
    <w:rsid w:val="00382C69"/>
    <w:rsid w:val="00383A8E"/>
    <w:rsid w:val="00383DEA"/>
    <w:rsid w:val="00383E49"/>
    <w:rsid w:val="00383ED2"/>
    <w:rsid w:val="00384734"/>
    <w:rsid w:val="003849A1"/>
    <w:rsid w:val="00384DD1"/>
    <w:rsid w:val="00384F0C"/>
    <w:rsid w:val="00385DDC"/>
    <w:rsid w:val="003860BF"/>
    <w:rsid w:val="0038611F"/>
    <w:rsid w:val="00386F7B"/>
    <w:rsid w:val="0038774D"/>
    <w:rsid w:val="003879BD"/>
    <w:rsid w:val="00390C34"/>
    <w:rsid w:val="00390F77"/>
    <w:rsid w:val="00391D27"/>
    <w:rsid w:val="00392404"/>
    <w:rsid w:val="003926AF"/>
    <w:rsid w:val="0039301B"/>
    <w:rsid w:val="003932A8"/>
    <w:rsid w:val="003932E7"/>
    <w:rsid w:val="00393D4F"/>
    <w:rsid w:val="00393F1B"/>
    <w:rsid w:val="00394360"/>
    <w:rsid w:val="00394FFD"/>
    <w:rsid w:val="00395F1F"/>
    <w:rsid w:val="003962EC"/>
    <w:rsid w:val="003966E5"/>
    <w:rsid w:val="0039673E"/>
    <w:rsid w:val="00396DD8"/>
    <w:rsid w:val="003978C2"/>
    <w:rsid w:val="00397DA9"/>
    <w:rsid w:val="003A001E"/>
    <w:rsid w:val="003A004D"/>
    <w:rsid w:val="003A05F9"/>
    <w:rsid w:val="003A08C5"/>
    <w:rsid w:val="003A0AA2"/>
    <w:rsid w:val="003A0AEB"/>
    <w:rsid w:val="003A0CD2"/>
    <w:rsid w:val="003A1451"/>
    <w:rsid w:val="003A178A"/>
    <w:rsid w:val="003A253F"/>
    <w:rsid w:val="003A40FD"/>
    <w:rsid w:val="003A4741"/>
    <w:rsid w:val="003A49C6"/>
    <w:rsid w:val="003A4C23"/>
    <w:rsid w:val="003A4E7D"/>
    <w:rsid w:val="003A53F7"/>
    <w:rsid w:val="003A5C67"/>
    <w:rsid w:val="003A60A6"/>
    <w:rsid w:val="003A62AA"/>
    <w:rsid w:val="003A729B"/>
    <w:rsid w:val="003A7985"/>
    <w:rsid w:val="003A7E36"/>
    <w:rsid w:val="003B00D8"/>
    <w:rsid w:val="003B0491"/>
    <w:rsid w:val="003B0499"/>
    <w:rsid w:val="003B0C55"/>
    <w:rsid w:val="003B1086"/>
    <w:rsid w:val="003B1A7D"/>
    <w:rsid w:val="003B1C31"/>
    <w:rsid w:val="003B21AD"/>
    <w:rsid w:val="003B2C86"/>
    <w:rsid w:val="003B2EA2"/>
    <w:rsid w:val="003B568E"/>
    <w:rsid w:val="003B58D5"/>
    <w:rsid w:val="003B5BE9"/>
    <w:rsid w:val="003B5C17"/>
    <w:rsid w:val="003B645A"/>
    <w:rsid w:val="003B6472"/>
    <w:rsid w:val="003B772A"/>
    <w:rsid w:val="003C0C35"/>
    <w:rsid w:val="003C1241"/>
    <w:rsid w:val="003C17CC"/>
    <w:rsid w:val="003C1AD3"/>
    <w:rsid w:val="003C1E41"/>
    <w:rsid w:val="003C1F67"/>
    <w:rsid w:val="003C225A"/>
    <w:rsid w:val="003C259A"/>
    <w:rsid w:val="003C3319"/>
    <w:rsid w:val="003C3976"/>
    <w:rsid w:val="003C3A3A"/>
    <w:rsid w:val="003C3A7B"/>
    <w:rsid w:val="003C3B04"/>
    <w:rsid w:val="003C4198"/>
    <w:rsid w:val="003C4482"/>
    <w:rsid w:val="003C4AD7"/>
    <w:rsid w:val="003C4FDF"/>
    <w:rsid w:val="003C56A4"/>
    <w:rsid w:val="003C5899"/>
    <w:rsid w:val="003C682D"/>
    <w:rsid w:val="003C7CBD"/>
    <w:rsid w:val="003D09BE"/>
    <w:rsid w:val="003D0F30"/>
    <w:rsid w:val="003D1D3E"/>
    <w:rsid w:val="003D1E46"/>
    <w:rsid w:val="003D201A"/>
    <w:rsid w:val="003D2105"/>
    <w:rsid w:val="003D3288"/>
    <w:rsid w:val="003D38CD"/>
    <w:rsid w:val="003D38D6"/>
    <w:rsid w:val="003D3C89"/>
    <w:rsid w:val="003D5880"/>
    <w:rsid w:val="003D5BA1"/>
    <w:rsid w:val="003D5E07"/>
    <w:rsid w:val="003D64EC"/>
    <w:rsid w:val="003D666B"/>
    <w:rsid w:val="003D761B"/>
    <w:rsid w:val="003E0B93"/>
    <w:rsid w:val="003E0BB4"/>
    <w:rsid w:val="003E1792"/>
    <w:rsid w:val="003E1C69"/>
    <w:rsid w:val="003E26AD"/>
    <w:rsid w:val="003E2756"/>
    <w:rsid w:val="003E31D7"/>
    <w:rsid w:val="003E324D"/>
    <w:rsid w:val="003E4E74"/>
    <w:rsid w:val="003E5486"/>
    <w:rsid w:val="003E5C18"/>
    <w:rsid w:val="003E668A"/>
    <w:rsid w:val="003E6C7A"/>
    <w:rsid w:val="003E6D09"/>
    <w:rsid w:val="003E711C"/>
    <w:rsid w:val="003F066F"/>
    <w:rsid w:val="003F06FE"/>
    <w:rsid w:val="003F0934"/>
    <w:rsid w:val="003F12A2"/>
    <w:rsid w:val="003F1312"/>
    <w:rsid w:val="003F1A36"/>
    <w:rsid w:val="003F1B81"/>
    <w:rsid w:val="003F1B9A"/>
    <w:rsid w:val="003F1E69"/>
    <w:rsid w:val="003F2267"/>
    <w:rsid w:val="003F2616"/>
    <w:rsid w:val="003F2D3E"/>
    <w:rsid w:val="003F3BA0"/>
    <w:rsid w:val="003F3C43"/>
    <w:rsid w:val="003F46A5"/>
    <w:rsid w:val="003F488C"/>
    <w:rsid w:val="003F49AA"/>
    <w:rsid w:val="003F519B"/>
    <w:rsid w:val="003F5E46"/>
    <w:rsid w:val="003F6E47"/>
    <w:rsid w:val="003F782E"/>
    <w:rsid w:val="003F7AC3"/>
    <w:rsid w:val="003F7C06"/>
    <w:rsid w:val="004005C2"/>
    <w:rsid w:val="00400715"/>
    <w:rsid w:val="004007D3"/>
    <w:rsid w:val="00400B7F"/>
    <w:rsid w:val="00400E57"/>
    <w:rsid w:val="00401CAC"/>
    <w:rsid w:val="00402196"/>
    <w:rsid w:val="00402526"/>
    <w:rsid w:val="00402B62"/>
    <w:rsid w:val="004033EF"/>
    <w:rsid w:val="00403837"/>
    <w:rsid w:val="004038C9"/>
    <w:rsid w:val="00403AA6"/>
    <w:rsid w:val="00403EC9"/>
    <w:rsid w:val="004054E9"/>
    <w:rsid w:val="004064A9"/>
    <w:rsid w:val="00406782"/>
    <w:rsid w:val="004069AD"/>
    <w:rsid w:val="00406B7D"/>
    <w:rsid w:val="00410095"/>
    <w:rsid w:val="004108F7"/>
    <w:rsid w:val="00410E04"/>
    <w:rsid w:val="00411400"/>
    <w:rsid w:val="004117B3"/>
    <w:rsid w:val="004120D7"/>
    <w:rsid w:val="00413FFB"/>
    <w:rsid w:val="004145E1"/>
    <w:rsid w:val="00414752"/>
    <w:rsid w:val="00414917"/>
    <w:rsid w:val="00414A35"/>
    <w:rsid w:val="00415B6B"/>
    <w:rsid w:val="0041611E"/>
    <w:rsid w:val="0041684E"/>
    <w:rsid w:val="00417146"/>
    <w:rsid w:val="00417DEA"/>
    <w:rsid w:val="004205C4"/>
    <w:rsid w:val="00420675"/>
    <w:rsid w:val="00421771"/>
    <w:rsid w:val="00421A30"/>
    <w:rsid w:val="00421B60"/>
    <w:rsid w:val="00421F6F"/>
    <w:rsid w:val="00422494"/>
    <w:rsid w:val="004224C9"/>
    <w:rsid w:val="00423D4B"/>
    <w:rsid w:val="00423F41"/>
    <w:rsid w:val="004242D9"/>
    <w:rsid w:val="00424471"/>
    <w:rsid w:val="00424607"/>
    <w:rsid w:val="00424631"/>
    <w:rsid w:val="004249CA"/>
    <w:rsid w:val="0042553A"/>
    <w:rsid w:val="004262BB"/>
    <w:rsid w:val="004263B7"/>
    <w:rsid w:val="00426442"/>
    <w:rsid w:val="00427425"/>
    <w:rsid w:val="0042796D"/>
    <w:rsid w:val="004279EF"/>
    <w:rsid w:val="00427BD4"/>
    <w:rsid w:val="00427E49"/>
    <w:rsid w:val="00430DEA"/>
    <w:rsid w:val="00430DF7"/>
    <w:rsid w:val="00431EF1"/>
    <w:rsid w:val="00432A37"/>
    <w:rsid w:val="004330C3"/>
    <w:rsid w:val="00433E61"/>
    <w:rsid w:val="00434388"/>
    <w:rsid w:val="004345A5"/>
    <w:rsid w:val="00434FE4"/>
    <w:rsid w:val="004354A7"/>
    <w:rsid w:val="0043589F"/>
    <w:rsid w:val="0043638D"/>
    <w:rsid w:val="00436466"/>
    <w:rsid w:val="004370E9"/>
    <w:rsid w:val="0043743E"/>
    <w:rsid w:val="0043771C"/>
    <w:rsid w:val="00437970"/>
    <w:rsid w:val="00440484"/>
    <w:rsid w:val="00440A6F"/>
    <w:rsid w:val="00440B8A"/>
    <w:rsid w:val="0044122A"/>
    <w:rsid w:val="00441823"/>
    <w:rsid w:val="004426EC"/>
    <w:rsid w:val="00443493"/>
    <w:rsid w:val="00443754"/>
    <w:rsid w:val="004442FF"/>
    <w:rsid w:val="00444D3A"/>
    <w:rsid w:val="00444D75"/>
    <w:rsid w:val="004455E7"/>
    <w:rsid w:val="00445ADE"/>
    <w:rsid w:val="00445AEC"/>
    <w:rsid w:val="00446172"/>
    <w:rsid w:val="00446683"/>
    <w:rsid w:val="004473FF"/>
    <w:rsid w:val="004478BB"/>
    <w:rsid w:val="00447D23"/>
    <w:rsid w:val="0045046B"/>
    <w:rsid w:val="004510A9"/>
    <w:rsid w:val="004513F9"/>
    <w:rsid w:val="00451A6D"/>
    <w:rsid w:val="00451ACA"/>
    <w:rsid w:val="00451DE2"/>
    <w:rsid w:val="0045277E"/>
    <w:rsid w:val="00452E67"/>
    <w:rsid w:val="0045379B"/>
    <w:rsid w:val="00453957"/>
    <w:rsid w:val="004540AB"/>
    <w:rsid w:val="0045417B"/>
    <w:rsid w:val="00454748"/>
    <w:rsid w:val="00454B5C"/>
    <w:rsid w:val="00454ED7"/>
    <w:rsid w:val="0045548E"/>
    <w:rsid w:val="00455C05"/>
    <w:rsid w:val="00456768"/>
    <w:rsid w:val="00456831"/>
    <w:rsid w:val="00457171"/>
    <w:rsid w:val="004577B6"/>
    <w:rsid w:val="004601B9"/>
    <w:rsid w:val="00460410"/>
    <w:rsid w:val="00460A77"/>
    <w:rsid w:val="00461651"/>
    <w:rsid w:val="00461A05"/>
    <w:rsid w:val="0046233C"/>
    <w:rsid w:val="0046304E"/>
    <w:rsid w:val="004632B6"/>
    <w:rsid w:val="004637D5"/>
    <w:rsid w:val="0046384C"/>
    <w:rsid w:val="00463CDF"/>
    <w:rsid w:val="00463F79"/>
    <w:rsid w:val="00463FD0"/>
    <w:rsid w:val="0046486D"/>
    <w:rsid w:val="00464D81"/>
    <w:rsid w:val="00464F2E"/>
    <w:rsid w:val="00465230"/>
    <w:rsid w:val="004653EE"/>
    <w:rsid w:val="00465563"/>
    <w:rsid w:val="00466007"/>
    <w:rsid w:val="00466262"/>
    <w:rsid w:val="004663F8"/>
    <w:rsid w:val="004665F1"/>
    <w:rsid w:val="00467151"/>
    <w:rsid w:val="00467295"/>
    <w:rsid w:val="004676C1"/>
    <w:rsid w:val="00467A02"/>
    <w:rsid w:val="004701A8"/>
    <w:rsid w:val="00470C65"/>
    <w:rsid w:val="004712EA"/>
    <w:rsid w:val="00471812"/>
    <w:rsid w:val="00472209"/>
    <w:rsid w:val="004722F4"/>
    <w:rsid w:val="004725F0"/>
    <w:rsid w:val="00472694"/>
    <w:rsid w:val="00472B5D"/>
    <w:rsid w:val="00472F7A"/>
    <w:rsid w:val="004735D8"/>
    <w:rsid w:val="00473987"/>
    <w:rsid w:val="00473CFE"/>
    <w:rsid w:val="00474972"/>
    <w:rsid w:val="00474C16"/>
    <w:rsid w:val="00474CD7"/>
    <w:rsid w:val="00474DF7"/>
    <w:rsid w:val="004752B8"/>
    <w:rsid w:val="004760D6"/>
    <w:rsid w:val="004763DC"/>
    <w:rsid w:val="00476625"/>
    <w:rsid w:val="00476EAC"/>
    <w:rsid w:val="0047720E"/>
    <w:rsid w:val="00477340"/>
    <w:rsid w:val="004777B8"/>
    <w:rsid w:val="00477C17"/>
    <w:rsid w:val="00480221"/>
    <w:rsid w:val="004807D8"/>
    <w:rsid w:val="00480C11"/>
    <w:rsid w:val="00480F4B"/>
    <w:rsid w:val="00480FE1"/>
    <w:rsid w:val="00481070"/>
    <w:rsid w:val="004815C9"/>
    <w:rsid w:val="00481633"/>
    <w:rsid w:val="00482201"/>
    <w:rsid w:val="004835C9"/>
    <w:rsid w:val="004836AF"/>
    <w:rsid w:val="00484473"/>
    <w:rsid w:val="004852AF"/>
    <w:rsid w:val="004865A0"/>
    <w:rsid w:val="0048670D"/>
    <w:rsid w:val="004869C9"/>
    <w:rsid w:val="00486D8F"/>
    <w:rsid w:val="0048765D"/>
    <w:rsid w:val="00487E81"/>
    <w:rsid w:val="00487EA9"/>
    <w:rsid w:val="00490864"/>
    <w:rsid w:val="00492CA3"/>
    <w:rsid w:val="00492F86"/>
    <w:rsid w:val="004953A0"/>
    <w:rsid w:val="00495EC0"/>
    <w:rsid w:val="00497143"/>
    <w:rsid w:val="004976D2"/>
    <w:rsid w:val="004976EC"/>
    <w:rsid w:val="0049780D"/>
    <w:rsid w:val="004A0538"/>
    <w:rsid w:val="004A097D"/>
    <w:rsid w:val="004A158C"/>
    <w:rsid w:val="004A1A0B"/>
    <w:rsid w:val="004A1FFE"/>
    <w:rsid w:val="004A2035"/>
    <w:rsid w:val="004A206E"/>
    <w:rsid w:val="004A29B4"/>
    <w:rsid w:val="004A38CD"/>
    <w:rsid w:val="004A4AA5"/>
    <w:rsid w:val="004A4C95"/>
    <w:rsid w:val="004A5330"/>
    <w:rsid w:val="004A5CB6"/>
    <w:rsid w:val="004A6F31"/>
    <w:rsid w:val="004A79F5"/>
    <w:rsid w:val="004A7BB9"/>
    <w:rsid w:val="004A7CAB"/>
    <w:rsid w:val="004B0072"/>
    <w:rsid w:val="004B063C"/>
    <w:rsid w:val="004B08EE"/>
    <w:rsid w:val="004B0CC2"/>
    <w:rsid w:val="004B1751"/>
    <w:rsid w:val="004B196A"/>
    <w:rsid w:val="004B202C"/>
    <w:rsid w:val="004B2179"/>
    <w:rsid w:val="004B2655"/>
    <w:rsid w:val="004B28E6"/>
    <w:rsid w:val="004B32C9"/>
    <w:rsid w:val="004B39CB"/>
    <w:rsid w:val="004B418D"/>
    <w:rsid w:val="004B43AC"/>
    <w:rsid w:val="004B4BE3"/>
    <w:rsid w:val="004B4CC9"/>
    <w:rsid w:val="004B4E74"/>
    <w:rsid w:val="004B4F17"/>
    <w:rsid w:val="004B568F"/>
    <w:rsid w:val="004B5864"/>
    <w:rsid w:val="004B5C80"/>
    <w:rsid w:val="004B6792"/>
    <w:rsid w:val="004B691A"/>
    <w:rsid w:val="004B6C1A"/>
    <w:rsid w:val="004B732A"/>
    <w:rsid w:val="004B7E3D"/>
    <w:rsid w:val="004C1D54"/>
    <w:rsid w:val="004C235E"/>
    <w:rsid w:val="004C2FB2"/>
    <w:rsid w:val="004C3EF7"/>
    <w:rsid w:val="004C45DA"/>
    <w:rsid w:val="004C4B79"/>
    <w:rsid w:val="004C54D6"/>
    <w:rsid w:val="004C5976"/>
    <w:rsid w:val="004C5B8F"/>
    <w:rsid w:val="004C5BF6"/>
    <w:rsid w:val="004C6549"/>
    <w:rsid w:val="004C66A6"/>
    <w:rsid w:val="004C691E"/>
    <w:rsid w:val="004C6B62"/>
    <w:rsid w:val="004C71E5"/>
    <w:rsid w:val="004C7B0B"/>
    <w:rsid w:val="004C7CD1"/>
    <w:rsid w:val="004D0056"/>
    <w:rsid w:val="004D068E"/>
    <w:rsid w:val="004D1FA3"/>
    <w:rsid w:val="004D2242"/>
    <w:rsid w:val="004D2A18"/>
    <w:rsid w:val="004D2D71"/>
    <w:rsid w:val="004D2DF7"/>
    <w:rsid w:val="004D3659"/>
    <w:rsid w:val="004D39B5"/>
    <w:rsid w:val="004D3E95"/>
    <w:rsid w:val="004D4221"/>
    <w:rsid w:val="004D4A75"/>
    <w:rsid w:val="004D4A9B"/>
    <w:rsid w:val="004D4C35"/>
    <w:rsid w:val="004D6957"/>
    <w:rsid w:val="004D6C8A"/>
    <w:rsid w:val="004D6EE8"/>
    <w:rsid w:val="004D7717"/>
    <w:rsid w:val="004D7774"/>
    <w:rsid w:val="004D7EEE"/>
    <w:rsid w:val="004E04A8"/>
    <w:rsid w:val="004E06AA"/>
    <w:rsid w:val="004E0D9B"/>
    <w:rsid w:val="004E1878"/>
    <w:rsid w:val="004E2EA9"/>
    <w:rsid w:val="004E2EAA"/>
    <w:rsid w:val="004E2ECF"/>
    <w:rsid w:val="004E62D8"/>
    <w:rsid w:val="004E6C4A"/>
    <w:rsid w:val="004E6F29"/>
    <w:rsid w:val="004E7375"/>
    <w:rsid w:val="004E7BBE"/>
    <w:rsid w:val="004E7E45"/>
    <w:rsid w:val="004E7EB7"/>
    <w:rsid w:val="004F0489"/>
    <w:rsid w:val="004F08A3"/>
    <w:rsid w:val="004F0D3E"/>
    <w:rsid w:val="004F0DDE"/>
    <w:rsid w:val="004F1184"/>
    <w:rsid w:val="004F1214"/>
    <w:rsid w:val="004F13BA"/>
    <w:rsid w:val="004F1409"/>
    <w:rsid w:val="004F1900"/>
    <w:rsid w:val="004F1B00"/>
    <w:rsid w:val="004F2145"/>
    <w:rsid w:val="004F22F2"/>
    <w:rsid w:val="004F2755"/>
    <w:rsid w:val="004F2D0E"/>
    <w:rsid w:val="004F2FA9"/>
    <w:rsid w:val="004F30CA"/>
    <w:rsid w:val="004F3CD9"/>
    <w:rsid w:val="004F57CA"/>
    <w:rsid w:val="004F5AB8"/>
    <w:rsid w:val="004F5AE4"/>
    <w:rsid w:val="004F7069"/>
    <w:rsid w:val="004F7481"/>
    <w:rsid w:val="004F74AD"/>
    <w:rsid w:val="0050026A"/>
    <w:rsid w:val="00500955"/>
    <w:rsid w:val="00500DFA"/>
    <w:rsid w:val="00500F25"/>
    <w:rsid w:val="005017B0"/>
    <w:rsid w:val="005031A8"/>
    <w:rsid w:val="0050350F"/>
    <w:rsid w:val="00503FAF"/>
    <w:rsid w:val="00504AAC"/>
    <w:rsid w:val="00504D80"/>
    <w:rsid w:val="00504EC1"/>
    <w:rsid w:val="005050AA"/>
    <w:rsid w:val="0050672C"/>
    <w:rsid w:val="0050703D"/>
    <w:rsid w:val="005070D8"/>
    <w:rsid w:val="00507CB2"/>
    <w:rsid w:val="00510086"/>
    <w:rsid w:val="005102C2"/>
    <w:rsid w:val="005103E5"/>
    <w:rsid w:val="005114D4"/>
    <w:rsid w:val="00511779"/>
    <w:rsid w:val="005119D1"/>
    <w:rsid w:val="00511F73"/>
    <w:rsid w:val="005133D3"/>
    <w:rsid w:val="0051416D"/>
    <w:rsid w:val="005146A7"/>
    <w:rsid w:val="00514CFF"/>
    <w:rsid w:val="0051554B"/>
    <w:rsid w:val="0051585A"/>
    <w:rsid w:val="005169C7"/>
    <w:rsid w:val="005175ED"/>
    <w:rsid w:val="00517B70"/>
    <w:rsid w:val="005204C6"/>
    <w:rsid w:val="00520559"/>
    <w:rsid w:val="00520683"/>
    <w:rsid w:val="00521552"/>
    <w:rsid w:val="005217B0"/>
    <w:rsid w:val="00521981"/>
    <w:rsid w:val="00521B12"/>
    <w:rsid w:val="00521E7E"/>
    <w:rsid w:val="005239C6"/>
    <w:rsid w:val="00523CF0"/>
    <w:rsid w:val="00523ED7"/>
    <w:rsid w:val="005240B1"/>
    <w:rsid w:val="00524CDE"/>
    <w:rsid w:val="005250C5"/>
    <w:rsid w:val="00525720"/>
    <w:rsid w:val="005266EB"/>
    <w:rsid w:val="00526D97"/>
    <w:rsid w:val="0052749F"/>
    <w:rsid w:val="0052761B"/>
    <w:rsid w:val="00527896"/>
    <w:rsid w:val="00527C00"/>
    <w:rsid w:val="00530333"/>
    <w:rsid w:val="00530664"/>
    <w:rsid w:val="00530C5B"/>
    <w:rsid w:val="00530CC4"/>
    <w:rsid w:val="00530E92"/>
    <w:rsid w:val="005315EE"/>
    <w:rsid w:val="00531682"/>
    <w:rsid w:val="005327BD"/>
    <w:rsid w:val="005334ED"/>
    <w:rsid w:val="00534294"/>
    <w:rsid w:val="00534BBB"/>
    <w:rsid w:val="0053576E"/>
    <w:rsid w:val="00536BDB"/>
    <w:rsid w:val="00536DC9"/>
    <w:rsid w:val="00537015"/>
    <w:rsid w:val="0053774A"/>
    <w:rsid w:val="00537FCB"/>
    <w:rsid w:val="00540118"/>
    <w:rsid w:val="00540DA4"/>
    <w:rsid w:val="00541289"/>
    <w:rsid w:val="00541AE0"/>
    <w:rsid w:val="00541F6C"/>
    <w:rsid w:val="00542657"/>
    <w:rsid w:val="00543A99"/>
    <w:rsid w:val="00543E69"/>
    <w:rsid w:val="005442F2"/>
    <w:rsid w:val="00545337"/>
    <w:rsid w:val="0054562E"/>
    <w:rsid w:val="0054640D"/>
    <w:rsid w:val="00546873"/>
    <w:rsid w:val="00546B2A"/>
    <w:rsid w:val="0055011C"/>
    <w:rsid w:val="005510AC"/>
    <w:rsid w:val="0055130B"/>
    <w:rsid w:val="0055221E"/>
    <w:rsid w:val="00552F78"/>
    <w:rsid w:val="005536A0"/>
    <w:rsid w:val="00553960"/>
    <w:rsid w:val="00553963"/>
    <w:rsid w:val="00553A73"/>
    <w:rsid w:val="00554B9A"/>
    <w:rsid w:val="00555109"/>
    <w:rsid w:val="005555AB"/>
    <w:rsid w:val="005558BF"/>
    <w:rsid w:val="00556A8A"/>
    <w:rsid w:val="005573FF"/>
    <w:rsid w:val="005578B5"/>
    <w:rsid w:val="00557A6C"/>
    <w:rsid w:val="00560063"/>
    <w:rsid w:val="005601AE"/>
    <w:rsid w:val="00560983"/>
    <w:rsid w:val="00560EFF"/>
    <w:rsid w:val="005621F1"/>
    <w:rsid w:val="005623D4"/>
    <w:rsid w:val="00562E07"/>
    <w:rsid w:val="005633D7"/>
    <w:rsid w:val="0056365F"/>
    <w:rsid w:val="005639F0"/>
    <w:rsid w:val="0056437D"/>
    <w:rsid w:val="005644E1"/>
    <w:rsid w:val="00564927"/>
    <w:rsid w:val="00564B29"/>
    <w:rsid w:val="005657A2"/>
    <w:rsid w:val="0056597B"/>
    <w:rsid w:val="00565BD4"/>
    <w:rsid w:val="00565ECC"/>
    <w:rsid w:val="00566924"/>
    <w:rsid w:val="00566BBD"/>
    <w:rsid w:val="00567166"/>
    <w:rsid w:val="00571F99"/>
    <w:rsid w:val="00572253"/>
    <w:rsid w:val="005733A9"/>
    <w:rsid w:val="0057376F"/>
    <w:rsid w:val="00573C01"/>
    <w:rsid w:val="00573D04"/>
    <w:rsid w:val="005742CB"/>
    <w:rsid w:val="00574503"/>
    <w:rsid w:val="00574694"/>
    <w:rsid w:val="005750AE"/>
    <w:rsid w:val="0057536D"/>
    <w:rsid w:val="0057569E"/>
    <w:rsid w:val="005759DD"/>
    <w:rsid w:val="0057634F"/>
    <w:rsid w:val="00576579"/>
    <w:rsid w:val="0057701F"/>
    <w:rsid w:val="00577D64"/>
    <w:rsid w:val="00577ECE"/>
    <w:rsid w:val="00577FE2"/>
    <w:rsid w:val="00580377"/>
    <w:rsid w:val="0058095F"/>
    <w:rsid w:val="005817F4"/>
    <w:rsid w:val="00581B0A"/>
    <w:rsid w:val="0058210C"/>
    <w:rsid w:val="00582322"/>
    <w:rsid w:val="00582CC8"/>
    <w:rsid w:val="00582D5C"/>
    <w:rsid w:val="005835FE"/>
    <w:rsid w:val="0058363D"/>
    <w:rsid w:val="00583801"/>
    <w:rsid w:val="0058412F"/>
    <w:rsid w:val="00584188"/>
    <w:rsid w:val="00584E8E"/>
    <w:rsid w:val="00585437"/>
    <w:rsid w:val="00585B55"/>
    <w:rsid w:val="00585D8E"/>
    <w:rsid w:val="005861CB"/>
    <w:rsid w:val="0058647E"/>
    <w:rsid w:val="005865F2"/>
    <w:rsid w:val="00586B48"/>
    <w:rsid w:val="00586B75"/>
    <w:rsid w:val="00586B7F"/>
    <w:rsid w:val="0058700F"/>
    <w:rsid w:val="005870A4"/>
    <w:rsid w:val="005873EC"/>
    <w:rsid w:val="00587B8F"/>
    <w:rsid w:val="005903D7"/>
    <w:rsid w:val="005906C0"/>
    <w:rsid w:val="00590B2A"/>
    <w:rsid w:val="005915B5"/>
    <w:rsid w:val="005916DB"/>
    <w:rsid w:val="00591904"/>
    <w:rsid w:val="005923DA"/>
    <w:rsid w:val="00592604"/>
    <w:rsid w:val="00592D02"/>
    <w:rsid w:val="00592E9E"/>
    <w:rsid w:val="00592F56"/>
    <w:rsid w:val="00594070"/>
    <w:rsid w:val="0059420C"/>
    <w:rsid w:val="00594465"/>
    <w:rsid w:val="00594965"/>
    <w:rsid w:val="00594AB9"/>
    <w:rsid w:val="00594B7A"/>
    <w:rsid w:val="0059617D"/>
    <w:rsid w:val="005962AA"/>
    <w:rsid w:val="0059640D"/>
    <w:rsid w:val="005969AA"/>
    <w:rsid w:val="00596A0F"/>
    <w:rsid w:val="00596C1B"/>
    <w:rsid w:val="00596CEB"/>
    <w:rsid w:val="00596E14"/>
    <w:rsid w:val="00596E61"/>
    <w:rsid w:val="00597233"/>
    <w:rsid w:val="00597266"/>
    <w:rsid w:val="005A03F6"/>
    <w:rsid w:val="005A0518"/>
    <w:rsid w:val="005A0820"/>
    <w:rsid w:val="005A0CC0"/>
    <w:rsid w:val="005A1098"/>
    <w:rsid w:val="005A189D"/>
    <w:rsid w:val="005A1CCA"/>
    <w:rsid w:val="005A1F82"/>
    <w:rsid w:val="005A23A8"/>
    <w:rsid w:val="005A2D6A"/>
    <w:rsid w:val="005A3EEC"/>
    <w:rsid w:val="005A5EA1"/>
    <w:rsid w:val="005A6720"/>
    <w:rsid w:val="005A6798"/>
    <w:rsid w:val="005A7088"/>
    <w:rsid w:val="005A72F4"/>
    <w:rsid w:val="005A7AAA"/>
    <w:rsid w:val="005B03D4"/>
    <w:rsid w:val="005B0528"/>
    <w:rsid w:val="005B058E"/>
    <w:rsid w:val="005B0DFC"/>
    <w:rsid w:val="005B2947"/>
    <w:rsid w:val="005B2E8D"/>
    <w:rsid w:val="005B32CD"/>
    <w:rsid w:val="005B409F"/>
    <w:rsid w:val="005B481A"/>
    <w:rsid w:val="005B4997"/>
    <w:rsid w:val="005B4E1A"/>
    <w:rsid w:val="005B506F"/>
    <w:rsid w:val="005B684C"/>
    <w:rsid w:val="005B69A3"/>
    <w:rsid w:val="005B6E1E"/>
    <w:rsid w:val="005B766D"/>
    <w:rsid w:val="005B7946"/>
    <w:rsid w:val="005B7BDF"/>
    <w:rsid w:val="005C0110"/>
    <w:rsid w:val="005C01E8"/>
    <w:rsid w:val="005C049B"/>
    <w:rsid w:val="005C23D7"/>
    <w:rsid w:val="005C2545"/>
    <w:rsid w:val="005C2FCD"/>
    <w:rsid w:val="005C341E"/>
    <w:rsid w:val="005C3CC6"/>
    <w:rsid w:val="005C41A7"/>
    <w:rsid w:val="005C5AA7"/>
    <w:rsid w:val="005C6359"/>
    <w:rsid w:val="005C6413"/>
    <w:rsid w:val="005C6481"/>
    <w:rsid w:val="005C6AA3"/>
    <w:rsid w:val="005C6BBD"/>
    <w:rsid w:val="005C6DBA"/>
    <w:rsid w:val="005C7017"/>
    <w:rsid w:val="005C73E6"/>
    <w:rsid w:val="005D0396"/>
    <w:rsid w:val="005D04A6"/>
    <w:rsid w:val="005D0C49"/>
    <w:rsid w:val="005D1D0C"/>
    <w:rsid w:val="005D2196"/>
    <w:rsid w:val="005D2526"/>
    <w:rsid w:val="005D2AEC"/>
    <w:rsid w:val="005D3335"/>
    <w:rsid w:val="005D3B1D"/>
    <w:rsid w:val="005D3B9C"/>
    <w:rsid w:val="005D41DB"/>
    <w:rsid w:val="005D436E"/>
    <w:rsid w:val="005D45A1"/>
    <w:rsid w:val="005D460E"/>
    <w:rsid w:val="005D4665"/>
    <w:rsid w:val="005D4C9B"/>
    <w:rsid w:val="005D4CE9"/>
    <w:rsid w:val="005D4D27"/>
    <w:rsid w:val="005D4E49"/>
    <w:rsid w:val="005D55BD"/>
    <w:rsid w:val="005D55E7"/>
    <w:rsid w:val="005D57B4"/>
    <w:rsid w:val="005D6028"/>
    <w:rsid w:val="005D650E"/>
    <w:rsid w:val="005D6714"/>
    <w:rsid w:val="005D6A81"/>
    <w:rsid w:val="005D7240"/>
    <w:rsid w:val="005D7474"/>
    <w:rsid w:val="005E11C4"/>
    <w:rsid w:val="005E1514"/>
    <w:rsid w:val="005E26D5"/>
    <w:rsid w:val="005E2716"/>
    <w:rsid w:val="005E2973"/>
    <w:rsid w:val="005E3D3D"/>
    <w:rsid w:val="005E544A"/>
    <w:rsid w:val="005E55D4"/>
    <w:rsid w:val="005E5C76"/>
    <w:rsid w:val="005E6004"/>
    <w:rsid w:val="005E66DF"/>
    <w:rsid w:val="005E72A8"/>
    <w:rsid w:val="005E7E71"/>
    <w:rsid w:val="005F033C"/>
    <w:rsid w:val="005F0BAC"/>
    <w:rsid w:val="005F12A0"/>
    <w:rsid w:val="005F1BB3"/>
    <w:rsid w:val="005F299B"/>
    <w:rsid w:val="005F31E1"/>
    <w:rsid w:val="005F3608"/>
    <w:rsid w:val="005F39F4"/>
    <w:rsid w:val="005F43D1"/>
    <w:rsid w:val="005F465E"/>
    <w:rsid w:val="005F47E3"/>
    <w:rsid w:val="005F4ECC"/>
    <w:rsid w:val="005F5397"/>
    <w:rsid w:val="005F5956"/>
    <w:rsid w:val="005F59DA"/>
    <w:rsid w:val="005F660C"/>
    <w:rsid w:val="005F6847"/>
    <w:rsid w:val="005F69E3"/>
    <w:rsid w:val="005F7018"/>
    <w:rsid w:val="005F79CB"/>
    <w:rsid w:val="005F7B78"/>
    <w:rsid w:val="005F7C61"/>
    <w:rsid w:val="00600241"/>
    <w:rsid w:val="006012CF"/>
    <w:rsid w:val="00601AB6"/>
    <w:rsid w:val="006022F9"/>
    <w:rsid w:val="006024D1"/>
    <w:rsid w:val="00602C52"/>
    <w:rsid w:val="00602E49"/>
    <w:rsid w:val="00602EDA"/>
    <w:rsid w:val="00603236"/>
    <w:rsid w:val="0060443F"/>
    <w:rsid w:val="00604557"/>
    <w:rsid w:val="006047CB"/>
    <w:rsid w:val="006050A0"/>
    <w:rsid w:val="006057E2"/>
    <w:rsid w:val="00606251"/>
    <w:rsid w:val="006063A7"/>
    <w:rsid w:val="00606E8C"/>
    <w:rsid w:val="006072AB"/>
    <w:rsid w:val="00607B6A"/>
    <w:rsid w:val="00610D1E"/>
    <w:rsid w:val="00610EC1"/>
    <w:rsid w:val="006111BA"/>
    <w:rsid w:val="00611CE5"/>
    <w:rsid w:val="00612C6A"/>
    <w:rsid w:val="0061366D"/>
    <w:rsid w:val="00613DC5"/>
    <w:rsid w:val="00613FC2"/>
    <w:rsid w:val="0061479A"/>
    <w:rsid w:val="00614C26"/>
    <w:rsid w:val="006168E8"/>
    <w:rsid w:val="00616927"/>
    <w:rsid w:val="00616D0B"/>
    <w:rsid w:val="00616D48"/>
    <w:rsid w:val="00616F20"/>
    <w:rsid w:val="00620366"/>
    <w:rsid w:val="00621389"/>
    <w:rsid w:val="006213A6"/>
    <w:rsid w:val="00621474"/>
    <w:rsid w:val="00622247"/>
    <w:rsid w:val="00622671"/>
    <w:rsid w:val="006226D8"/>
    <w:rsid w:val="00622CD9"/>
    <w:rsid w:val="00622D40"/>
    <w:rsid w:val="00623622"/>
    <w:rsid w:val="0062365E"/>
    <w:rsid w:val="00624EBC"/>
    <w:rsid w:val="00624FA3"/>
    <w:rsid w:val="00625223"/>
    <w:rsid w:val="0062671C"/>
    <w:rsid w:val="00626878"/>
    <w:rsid w:val="00627124"/>
    <w:rsid w:val="006278D3"/>
    <w:rsid w:val="00630678"/>
    <w:rsid w:val="00630A08"/>
    <w:rsid w:val="006319AE"/>
    <w:rsid w:val="00631D98"/>
    <w:rsid w:val="00631FAD"/>
    <w:rsid w:val="00632616"/>
    <w:rsid w:val="00633125"/>
    <w:rsid w:val="006335F8"/>
    <w:rsid w:val="00634320"/>
    <w:rsid w:val="00634964"/>
    <w:rsid w:val="00634BBC"/>
    <w:rsid w:val="00635A3F"/>
    <w:rsid w:val="00635EBA"/>
    <w:rsid w:val="00636257"/>
    <w:rsid w:val="006371CE"/>
    <w:rsid w:val="006374D1"/>
    <w:rsid w:val="00637733"/>
    <w:rsid w:val="00637AEE"/>
    <w:rsid w:val="00637C4C"/>
    <w:rsid w:val="006402D8"/>
    <w:rsid w:val="00640368"/>
    <w:rsid w:val="006411CC"/>
    <w:rsid w:val="0064174F"/>
    <w:rsid w:val="00641ACA"/>
    <w:rsid w:val="00641BE3"/>
    <w:rsid w:val="006426D7"/>
    <w:rsid w:val="006428F4"/>
    <w:rsid w:val="00643673"/>
    <w:rsid w:val="00643736"/>
    <w:rsid w:val="006451F9"/>
    <w:rsid w:val="00645542"/>
    <w:rsid w:val="006461DD"/>
    <w:rsid w:val="00646DEB"/>
    <w:rsid w:val="00646E61"/>
    <w:rsid w:val="00646F50"/>
    <w:rsid w:val="006473C2"/>
    <w:rsid w:val="00647AE3"/>
    <w:rsid w:val="00647AFE"/>
    <w:rsid w:val="00651022"/>
    <w:rsid w:val="006511CB"/>
    <w:rsid w:val="00651330"/>
    <w:rsid w:val="0065136D"/>
    <w:rsid w:val="006513ED"/>
    <w:rsid w:val="00651482"/>
    <w:rsid w:val="00652829"/>
    <w:rsid w:val="00652980"/>
    <w:rsid w:val="00652B9B"/>
    <w:rsid w:val="00652BDC"/>
    <w:rsid w:val="0065314A"/>
    <w:rsid w:val="00653349"/>
    <w:rsid w:val="00653399"/>
    <w:rsid w:val="006534B5"/>
    <w:rsid w:val="00653ABD"/>
    <w:rsid w:val="006545EC"/>
    <w:rsid w:val="0065468D"/>
    <w:rsid w:val="00654703"/>
    <w:rsid w:val="00655408"/>
    <w:rsid w:val="00655609"/>
    <w:rsid w:val="0065590F"/>
    <w:rsid w:val="00656073"/>
    <w:rsid w:val="0065622D"/>
    <w:rsid w:val="0065649A"/>
    <w:rsid w:val="00656921"/>
    <w:rsid w:val="00656994"/>
    <w:rsid w:val="00656F78"/>
    <w:rsid w:val="00657709"/>
    <w:rsid w:val="00657D97"/>
    <w:rsid w:val="00657DAC"/>
    <w:rsid w:val="00660184"/>
    <w:rsid w:val="00660582"/>
    <w:rsid w:val="006605A9"/>
    <w:rsid w:val="00660B4B"/>
    <w:rsid w:val="00661330"/>
    <w:rsid w:val="00661567"/>
    <w:rsid w:val="00661C74"/>
    <w:rsid w:val="00662139"/>
    <w:rsid w:val="0066244C"/>
    <w:rsid w:val="0066321A"/>
    <w:rsid w:val="00663A7B"/>
    <w:rsid w:val="00663D87"/>
    <w:rsid w:val="00663E0F"/>
    <w:rsid w:val="0066438F"/>
    <w:rsid w:val="006651A8"/>
    <w:rsid w:val="006652D7"/>
    <w:rsid w:val="00666367"/>
    <w:rsid w:val="00666D9B"/>
    <w:rsid w:val="006700C2"/>
    <w:rsid w:val="00670D92"/>
    <w:rsid w:val="00671534"/>
    <w:rsid w:val="006715E1"/>
    <w:rsid w:val="006716B4"/>
    <w:rsid w:val="00671920"/>
    <w:rsid w:val="00671A0C"/>
    <w:rsid w:val="00671A65"/>
    <w:rsid w:val="006720AB"/>
    <w:rsid w:val="00672240"/>
    <w:rsid w:val="006722AA"/>
    <w:rsid w:val="00672417"/>
    <w:rsid w:val="00672806"/>
    <w:rsid w:val="00672BA5"/>
    <w:rsid w:val="00673575"/>
    <w:rsid w:val="00673C18"/>
    <w:rsid w:val="00673F42"/>
    <w:rsid w:val="006741BD"/>
    <w:rsid w:val="00674C15"/>
    <w:rsid w:val="00674C5A"/>
    <w:rsid w:val="006752FE"/>
    <w:rsid w:val="00675C35"/>
    <w:rsid w:val="0067613A"/>
    <w:rsid w:val="00676734"/>
    <w:rsid w:val="00676E4C"/>
    <w:rsid w:val="00680859"/>
    <w:rsid w:val="00680A6E"/>
    <w:rsid w:val="0068150D"/>
    <w:rsid w:val="00681E3C"/>
    <w:rsid w:val="00682290"/>
    <w:rsid w:val="006824C3"/>
    <w:rsid w:val="0068286E"/>
    <w:rsid w:val="00683E87"/>
    <w:rsid w:val="0068435D"/>
    <w:rsid w:val="00684590"/>
    <w:rsid w:val="006852AD"/>
    <w:rsid w:val="006856EB"/>
    <w:rsid w:val="006873D8"/>
    <w:rsid w:val="006874DE"/>
    <w:rsid w:val="00687506"/>
    <w:rsid w:val="00687665"/>
    <w:rsid w:val="00687A89"/>
    <w:rsid w:val="006902E2"/>
    <w:rsid w:val="00690E11"/>
    <w:rsid w:val="00691605"/>
    <w:rsid w:val="00691BB1"/>
    <w:rsid w:val="0069238E"/>
    <w:rsid w:val="00692C9B"/>
    <w:rsid w:val="0069530E"/>
    <w:rsid w:val="00695538"/>
    <w:rsid w:val="00695A7D"/>
    <w:rsid w:val="00695E65"/>
    <w:rsid w:val="006961A1"/>
    <w:rsid w:val="00696843"/>
    <w:rsid w:val="00696DCB"/>
    <w:rsid w:val="00697133"/>
    <w:rsid w:val="0069748F"/>
    <w:rsid w:val="0069775B"/>
    <w:rsid w:val="006978C5"/>
    <w:rsid w:val="006A0AD4"/>
    <w:rsid w:val="006A0EA1"/>
    <w:rsid w:val="006A1390"/>
    <w:rsid w:val="006A1871"/>
    <w:rsid w:val="006A1DF5"/>
    <w:rsid w:val="006A319E"/>
    <w:rsid w:val="006A3237"/>
    <w:rsid w:val="006A33F6"/>
    <w:rsid w:val="006A3757"/>
    <w:rsid w:val="006A3F8F"/>
    <w:rsid w:val="006A423A"/>
    <w:rsid w:val="006A4B49"/>
    <w:rsid w:val="006A508E"/>
    <w:rsid w:val="006A5549"/>
    <w:rsid w:val="006A573C"/>
    <w:rsid w:val="006A5F53"/>
    <w:rsid w:val="006A613F"/>
    <w:rsid w:val="006A62F5"/>
    <w:rsid w:val="006A6DAC"/>
    <w:rsid w:val="006A7F12"/>
    <w:rsid w:val="006B0B47"/>
    <w:rsid w:val="006B0E99"/>
    <w:rsid w:val="006B1D39"/>
    <w:rsid w:val="006B2B92"/>
    <w:rsid w:val="006B3671"/>
    <w:rsid w:val="006B3A2F"/>
    <w:rsid w:val="006B3D77"/>
    <w:rsid w:val="006B4011"/>
    <w:rsid w:val="006B44F5"/>
    <w:rsid w:val="006B4D8F"/>
    <w:rsid w:val="006B6C6C"/>
    <w:rsid w:val="006B6E71"/>
    <w:rsid w:val="006B72C9"/>
    <w:rsid w:val="006C085E"/>
    <w:rsid w:val="006C2FBB"/>
    <w:rsid w:val="006C4271"/>
    <w:rsid w:val="006C44A5"/>
    <w:rsid w:val="006C48C4"/>
    <w:rsid w:val="006C4DCD"/>
    <w:rsid w:val="006C4E7A"/>
    <w:rsid w:val="006C59A1"/>
    <w:rsid w:val="006C68B8"/>
    <w:rsid w:val="006C6C55"/>
    <w:rsid w:val="006C6F57"/>
    <w:rsid w:val="006C7285"/>
    <w:rsid w:val="006D0231"/>
    <w:rsid w:val="006D0425"/>
    <w:rsid w:val="006D1161"/>
    <w:rsid w:val="006D13BE"/>
    <w:rsid w:val="006D1B21"/>
    <w:rsid w:val="006D1D48"/>
    <w:rsid w:val="006D2C29"/>
    <w:rsid w:val="006D2EB2"/>
    <w:rsid w:val="006D2F50"/>
    <w:rsid w:val="006D3A92"/>
    <w:rsid w:val="006D3FF2"/>
    <w:rsid w:val="006D40F3"/>
    <w:rsid w:val="006D5416"/>
    <w:rsid w:val="006D5717"/>
    <w:rsid w:val="006D6F3C"/>
    <w:rsid w:val="006D7301"/>
    <w:rsid w:val="006D76DA"/>
    <w:rsid w:val="006D797E"/>
    <w:rsid w:val="006D7CCE"/>
    <w:rsid w:val="006E0C35"/>
    <w:rsid w:val="006E1017"/>
    <w:rsid w:val="006E174E"/>
    <w:rsid w:val="006E1790"/>
    <w:rsid w:val="006E25CA"/>
    <w:rsid w:val="006E3066"/>
    <w:rsid w:val="006E32FD"/>
    <w:rsid w:val="006E33AC"/>
    <w:rsid w:val="006E49BC"/>
    <w:rsid w:val="006E4FE0"/>
    <w:rsid w:val="006E567A"/>
    <w:rsid w:val="006E5799"/>
    <w:rsid w:val="006E6445"/>
    <w:rsid w:val="006E7033"/>
    <w:rsid w:val="006E7689"/>
    <w:rsid w:val="006F0561"/>
    <w:rsid w:val="006F0F49"/>
    <w:rsid w:val="006F1071"/>
    <w:rsid w:val="006F1297"/>
    <w:rsid w:val="006F13D6"/>
    <w:rsid w:val="006F1D8D"/>
    <w:rsid w:val="006F2554"/>
    <w:rsid w:val="006F25A2"/>
    <w:rsid w:val="006F383C"/>
    <w:rsid w:val="006F41BD"/>
    <w:rsid w:val="006F4209"/>
    <w:rsid w:val="006F4C6F"/>
    <w:rsid w:val="006F4E17"/>
    <w:rsid w:val="006F57FF"/>
    <w:rsid w:val="006F5A6F"/>
    <w:rsid w:val="006F60BC"/>
    <w:rsid w:val="006F7F1D"/>
    <w:rsid w:val="00700342"/>
    <w:rsid w:val="00700ACC"/>
    <w:rsid w:val="0070157C"/>
    <w:rsid w:val="0070161E"/>
    <w:rsid w:val="00701DC4"/>
    <w:rsid w:val="00702264"/>
    <w:rsid w:val="0070255E"/>
    <w:rsid w:val="007028BE"/>
    <w:rsid w:val="00702FD1"/>
    <w:rsid w:val="007039D8"/>
    <w:rsid w:val="00703C92"/>
    <w:rsid w:val="00703D88"/>
    <w:rsid w:val="007041B0"/>
    <w:rsid w:val="00704859"/>
    <w:rsid w:val="00704F9C"/>
    <w:rsid w:val="00704FA9"/>
    <w:rsid w:val="007058E4"/>
    <w:rsid w:val="00705CF0"/>
    <w:rsid w:val="007073E6"/>
    <w:rsid w:val="00707D56"/>
    <w:rsid w:val="00710223"/>
    <w:rsid w:val="0071081D"/>
    <w:rsid w:val="00710A4A"/>
    <w:rsid w:val="00712CA0"/>
    <w:rsid w:val="00713830"/>
    <w:rsid w:val="00714180"/>
    <w:rsid w:val="007142E3"/>
    <w:rsid w:val="00715699"/>
    <w:rsid w:val="00715DE2"/>
    <w:rsid w:val="00715EDD"/>
    <w:rsid w:val="007160C0"/>
    <w:rsid w:val="00716CC2"/>
    <w:rsid w:val="00716E31"/>
    <w:rsid w:val="007173F0"/>
    <w:rsid w:val="00720A6E"/>
    <w:rsid w:val="00720C20"/>
    <w:rsid w:val="00720C91"/>
    <w:rsid w:val="00720FC4"/>
    <w:rsid w:val="00722534"/>
    <w:rsid w:val="00723682"/>
    <w:rsid w:val="00723759"/>
    <w:rsid w:val="00723B6A"/>
    <w:rsid w:val="007248CB"/>
    <w:rsid w:val="00724BAC"/>
    <w:rsid w:val="00724F78"/>
    <w:rsid w:val="00725178"/>
    <w:rsid w:val="00725D43"/>
    <w:rsid w:val="0072611E"/>
    <w:rsid w:val="007263C7"/>
    <w:rsid w:val="007267E1"/>
    <w:rsid w:val="00726B43"/>
    <w:rsid w:val="0072713C"/>
    <w:rsid w:val="00727A74"/>
    <w:rsid w:val="00730F73"/>
    <w:rsid w:val="007316B9"/>
    <w:rsid w:val="0073184E"/>
    <w:rsid w:val="00731AAB"/>
    <w:rsid w:val="00731F6C"/>
    <w:rsid w:val="007333A4"/>
    <w:rsid w:val="00734740"/>
    <w:rsid w:val="00734E7F"/>
    <w:rsid w:val="00735157"/>
    <w:rsid w:val="00735B25"/>
    <w:rsid w:val="00736043"/>
    <w:rsid w:val="0073702E"/>
    <w:rsid w:val="007372A0"/>
    <w:rsid w:val="007378FD"/>
    <w:rsid w:val="0073799D"/>
    <w:rsid w:val="007404E6"/>
    <w:rsid w:val="007407C2"/>
    <w:rsid w:val="00740A01"/>
    <w:rsid w:val="00741260"/>
    <w:rsid w:val="0074135E"/>
    <w:rsid w:val="007416DC"/>
    <w:rsid w:val="00741DE5"/>
    <w:rsid w:val="00741E70"/>
    <w:rsid w:val="00742EB4"/>
    <w:rsid w:val="00743CCA"/>
    <w:rsid w:val="007450E6"/>
    <w:rsid w:val="00745791"/>
    <w:rsid w:val="00745993"/>
    <w:rsid w:val="00745FDE"/>
    <w:rsid w:val="00746147"/>
    <w:rsid w:val="00747B6C"/>
    <w:rsid w:val="0075031E"/>
    <w:rsid w:val="007508DC"/>
    <w:rsid w:val="00750B6A"/>
    <w:rsid w:val="00750F01"/>
    <w:rsid w:val="007513AD"/>
    <w:rsid w:val="007528A8"/>
    <w:rsid w:val="00752E46"/>
    <w:rsid w:val="00753003"/>
    <w:rsid w:val="007554E9"/>
    <w:rsid w:val="0075563F"/>
    <w:rsid w:val="00755E1A"/>
    <w:rsid w:val="00756602"/>
    <w:rsid w:val="0075671E"/>
    <w:rsid w:val="00756CF0"/>
    <w:rsid w:val="00756E0E"/>
    <w:rsid w:val="00757009"/>
    <w:rsid w:val="007577DB"/>
    <w:rsid w:val="00757E03"/>
    <w:rsid w:val="007619BC"/>
    <w:rsid w:val="00761F12"/>
    <w:rsid w:val="007620B6"/>
    <w:rsid w:val="007621CA"/>
    <w:rsid w:val="0076258D"/>
    <w:rsid w:val="007629DE"/>
    <w:rsid w:val="007633D3"/>
    <w:rsid w:val="00764DBD"/>
    <w:rsid w:val="00764DD6"/>
    <w:rsid w:val="00765073"/>
    <w:rsid w:val="00765393"/>
    <w:rsid w:val="00765476"/>
    <w:rsid w:val="007659C3"/>
    <w:rsid w:val="00765B27"/>
    <w:rsid w:val="007660CB"/>
    <w:rsid w:val="0076641E"/>
    <w:rsid w:val="00766C4E"/>
    <w:rsid w:val="00766CD1"/>
    <w:rsid w:val="00767247"/>
    <w:rsid w:val="0076799D"/>
    <w:rsid w:val="00767A5B"/>
    <w:rsid w:val="0077074F"/>
    <w:rsid w:val="007709CE"/>
    <w:rsid w:val="00770B4F"/>
    <w:rsid w:val="00771157"/>
    <w:rsid w:val="00771849"/>
    <w:rsid w:val="00771B71"/>
    <w:rsid w:val="0077265D"/>
    <w:rsid w:val="00772853"/>
    <w:rsid w:val="00772AB5"/>
    <w:rsid w:val="00772B80"/>
    <w:rsid w:val="00772D4F"/>
    <w:rsid w:val="00773274"/>
    <w:rsid w:val="00773A8F"/>
    <w:rsid w:val="00773B68"/>
    <w:rsid w:val="00773FD2"/>
    <w:rsid w:val="0077538D"/>
    <w:rsid w:val="00775661"/>
    <w:rsid w:val="007758F5"/>
    <w:rsid w:val="00775DFD"/>
    <w:rsid w:val="00775EB4"/>
    <w:rsid w:val="00776CDF"/>
    <w:rsid w:val="00776FEF"/>
    <w:rsid w:val="00780234"/>
    <w:rsid w:val="007808E5"/>
    <w:rsid w:val="00780AA5"/>
    <w:rsid w:val="00780B8B"/>
    <w:rsid w:val="00780E24"/>
    <w:rsid w:val="00780E4A"/>
    <w:rsid w:val="007811FF"/>
    <w:rsid w:val="0078121F"/>
    <w:rsid w:val="00781F68"/>
    <w:rsid w:val="007825EC"/>
    <w:rsid w:val="007827A2"/>
    <w:rsid w:val="00783141"/>
    <w:rsid w:val="00783389"/>
    <w:rsid w:val="00783426"/>
    <w:rsid w:val="0078398B"/>
    <w:rsid w:val="00783BC7"/>
    <w:rsid w:val="007840BB"/>
    <w:rsid w:val="0078415B"/>
    <w:rsid w:val="00784626"/>
    <w:rsid w:val="00784746"/>
    <w:rsid w:val="00784BC6"/>
    <w:rsid w:val="00784E0D"/>
    <w:rsid w:val="00784FBA"/>
    <w:rsid w:val="0078533B"/>
    <w:rsid w:val="00785342"/>
    <w:rsid w:val="007856E1"/>
    <w:rsid w:val="00785859"/>
    <w:rsid w:val="007861D3"/>
    <w:rsid w:val="00787E51"/>
    <w:rsid w:val="00790570"/>
    <w:rsid w:val="00790F2F"/>
    <w:rsid w:val="00791466"/>
    <w:rsid w:val="007914D2"/>
    <w:rsid w:val="007915A9"/>
    <w:rsid w:val="00791BE3"/>
    <w:rsid w:val="00791D95"/>
    <w:rsid w:val="007920BF"/>
    <w:rsid w:val="00792181"/>
    <w:rsid w:val="007938DD"/>
    <w:rsid w:val="00793F88"/>
    <w:rsid w:val="007951D4"/>
    <w:rsid w:val="00795DA1"/>
    <w:rsid w:val="00795FFE"/>
    <w:rsid w:val="007969F1"/>
    <w:rsid w:val="007A090A"/>
    <w:rsid w:val="007A140E"/>
    <w:rsid w:val="007A1CC7"/>
    <w:rsid w:val="007A2190"/>
    <w:rsid w:val="007A22C6"/>
    <w:rsid w:val="007A25DB"/>
    <w:rsid w:val="007A2A43"/>
    <w:rsid w:val="007A2F4B"/>
    <w:rsid w:val="007A3136"/>
    <w:rsid w:val="007A3B50"/>
    <w:rsid w:val="007A43B1"/>
    <w:rsid w:val="007A472A"/>
    <w:rsid w:val="007A4956"/>
    <w:rsid w:val="007A4B0D"/>
    <w:rsid w:val="007A4F37"/>
    <w:rsid w:val="007A5015"/>
    <w:rsid w:val="007A6C29"/>
    <w:rsid w:val="007A6C62"/>
    <w:rsid w:val="007B06D1"/>
    <w:rsid w:val="007B0BB4"/>
    <w:rsid w:val="007B0D08"/>
    <w:rsid w:val="007B14D4"/>
    <w:rsid w:val="007B1626"/>
    <w:rsid w:val="007B2066"/>
    <w:rsid w:val="007B2435"/>
    <w:rsid w:val="007B2530"/>
    <w:rsid w:val="007B285F"/>
    <w:rsid w:val="007B2C89"/>
    <w:rsid w:val="007B2DEC"/>
    <w:rsid w:val="007B3107"/>
    <w:rsid w:val="007B3C75"/>
    <w:rsid w:val="007B4B89"/>
    <w:rsid w:val="007B505D"/>
    <w:rsid w:val="007B50AC"/>
    <w:rsid w:val="007B543F"/>
    <w:rsid w:val="007B5F83"/>
    <w:rsid w:val="007B5FA5"/>
    <w:rsid w:val="007B5FF9"/>
    <w:rsid w:val="007B644C"/>
    <w:rsid w:val="007B66E0"/>
    <w:rsid w:val="007B6C12"/>
    <w:rsid w:val="007B6EDD"/>
    <w:rsid w:val="007B77CB"/>
    <w:rsid w:val="007B7BE6"/>
    <w:rsid w:val="007B7BF4"/>
    <w:rsid w:val="007C0510"/>
    <w:rsid w:val="007C05C0"/>
    <w:rsid w:val="007C13EF"/>
    <w:rsid w:val="007C14CD"/>
    <w:rsid w:val="007C1B12"/>
    <w:rsid w:val="007C1F1D"/>
    <w:rsid w:val="007C2055"/>
    <w:rsid w:val="007C2DC4"/>
    <w:rsid w:val="007C38B9"/>
    <w:rsid w:val="007C4702"/>
    <w:rsid w:val="007C57F0"/>
    <w:rsid w:val="007C592A"/>
    <w:rsid w:val="007C61C5"/>
    <w:rsid w:val="007C6D30"/>
    <w:rsid w:val="007C71D2"/>
    <w:rsid w:val="007C72C5"/>
    <w:rsid w:val="007C7302"/>
    <w:rsid w:val="007C74B8"/>
    <w:rsid w:val="007C7B61"/>
    <w:rsid w:val="007C7CB3"/>
    <w:rsid w:val="007D035B"/>
    <w:rsid w:val="007D03E6"/>
    <w:rsid w:val="007D05CC"/>
    <w:rsid w:val="007D123D"/>
    <w:rsid w:val="007D15B1"/>
    <w:rsid w:val="007D1BF1"/>
    <w:rsid w:val="007D2116"/>
    <w:rsid w:val="007D215F"/>
    <w:rsid w:val="007D291C"/>
    <w:rsid w:val="007D2D2A"/>
    <w:rsid w:val="007D2E0A"/>
    <w:rsid w:val="007D30CB"/>
    <w:rsid w:val="007D3921"/>
    <w:rsid w:val="007D42FB"/>
    <w:rsid w:val="007D55A4"/>
    <w:rsid w:val="007D55D6"/>
    <w:rsid w:val="007D5D0D"/>
    <w:rsid w:val="007D7BA8"/>
    <w:rsid w:val="007D7C83"/>
    <w:rsid w:val="007E0357"/>
    <w:rsid w:val="007E0450"/>
    <w:rsid w:val="007E0BCB"/>
    <w:rsid w:val="007E1309"/>
    <w:rsid w:val="007E13E5"/>
    <w:rsid w:val="007E13FB"/>
    <w:rsid w:val="007E1785"/>
    <w:rsid w:val="007E1964"/>
    <w:rsid w:val="007E1E5F"/>
    <w:rsid w:val="007E1F24"/>
    <w:rsid w:val="007E267E"/>
    <w:rsid w:val="007E29D1"/>
    <w:rsid w:val="007E2C25"/>
    <w:rsid w:val="007E3423"/>
    <w:rsid w:val="007E41D4"/>
    <w:rsid w:val="007E428C"/>
    <w:rsid w:val="007E4350"/>
    <w:rsid w:val="007E4570"/>
    <w:rsid w:val="007E4735"/>
    <w:rsid w:val="007E4CF0"/>
    <w:rsid w:val="007E4E88"/>
    <w:rsid w:val="007E5CDE"/>
    <w:rsid w:val="007E5E5E"/>
    <w:rsid w:val="007E6285"/>
    <w:rsid w:val="007E6620"/>
    <w:rsid w:val="007E6756"/>
    <w:rsid w:val="007E6AF3"/>
    <w:rsid w:val="007E73B9"/>
    <w:rsid w:val="007E7480"/>
    <w:rsid w:val="007E7B36"/>
    <w:rsid w:val="007F0070"/>
    <w:rsid w:val="007F0725"/>
    <w:rsid w:val="007F0762"/>
    <w:rsid w:val="007F0AB9"/>
    <w:rsid w:val="007F0EE1"/>
    <w:rsid w:val="007F104C"/>
    <w:rsid w:val="007F10B4"/>
    <w:rsid w:val="007F13DF"/>
    <w:rsid w:val="007F166C"/>
    <w:rsid w:val="007F1B67"/>
    <w:rsid w:val="007F1DA2"/>
    <w:rsid w:val="007F21D2"/>
    <w:rsid w:val="007F2BEC"/>
    <w:rsid w:val="007F2C9C"/>
    <w:rsid w:val="007F2E6D"/>
    <w:rsid w:val="007F2F09"/>
    <w:rsid w:val="007F3DCB"/>
    <w:rsid w:val="007F3FF6"/>
    <w:rsid w:val="007F43DC"/>
    <w:rsid w:val="007F4F93"/>
    <w:rsid w:val="007F5C44"/>
    <w:rsid w:val="007F6283"/>
    <w:rsid w:val="007F6FA4"/>
    <w:rsid w:val="007F7134"/>
    <w:rsid w:val="007F7318"/>
    <w:rsid w:val="007F7326"/>
    <w:rsid w:val="007F755D"/>
    <w:rsid w:val="00800073"/>
    <w:rsid w:val="00800199"/>
    <w:rsid w:val="00800320"/>
    <w:rsid w:val="00800921"/>
    <w:rsid w:val="0080316F"/>
    <w:rsid w:val="0080389B"/>
    <w:rsid w:val="008045CD"/>
    <w:rsid w:val="008046F0"/>
    <w:rsid w:val="00804F4C"/>
    <w:rsid w:val="00805612"/>
    <w:rsid w:val="008059C1"/>
    <w:rsid w:val="0080610E"/>
    <w:rsid w:val="00806421"/>
    <w:rsid w:val="00806CE5"/>
    <w:rsid w:val="00806EFB"/>
    <w:rsid w:val="00807523"/>
    <w:rsid w:val="00807785"/>
    <w:rsid w:val="008114A0"/>
    <w:rsid w:val="00811530"/>
    <w:rsid w:val="0081184A"/>
    <w:rsid w:val="00811A89"/>
    <w:rsid w:val="008129DB"/>
    <w:rsid w:val="00812B1B"/>
    <w:rsid w:val="0081373D"/>
    <w:rsid w:val="00813FDB"/>
    <w:rsid w:val="0081465C"/>
    <w:rsid w:val="00814B90"/>
    <w:rsid w:val="00815ED7"/>
    <w:rsid w:val="00816433"/>
    <w:rsid w:val="0081685F"/>
    <w:rsid w:val="00816B2D"/>
    <w:rsid w:val="00817560"/>
    <w:rsid w:val="00820575"/>
    <w:rsid w:val="00821049"/>
    <w:rsid w:val="00821B84"/>
    <w:rsid w:val="00821EC0"/>
    <w:rsid w:val="0082445E"/>
    <w:rsid w:val="008248F1"/>
    <w:rsid w:val="00824E93"/>
    <w:rsid w:val="00825B69"/>
    <w:rsid w:val="00825CFB"/>
    <w:rsid w:val="00825F17"/>
    <w:rsid w:val="00825FB6"/>
    <w:rsid w:val="00826434"/>
    <w:rsid w:val="0082651F"/>
    <w:rsid w:val="00826E09"/>
    <w:rsid w:val="0083239E"/>
    <w:rsid w:val="0083296F"/>
    <w:rsid w:val="00833972"/>
    <w:rsid w:val="008342A1"/>
    <w:rsid w:val="008348CB"/>
    <w:rsid w:val="00834DD6"/>
    <w:rsid w:val="0083559F"/>
    <w:rsid w:val="00835B4C"/>
    <w:rsid w:val="00835C6D"/>
    <w:rsid w:val="00836592"/>
    <w:rsid w:val="0083676F"/>
    <w:rsid w:val="00836DF3"/>
    <w:rsid w:val="008373ED"/>
    <w:rsid w:val="008378FA"/>
    <w:rsid w:val="008400F3"/>
    <w:rsid w:val="0084022D"/>
    <w:rsid w:val="00841771"/>
    <w:rsid w:val="00841F82"/>
    <w:rsid w:val="0084212D"/>
    <w:rsid w:val="00842527"/>
    <w:rsid w:val="00842573"/>
    <w:rsid w:val="008426DD"/>
    <w:rsid w:val="00842AD2"/>
    <w:rsid w:val="00843266"/>
    <w:rsid w:val="008441B4"/>
    <w:rsid w:val="00844234"/>
    <w:rsid w:val="008442E0"/>
    <w:rsid w:val="008447E1"/>
    <w:rsid w:val="00844EFC"/>
    <w:rsid w:val="00844F06"/>
    <w:rsid w:val="0084560A"/>
    <w:rsid w:val="00845CC6"/>
    <w:rsid w:val="00845E65"/>
    <w:rsid w:val="00846C8C"/>
    <w:rsid w:val="008473A7"/>
    <w:rsid w:val="008473D1"/>
    <w:rsid w:val="00847A20"/>
    <w:rsid w:val="00847F30"/>
    <w:rsid w:val="0085089F"/>
    <w:rsid w:val="00850EBD"/>
    <w:rsid w:val="008519AE"/>
    <w:rsid w:val="00851F74"/>
    <w:rsid w:val="0085230B"/>
    <w:rsid w:val="00852683"/>
    <w:rsid w:val="00852AAC"/>
    <w:rsid w:val="008530FC"/>
    <w:rsid w:val="008532DE"/>
    <w:rsid w:val="00853939"/>
    <w:rsid w:val="00853F1A"/>
    <w:rsid w:val="00854586"/>
    <w:rsid w:val="008546B1"/>
    <w:rsid w:val="00854AB3"/>
    <w:rsid w:val="0085507A"/>
    <w:rsid w:val="0085519F"/>
    <w:rsid w:val="00855B88"/>
    <w:rsid w:val="00855C93"/>
    <w:rsid w:val="00856BF6"/>
    <w:rsid w:val="00857AA3"/>
    <w:rsid w:val="00857C67"/>
    <w:rsid w:val="008602BA"/>
    <w:rsid w:val="008607BE"/>
    <w:rsid w:val="00860DCD"/>
    <w:rsid w:val="00861136"/>
    <w:rsid w:val="00861931"/>
    <w:rsid w:val="00861980"/>
    <w:rsid w:val="00861C3D"/>
    <w:rsid w:val="00861E8C"/>
    <w:rsid w:val="00863BA3"/>
    <w:rsid w:val="00863CC6"/>
    <w:rsid w:val="00864239"/>
    <w:rsid w:val="008654B7"/>
    <w:rsid w:val="00865C41"/>
    <w:rsid w:val="00865C9C"/>
    <w:rsid w:val="008660BB"/>
    <w:rsid w:val="00866511"/>
    <w:rsid w:val="008665D7"/>
    <w:rsid w:val="00866F53"/>
    <w:rsid w:val="00867A00"/>
    <w:rsid w:val="00870087"/>
    <w:rsid w:val="0087159F"/>
    <w:rsid w:val="00871656"/>
    <w:rsid w:val="0087184B"/>
    <w:rsid w:val="00871BAC"/>
    <w:rsid w:val="0087204B"/>
    <w:rsid w:val="008720FF"/>
    <w:rsid w:val="008721C0"/>
    <w:rsid w:val="008730FC"/>
    <w:rsid w:val="00873633"/>
    <w:rsid w:val="008736FE"/>
    <w:rsid w:val="00874030"/>
    <w:rsid w:val="008741AB"/>
    <w:rsid w:val="0087438A"/>
    <w:rsid w:val="008743DF"/>
    <w:rsid w:val="0087497C"/>
    <w:rsid w:val="00874C75"/>
    <w:rsid w:val="008756B3"/>
    <w:rsid w:val="00876A16"/>
    <w:rsid w:val="00876BEB"/>
    <w:rsid w:val="00877020"/>
    <w:rsid w:val="00877D21"/>
    <w:rsid w:val="00877DB1"/>
    <w:rsid w:val="0088060A"/>
    <w:rsid w:val="00881239"/>
    <w:rsid w:val="00881601"/>
    <w:rsid w:val="00881C0C"/>
    <w:rsid w:val="00882088"/>
    <w:rsid w:val="00882A62"/>
    <w:rsid w:val="00882B5B"/>
    <w:rsid w:val="00882B81"/>
    <w:rsid w:val="00882F6C"/>
    <w:rsid w:val="008835DE"/>
    <w:rsid w:val="00883757"/>
    <w:rsid w:val="00883E0B"/>
    <w:rsid w:val="00884848"/>
    <w:rsid w:val="00884AA9"/>
    <w:rsid w:val="00884C48"/>
    <w:rsid w:val="0088535B"/>
    <w:rsid w:val="00885649"/>
    <w:rsid w:val="0088574C"/>
    <w:rsid w:val="00885E6C"/>
    <w:rsid w:val="00885F02"/>
    <w:rsid w:val="008867D4"/>
    <w:rsid w:val="00886DA3"/>
    <w:rsid w:val="008877FF"/>
    <w:rsid w:val="00887886"/>
    <w:rsid w:val="008913BA"/>
    <w:rsid w:val="008917A0"/>
    <w:rsid w:val="008918ED"/>
    <w:rsid w:val="00891E52"/>
    <w:rsid w:val="00892A79"/>
    <w:rsid w:val="00892EEC"/>
    <w:rsid w:val="00893694"/>
    <w:rsid w:val="00893EEE"/>
    <w:rsid w:val="008940DB"/>
    <w:rsid w:val="00894322"/>
    <w:rsid w:val="00894691"/>
    <w:rsid w:val="0089557E"/>
    <w:rsid w:val="008955A4"/>
    <w:rsid w:val="008958CE"/>
    <w:rsid w:val="0089610B"/>
    <w:rsid w:val="00896E04"/>
    <w:rsid w:val="008976CF"/>
    <w:rsid w:val="008977E1"/>
    <w:rsid w:val="0089781A"/>
    <w:rsid w:val="00897833"/>
    <w:rsid w:val="008978CE"/>
    <w:rsid w:val="00897F00"/>
    <w:rsid w:val="008A0173"/>
    <w:rsid w:val="008A0486"/>
    <w:rsid w:val="008A0673"/>
    <w:rsid w:val="008A0BDA"/>
    <w:rsid w:val="008A122D"/>
    <w:rsid w:val="008A18ED"/>
    <w:rsid w:val="008A1A11"/>
    <w:rsid w:val="008A1F2D"/>
    <w:rsid w:val="008A2313"/>
    <w:rsid w:val="008A2825"/>
    <w:rsid w:val="008A2A70"/>
    <w:rsid w:val="008A3ECE"/>
    <w:rsid w:val="008A4165"/>
    <w:rsid w:val="008A4486"/>
    <w:rsid w:val="008A473D"/>
    <w:rsid w:val="008A5420"/>
    <w:rsid w:val="008A5D9C"/>
    <w:rsid w:val="008A6C5D"/>
    <w:rsid w:val="008A6F74"/>
    <w:rsid w:val="008A7BED"/>
    <w:rsid w:val="008A7F64"/>
    <w:rsid w:val="008B069B"/>
    <w:rsid w:val="008B1945"/>
    <w:rsid w:val="008B1975"/>
    <w:rsid w:val="008B1A55"/>
    <w:rsid w:val="008B1ACD"/>
    <w:rsid w:val="008B225A"/>
    <w:rsid w:val="008B2407"/>
    <w:rsid w:val="008B43A6"/>
    <w:rsid w:val="008B4641"/>
    <w:rsid w:val="008B4656"/>
    <w:rsid w:val="008B4686"/>
    <w:rsid w:val="008B4A47"/>
    <w:rsid w:val="008B5DC2"/>
    <w:rsid w:val="008B6130"/>
    <w:rsid w:val="008B658D"/>
    <w:rsid w:val="008B684B"/>
    <w:rsid w:val="008B6C15"/>
    <w:rsid w:val="008B7EF1"/>
    <w:rsid w:val="008C0197"/>
    <w:rsid w:val="008C14DE"/>
    <w:rsid w:val="008C28B7"/>
    <w:rsid w:val="008C2AAA"/>
    <w:rsid w:val="008C353C"/>
    <w:rsid w:val="008C3748"/>
    <w:rsid w:val="008C473E"/>
    <w:rsid w:val="008C4E85"/>
    <w:rsid w:val="008C5CA3"/>
    <w:rsid w:val="008C7266"/>
    <w:rsid w:val="008C7B2C"/>
    <w:rsid w:val="008C7E9B"/>
    <w:rsid w:val="008D0292"/>
    <w:rsid w:val="008D0DEA"/>
    <w:rsid w:val="008D0EFB"/>
    <w:rsid w:val="008D12AB"/>
    <w:rsid w:val="008D1CE8"/>
    <w:rsid w:val="008D2171"/>
    <w:rsid w:val="008D2A77"/>
    <w:rsid w:val="008D2DA1"/>
    <w:rsid w:val="008D346B"/>
    <w:rsid w:val="008D373F"/>
    <w:rsid w:val="008D4012"/>
    <w:rsid w:val="008D4B13"/>
    <w:rsid w:val="008D4BE6"/>
    <w:rsid w:val="008D58A6"/>
    <w:rsid w:val="008D59A3"/>
    <w:rsid w:val="008D6134"/>
    <w:rsid w:val="008D62AB"/>
    <w:rsid w:val="008D6CAC"/>
    <w:rsid w:val="008D6DEA"/>
    <w:rsid w:val="008D7868"/>
    <w:rsid w:val="008D7E7E"/>
    <w:rsid w:val="008E037D"/>
    <w:rsid w:val="008E1457"/>
    <w:rsid w:val="008E14A0"/>
    <w:rsid w:val="008E1612"/>
    <w:rsid w:val="008E173C"/>
    <w:rsid w:val="008E27F6"/>
    <w:rsid w:val="008E288C"/>
    <w:rsid w:val="008E2BC5"/>
    <w:rsid w:val="008E2BF3"/>
    <w:rsid w:val="008E2D0E"/>
    <w:rsid w:val="008E2E47"/>
    <w:rsid w:val="008E2EE2"/>
    <w:rsid w:val="008E302B"/>
    <w:rsid w:val="008E3EA5"/>
    <w:rsid w:val="008E3EED"/>
    <w:rsid w:val="008E4EBA"/>
    <w:rsid w:val="008E4F44"/>
    <w:rsid w:val="008E5129"/>
    <w:rsid w:val="008E6512"/>
    <w:rsid w:val="008E6A0C"/>
    <w:rsid w:val="008E6B52"/>
    <w:rsid w:val="008E6E45"/>
    <w:rsid w:val="008E7351"/>
    <w:rsid w:val="008E74DA"/>
    <w:rsid w:val="008E77EB"/>
    <w:rsid w:val="008E7DF3"/>
    <w:rsid w:val="008F0A68"/>
    <w:rsid w:val="008F0EB0"/>
    <w:rsid w:val="008F13B2"/>
    <w:rsid w:val="008F1D28"/>
    <w:rsid w:val="008F1FA3"/>
    <w:rsid w:val="008F26E1"/>
    <w:rsid w:val="008F273B"/>
    <w:rsid w:val="008F31CF"/>
    <w:rsid w:val="008F39C5"/>
    <w:rsid w:val="008F3B05"/>
    <w:rsid w:val="008F3C90"/>
    <w:rsid w:val="008F400E"/>
    <w:rsid w:val="008F4049"/>
    <w:rsid w:val="008F4718"/>
    <w:rsid w:val="008F4A78"/>
    <w:rsid w:val="008F4E13"/>
    <w:rsid w:val="008F6581"/>
    <w:rsid w:val="008F68C2"/>
    <w:rsid w:val="008F6D0E"/>
    <w:rsid w:val="008F7349"/>
    <w:rsid w:val="00900AA5"/>
    <w:rsid w:val="0090199C"/>
    <w:rsid w:val="00901A8B"/>
    <w:rsid w:val="00901D56"/>
    <w:rsid w:val="00902221"/>
    <w:rsid w:val="009030A4"/>
    <w:rsid w:val="009035B5"/>
    <w:rsid w:val="00903D61"/>
    <w:rsid w:val="009045D0"/>
    <w:rsid w:val="0090468A"/>
    <w:rsid w:val="00904723"/>
    <w:rsid w:val="0090538B"/>
    <w:rsid w:val="00906093"/>
    <w:rsid w:val="00906328"/>
    <w:rsid w:val="009064E5"/>
    <w:rsid w:val="0090727B"/>
    <w:rsid w:val="00907280"/>
    <w:rsid w:val="009072AC"/>
    <w:rsid w:val="00907E72"/>
    <w:rsid w:val="00907E94"/>
    <w:rsid w:val="00910154"/>
    <w:rsid w:val="00910156"/>
    <w:rsid w:val="00910BEC"/>
    <w:rsid w:val="00910E5F"/>
    <w:rsid w:val="00911858"/>
    <w:rsid w:val="009119D7"/>
    <w:rsid w:val="00911B79"/>
    <w:rsid w:val="00911BFC"/>
    <w:rsid w:val="0091255A"/>
    <w:rsid w:val="00912979"/>
    <w:rsid w:val="00913808"/>
    <w:rsid w:val="00913BD5"/>
    <w:rsid w:val="00913F2F"/>
    <w:rsid w:val="009144F0"/>
    <w:rsid w:val="00914DD2"/>
    <w:rsid w:val="00914F6F"/>
    <w:rsid w:val="0091540C"/>
    <w:rsid w:val="00915AB7"/>
    <w:rsid w:val="00916E0C"/>
    <w:rsid w:val="009178BD"/>
    <w:rsid w:val="0092027D"/>
    <w:rsid w:val="00920518"/>
    <w:rsid w:val="0092052C"/>
    <w:rsid w:val="009205E5"/>
    <w:rsid w:val="0092060B"/>
    <w:rsid w:val="00920778"/>
    <w:rsid w:val="00920BBD"/>
    <w:rsid w:val="0092125E"/>
    <w:rsid w:val="009215F5"/>
    <w:rsid w:val="00921A0F"/>
    <w:rsid w:val="009223C0"/>
    <w:rsid w:val="00923113"/>
    <w:rsid w:val="009234CA"/>
    <w:rsid w:val="00923893"/>
    <w:rsid w:val="00925221"/>
    <w:rsid w:val="00925416"/>
    <w:rsid w:val="00925843"/>
    <w:rsid w:val="00926658"/>
    <w:rsid w:val="00926A4B"/>
    <w:rsid w:val="0092716B"/>
    <w:rsid w:val="00927493"/>
    <w:rsid w:val="00927710"/>
    <w:rsid w:val="00927B63"/>
    <w:rsid w:val="00927D5A"/>
    <w:rsid w:val="009305BB"/>
    <w:rsid w:val="00931761"/>
    <w:rsid w:val="009319C4"/>
    <w:rsid w:val="00931AC9"/>
    <w:rsid w:val="00932119"/>
    <w:rsid w:val="009327B5"/>
    <w:rsid w:val="00932C2F"/>
    <w:rsid w:val="00933EC0"/>
    <w:rsid w:val="0093435D"/>
    <w:rsid w:val="0093572A"/>
    <w:rsid w:val="00935835"/>
    <w:rsid w:val="009358E0"/>
    <w:rsid w:val="0093598D"/>
    <w:rsid w:val="00935B37"/>
    <w:rsid w:val="0093609C"/>
    <w:rsid w:val="009363FB"/>
    <w:rsid w:val="009364E2"/>
    <w:rsid w:val="00936854"/>
    <w:rsid w:val="00937670"/>
    <w:rsid w:val="00940780"/>
    <w:rsid w:val="00940B64"/>
    <w:rsid w:val="00940D5B"/>
    <w:rsid w:val="00941084"/>
    <w:rsid w:val="0094128D"/>
    <w:rsid w:val="009412A0"/>
    <w:rsid w:val="0094131E"/>
    <w:rsid w:val="00941905"/>
    <w:rsid w:val="00942D5E"/>
    <w:rsid w:val="00942EB2"/>
    <w:rsid w:val="0094303B"/>
    <w:rsid w:val="0094332A"/>
    <w:rsid w:val="00943563"/>
    <w:rsid w:val="00943639"/>
    <w:rsid w:val="00943BF3"/>
    <w:rsid w:val="00944DB3"/>
    <w:rsid w:val="00944F27"/>
    <w:rsid w:val="0094532A"/>
    <w:rsid w:val="009455E6"/>
    <w:rsid w:val="00946E4B"/>
    <w:rsid w:val="00946ED6"/>
    <w:rsid w:val="00946F7C"/>
    <w:rsid w:val="00947527"/>
    <w:rsid w:val="00950624"/>
    <w:rsid w:val="0095081C"/>
    <w:rsid w:val="009508B4"/>
    <w:rsid w:val="009509DF"/>
    <w:rsid w:val="00951080"/>
    <w:rsid w:val="009510CD"/>
    <w:rsid w:val="00951431"/>
    <w:rsid w:val="009517E8"/>
    <w:rsid w:val="009521BC"/>
    <w:rsid w:val="009528AB"/>
    <w:rsid w:val="00953A36"/>
    <w:rsid w:val="00953ECE"/>
    <w:rsid w:val="009543E1"/>
    <w:rsid w:val="0095581F"/>
    <w:rsid w:val="0095585D"/>
    <w:rsid w:val="00955B1E"/>
    <w:rsid w:val="00955D74"/>
    <w:rsid w:val="00955EA8"/>
    <w:rsid w:val="00956ECB"/>
    <w:rsid w:val="00957301"/>
    <w:rsid w:val="0095759D"/>
    <w:rsid w:val="009575A5"/>
    <w:rsid w:val="00957795"/>
    <w:rsid w:val="00957C9F"/>
    <w:rsid w:val="009603F9"/>
    <w:rsid w:val="00960474"/>
    <w:rsid w:val="00960C1F"/>
    <w:rsid w:val="00960DC0"/>
    <w:rsid w:val="00963A19"/>
    <w:rsid w:val="0096425B"/>
    <w:rsid w:val="00964589"/>
    <w:rsid w:val="009649E4"/>
    <w:rsid w:val="00964E4E"/>
    <w:rsid w:val="009655E3"/>
    <w:rsid w:val="00965BA6"/>
    <w:rsid w:val="00965FFC"/>
    <w:rsid w:val="009666BA"/>
    <w:rsid w:val="00967BBF"/>
    <w:rsid w:val="00967C57"/>
    <w:rsid w:val="00970182"/>
    <w:rsid w:val="00970632"/>
    <w:rsid w:val="009709B4"/>
    <w:rsid w:val="00970BBA"/>
    <w:rsid w:val="00970F82"/>
    <w:rsid w:val="0097102A"/>
    <w:rsid w:val="0097125A"/>
    <w:rsid w:val="00971AED"/>
    <w:rsid w:val="00971CD9"/>
    <w:rsid w:val="009724FB"/>
    <w:rsid w:val="00972AB4"/>
    <w:rsid w:val="00972F99"/>
    <w:rsid w:val="00974B62"/>
    <w:rsid w:val="00975B97"/>
    <w:rsid w:val="0097651C"/>
    <w:rsid w:val="00976553"/>
    <w:rsid w:val="0097670E"/>
    <w:rsid w:val="00976F02"/>
    <w:rsid w:val="009771C4"/>
    <w:rsid w:val="0097737A"/>
    <w:rsid w:val="0097739C"/>
    <w:rsid w:val="00981209"/>
    <w:rsid w:val="0098142E"/>
    <w:rsid w:val="00981488"/>
    <w:rsid w:val="00981A0A"/>
    <w:rsid w:val="00981C89"/>
    <w:rsid w:val="00981FB8"/>
    <w:rsid w:val="00983586"/>
    <w:rsid w:val="009836E4"/>
    <w:rsid w:val="00983787"/>
    <w:rsid w:val="00983D73"/>
    <w:rsid w:val="009847A6"/>
    <w:rsid w:val="00984DAD"/>
    <w:rsid w:val="00984EC8"/>
    <w:rsid w:val="0098531B"/>
    <w:rsid w:val="0098556F"/>
    <w:rsid w:val="00985669"/>
    <w:rsid w:val="00985C0D"/>
    <w:rsid w:val="00985FE3"/>
    <w:rsid w:val="009861FE"/>
    <w:rsid w:val="00986382"/>
    <w:rsid w:val="00987823"/>
    <w:rsid w:val="00987949"/>
    <w:rsid w:val="00987EC9"/>
    <w:rsid w:val="00987F58"/>
    <w:rsid w:val="00990C42"/>
    <w:rsid w:val="009912F4"/>
    <w:rsid w:val="00991E26"/>
    <w:rsid w:val="0099251A"/>
    <w:rsid w:val="009934A7"/>
    <w:rsid w:val="0099445A"/>
    <w:rsid w:val="009944B0"/>
    <w:rsid w:val="00994510"/>
    <w:rsid w:val="0099532E"/>
    <w:rsid w:val="009960A9"/>
    <w:rsid w:val="00997C46"/>
    <w:rsid w:val="00997CDB"/>
    <w:rsid w:val="00997DE1"/>
    <w:rsid w:val="00997E71"/>
    <w:rsid w:val="009A03CF"/>
    <w:rsid w:val="009A03D8"/>
    <w:rsid w:val="009A0C25"/>
    <w:rsid w:val="009A0C50"/>
    <w:rsid w:val="009A1A6A"/>
    <w:rsid w:val="009A1C8C"/>
    <w:rsid w:val="009A2923"/>
    <w:rsid w:val="009A2A69"/>
    <w:rsid w:val="009A2EF6"/>
    <w:rsid w:val="009A36C7"/>
    <w:rsid w:val="009A3FD0"/>
    <w:rsid w:val="009A45C2"/>
    <w:rsid w:val="009A476A"/>
    <w:rsid w:val="009A5048"/>
    <w:rsid w:val="009A53D6"/>
    <w:rsid w:val="009A612D"/>
    <w:rsid w:val="009A6166"/>
    <w:rsid w:val="009A6949"/>
    <w:rsid w:val="009A6ABA"/>
    <w:rsid w:val="009A6B74"/>
    <w:rsid w:val="009A6B7E"/>
    <w:rsid w:val="009A6E09"/>
    <w:rsid w:val="009A7273"/>
    <w:rsid w:val="009A769D"/>
    <w:rsid w:val="009A7850"/>
    <w:rsid w:val="009A7F8F"/>
    <w:rsid w:val="009B0B48"/>
    <w:rsid w:val="009B0C26"/>
    <w:rsid w:val="009B1BF2"/>
    <w:rsid w:val="009B23A7"/>
    <w:rsid w:val="009B2524"/>
    <w:rsid w:val="009B284D"/>
    <w:rsid w:val="009B2C46"/>
    <w:rsid w:val="009B3D9E"/>
    <w:rsid w:val="009B3E27"/>
    <w:rsid w:val="009B4161"/>
    <w:rsid w:val="009B4267"/>
    <w:rsid w:val="009B437C"/>
    <w:rsid w:val="009B4896"/>
    <w:rsid w:val="009B54CE"/>
    <w:rsid w:val="009B5920"/>
    <w:rsid w:val="009B5FEB"/>
    <w:rsid w:val="009B675B"/>
    <w:rsid w:val="009B6863"/>
    <w:rsid w:val="009B7F14"/>
    <w:rsid w:val="009C026F"/>
    <w:rsid w:val="009C0A6C"/>
    <w:rsid w:val="009C1929"/>
    <w:rsid w:val="009C32B5"/>
    <w:rsid w:val="009C3D50"/>
    <w:rsid w:val="009C3E91"/>
    <w:rsid w:val="009C4B4C"/>
    <w:rsid w:val="009C4D8C"/>
    <w:rsid w:val="009C5360"/>
    <w:rsid w:val="009C5D05"/>
    <w:rsid w:val="009C5F58"/>
    <w:rsid w:val="009C7750"/>
    <w:rsid w:val="009D02CE"/>
    <w:rsid w:val="009D08FC"/>
    <w:rsid w:val="009D0F47"/>
    <w:rsid w:val="009D140D"/>
    <w:rsid w:val="009D2F54"/>
    <w:rsid w:val="009D35B4"/>
    <w:rsid w:val="009D3E26"/>
    <w:rsid w:val="009D44F3"/>
    <w:rsid w:val="009D4A09"/>
    <w:rsid w:val="009D4DB2"/>
    <w:rsid w:val="009D4FF4"/>
    <w:rsid w:val="009D5A8F"/>
    <w:rsid w:val="009D5AF5"/>
    <w:rsid w:val="009D62C7"/>
    <w:rsid w:val="009D672B"/>
    <w:rsid w:val="009D6D18"/>
    <w:rsid w:val="009D7113"/>
    <w:rsid w:val="009D714D"/>
    <w:rsid w:val="009D72B5"/>
    <w:rsid w:val="009E045D"/>
    <w:rsid w:val="009E0FB3"/>
    <w:rsid w:val="009E162F"/>
    <w:rsid w:val="009E2F92"/>
    <w:rsid w:val="009E313A"/>
    <w:rsid w:val="009E3920"/>
    <w:rsid w:val="009E39FE"/>
    <w:rsid w:val="009E4F8E"/>
    <w:rsid w:val="009E5182"/>
    <w:rsid w:val="009E523C"/>
    <w:rsid w:val="009E589F"/>
    <w:rsid w:val="009E59B4"/>
    <w:rsid w:val="009E67A8"/>
    <w:rsid w:val="009E6881"/>
    <w:rsid w:val="009E6BE2"/>
    <w:rsid w:val="009E731F"/>
    <w:rsid w:val="009E7382"/>
    <w:rsid w:val="009E7C01"/>
    <w:rsid w:val="009E7ED5"/>
    <w:rsid w:val="009F0054"/>
    <w:rsid w:val="009F016B"/>
    <w:rsid w:val="009F0A00"/>
    <w:rsid w:val="009F10D8"/>
    <w:rsid w:val="009F18D3"/>
    <w:rsid w:val="009F1C3C"/>
    <w:rsid w:val="009F2862"/>
    <w:rsid w:val="009F2AE1"/>
    <w:rsid w:val="009F2CC7"/>
    <w:rsid w:val="009F347D"/>
    <w:rsid w:val="009F3B86"/>
    <w:rsid w:val="009F4056"/>
    <w:rsid w:val="009F4D5B"/>
    <w:rsid w:val="009F4DB2"/>
    <w:rsid w:val="009F5D69"/>
    <w:rsid w:val="009F6160"/>
    <w:rsid w:val="009F6317"/>
    <w:rsid w:val="009F6560"/>
    <w:rsid w:val="009F6F4D"/>
    <w:rsid w:val="009F77CF"/>
    <w:rsid w:val="009F7E3F"/>
    <w:rsid w:val="009F7F6D"/>
    <w:rsid w:val="00A0187A"/>
    <w:rsid w:val="00A018DD"/>
    <w:rsid w:val="00A01A20"/>
    <w:rsid w:val="00A01ED4"/>
    <w:rsid w:val="00A0237E"/>
    <w:rsid w:val="00A03437"/>
    <w:rsid w:val="00A0455C"/>
    <w:rsid w:val="00A04C0F"/>
    <w:rsid w:val="00A05050"/>
    <w:rsid w:val="00A050B7"/>
    <w:rsid w:val="00A055BB"/>
    <w:rsid w:val="00A05BEB"/>
    <w:rsid w:val="00A0605E"/>
    <w:rsid w:val="00A0675C"/>
    <w:rsid w:val="00A06AA7"/>
    <w:rsid w:val="00A06C42"/>
    <w:rsid w:val="00A06E3A"/>
    <w:rsid w:val="00A07521"/>
    <w:rsid w:val="00A07E51"/>
    <w:rsid w:val="00A100AB"/>
    <w:rsid w:val="00A1066B"/>
    <w:rsid w:val="00A10FA7"/>
    <w:rsid w:val="00A11527"/>
    <w:rsid w:val="00A116E9"/>
    <w:rsid w:val="00A11BCB"/>
    <w:rsid w:val="00A11DC3"/>
    <w:rsid w:val="00A11E29"/>
    <w:rsid w:val="00A12673"/>
    <w:rsid w:val="00A12BEC"/>
    <w:rsid w:val="00A132B8"/>
    <w:rsid w:val="00A13B62"/>
    <w:rsid w:val="00A13E4E"/>
    <w:rsid w:val="00A1485E"/>
    <w:rsid w:val="00A149EA"/>
    <w:rsid w:val="00A14DCE"/>
    <w:rsid w:val="00A160D9"/>
    <w:rsid w:val="00A1619D"/>
    <w:rsid w:val="00A165B8"/>
    <w:rsid w:val="00A1685D"/>
    <w:rsid w:val="00A16A22"/>
    <w:rsid w:val="00A17149"/>
    <w:rsid w:val="00A1736D"/>
    <w:rsid w:val="00A2101C"/>
    <w:rsid w:val="00A21912"/>
    <w:rsid w:val="00A2220D"/>
    <w:rsid w:val="00A2282F"/>
    <w:rsid w:val="00A22852"/>
    <w:rsid w:val="00A233AC"/>
    <w:rsid w:val="00A23919"/>
    <w:rsid w:val="00A2394C"/>
    <w:rsid w:val="00A24045"/>
    <w:rsid w:val="00A24C2E"/>
    <w:rsid w:val="00A25195"/>
    <w:rsid w:val="00A251D7"/>
    <w:rsid w:val="00A2549B"/>
    <w:rsid w:val="00A25997"/>
    <w:rsid w:val="00A262B5"/>
    <w:rsid w:val="00A27426"/>
    <w:rsid w:val="00A27EC2"/>
    <w:rsid w:val="00A30288"/>
    <w:rsid w:val="00A302A6"/>
    <w:rsid w:val="00A30BB5"/>
    <w:rsid w:val="00A30BF6"/>
    <w:rsid w:val="00A30D9F"/>
    <w:rsid w:val="00A31115"/>
    <w:rsid w:val="00A314A9"/>
    <w:rsid w:val="00A31D71"/>
    <w:rsid w:val="00A32153"/>
    <w:rsid w:val="00A32272"/>
    <w:rsid w:val="00A3256E"/>
    <w:rsid w:val="00A329BA"/>
    <w:rsid w:val="00A32EE5"/>
    <w:rsid w:val="00A33544"/>
    <w:rsid w:val="00A33720"/>
    <w:rsid w:val="00A33A7B"/>
    <w:rsid w:val="00A3644C"/>
    <w:rsid w:val="00A36FDF"/>
    <w:rsid w:val="00A376A7"/>
    <w:rsid w:val="00A400AF"/>
    <w:rsid w:val="00A40A84"/>
    <w:rsid w:val="00A40B18"/>
    <w:rsid w:val="00A410BA"/>
    <w:rsid w:val="00A410EA"/>
    <w:rsid w:val="00A418B4"/>
    <w:rsid w:val="00A41D6B"/>
    <w:rsid w:val="00A42EA2"/>
    <w:rsid w:val="00A4371C"/>
    <w:rsid w:val="00A43A35"/>
    <w:rsid w:val="00A4489A"/>
    <w:rsid w:val="00A44A18"/>
    <w:rsid w:val="00A44D94"/>
    <w:rsid w:val="00A4505E"/>
    <w:rsid w:val="00A45195"/>
    <w:rsid w:val="00A459C3"/>
    <w:rsid w:val="00A46029"/>
    <w:rsid w:val="00A4609C"/>
    <w:rsid w:val="00A464B3"/>
    <w:rsid w:val="00A4716E"/>
    <w:rsid w:val="00A47B7F"/>
    <w:rsid w:val="00A5015D"/>
    <w:rsid w:val="00A50E58"/>
    <w:rsid w:val="00A51163"/>
    <w:rsid w:val="00A5118E"/>
    <w:rsid w:val="00A51DE2"/>
    <w:rsid w:val="00A52347"/>
    <w:rsid w:val="00A5331D"/>
    <w:rsid w:val="00A536C3"/>
    <w:rsid w:val="00A53AAB"/>
    <w:rsid w:val="00A53F3C"/>
    <w:rsid w:val="00A544AA"/>
    <w:rsid w:val="00A548F2"/>
    <w:rsid w:val="00A55837"/>
    <w:rsid w:val="00A56CF4"/>
    <w:rsid w:val="00A56D81"/>
    <w:rsid w:val="00A5789F"/>
    <w:rsid w:val="00A6047B"/>
    <w:rsid w:val="00A60AB6"/>
    <w:rsid w:val="00A6248E"/>
    <w:rsid w:val="00A628AC"/>
    <w:rsid w:val="00A62C68"/>
    <w:rsid w:val="00A63AFC"/>
    <w:rsid w:val="00A64053"/>
    <w:rsid w:val="00A6468F"/>
    <w:rsid w:val="00A64E39"/>
    <w:rsid w:val="00A65E04"/>
    <w:rsid w:val="00A66151"/>
    <w:rsid w:val="00A669B7"/>
    <w:rsid w:val="00A66E96"/>
    <w:rsid w:val="00A6708C"/>
    <w:rsid w:val="00A67734"/>
    <w:rsid w:val="00A6794C"/>
    <w:rsid w:val="00A67A15"/>
    <w:rsid w:val="00A67B01"/>
    <w:rsid w:val="00A702CB"/>
    <w:rsid w:val="00A71367"/>
    <w:rsid w:val="00A714E0"/>
    <w:rsid w:val="00A71C76"/>
    <w:rsid w:val="00A72116"/>
    <w:rsid w:val="00A721D5"/>
    <w:rsid w:val="00A722A8"/>
    <w:rsid w:val="00A7276B"/>
    <w:rsid w:val="00A72801"/>
    <w:rsid w:val="00A72F07"/>
    <w:rsid w:val="00A73755"/>
    <w:rsid w:val="00A73BBC"/>
    <w:rsid w:val="00A75631"/>
    <w:rsid w:val="00A764E4"/>
    <w:rsid w:val="00A7688C"/>
    <w:rsid w:val="00A77029"/>
    <w:rsid w:val="00A773E1"/>
    <w:rsid w:val="00A7774B"/>
    <w:rsid w:val="00A80307"/>
    <w:rsid w:val="00A80335"/>
    <w:rsid w:val="00A80CC3"/>
    <w:rsid w:val="00A820AD"/>
    <w:rsid w:val="00A827E0"/>
    <w:rsid w:val="00A83C97"/>
    <w:rsid w:val="00A847BC"/>
    <w:rsid w:val="00A84DB6"/>
    <w:rsid w:val="00A86FA9"/>
    <w:rsid w:val="00A87FD7"/>
    <w:rsid w:val="00A90531"/>
    <w:rsid w:val="00A90CE5"/>
    <w:rsid w:val="00A91492"/>
    <w:rsid w:val="00A91526"/>
    <w:rsid w:val="00A91F09"/>
    <w:rsid w:val="00A93571"/>
    <w:rsid w:val="00A954F1"/>
    <w:rsid w:val="00A95830"/>
    <w:rsid w:val="00A96C13"/>
    <w:rsid w:val="00A97D57"/>
    <w:rsid w:val="00AA0069"/>
    <w:rsid w:val="00AA03E6"/>
    <w:rsid w:val="00AA04A6"/>
    <w:rsid w:val="00AA0744"/>
    <w:rsid w:val="00AA0A8E"/>
    <w:rsid w:val="00AA0D6C"/>
    <w:rsid w:val="00AA16EE"/>
    <w:rsid w:val="00AA1A96"/>
    <w:rsid w:val="00AA2814"/>
    <w:rsid w:val="00AA287E"/>
    <w:rsid w:val="00AA2B7C"/>
    <w:rsid w:val="00AA2ECD"/>
    <w:rsid w:val="00AA348A"/>
    <w:rsid w:val="00AA425D"/>
    <w:rsid w:val="00AA4C03"/>
    <w:rsid w:val="00AA56CF"/>
    <w:rsid w:val="00AA5738"/>
    <w:rsid w:val="00AA57EF"/>
    <w:rsid w:val="00AA5B69"/>
    <w:rsid w:val="00AA5C10"/>
    <w:rsid w:val="00AA6720"/>
    <w:rsid w:val="00AA6AAE"/>
    <w:rsid w:val="00AA6CF7"/>
    <w:rsid w:val="00AA6F97"/>
    <w:rsid w:val="00AA750B"/>
    <w:rsid w:val="00AA7689"/>
    <w:rsid w:val="00AA7A6C"/>
    <w:rsid w:val="00AA7B05"/>
    <w:rsid w:val="00AB099C"/>
    <w:rsid w:val="00AB13C8"/>
    <w:rsid w:val="00AB197B"/>
    <w:rsid w:val="00AB1F38"/>
    <w:rsid w:val="00AB2EAA"/>
    <w:rsid w:val="00AB322A"/>
    <w:rsid w:val="00AB331A"/>
    <w:rsid w:val="00AB464A"/>
    <w:rsid w:val="00AB4B53"/>
    <w:rsid w:val="00AB4FCA"/>
    <w:rsid w:val="00AB6036"/>
    <w:rsid w:val="00AB65B4"/>
    <w:rsid w:val="00AB6B5A"/>
    <w:rsid w:val="00AB6BBA"/>
    <w:rsid w:val="00AB7319"/>
    <w:rsid w:val="00AB7760"/>
    <w:rsid w:val="00AB7E1D"/>
    <w:rsid w:val="00AB7F76"/>
    <w:rsid w:val="00AB7FF8"/>
    <w:rsid w:val="00AC026B"/>
    <w:rsid w:val="00AC0D49"/>
    <w:rsid w:val="00AC10DA"/>
    <w:rsid w:val="00AC130F"/>
    <w:rsid w:val="00AC1C15"/>
    <w:rsid w:val="00AC1F83"/>
    <w:rsid w:val="00AC3759"/>
    <w:rsid w:val="00AC3D73"/>
    <w:rsid w:val="00AC4856"/>
    <w:rsid w:val="00AC4B78"/>
    <w:rsid w:val="00AC698E"/>
    <w:rsid w:val="00AC7C30"/>
    <w:rsid w:val="00AD00CF"/>
    <w:rsid w:val="00AD04F7"/>
    <w:rsid w:val="00AD0E60"/>
    <w:rsid w:val="00AD16FD"/>
    <w:rsid w:val="00AD182B"/>
    <w:rsid w:val="00AD1926"/>
    <w:rsid w:val="00AD2512"/>
    <w:rsid w:val="00AD296E"/>
    <w:rsid w:val="00AD302E"/>
    <w:rsid w:val="00AD32BA"/>
    <w:rsid w:val="00AD3F8A"/>
    <w:rsid w:val="00AD3FC1"/>
    <w:rsid w:val="00AD48C4"/>
    <w:rsid w:val="00AD502A"/>
    <w:rsid w:val="00AD531D"/>
    <w:rsid w:val="00AD58F6"/>
    <w:rsid w:val="00AD618D"/>
    <w:rsid w:val="00AD6467"/>
    <w:rsid w:val="00AD6572"/>
    <w:rsid w:val="00AD6F29"/>
    <w:rsid w:val="00AD6FA4"/>
    <w:rsid w:val="00AE0189"/>
    <w:rsid w:val="00AE0A43"/>
    <w:rsid w:val="00AE0C9A"/>
    <w:rsid w:val="00AE0E1D"/>
    <w:rsid w:val="00AE16B6"/>
    <w:rsid w:val="00AE271F"/>
    <w:rsid w:val="00AE2799"/>
    <w:rsid w:val="00AE27CD"/>
    <w:rsid w:val="00AE3180"/>
    <w:rsid w:val="00AE3CD8"/>
    <w:rsid w:val="00AE4590"/>
    <w:rsid w:val="00AE465A"/>
    <w:rsid w:val="00AE47D4"/>
    <w:rsid w:val="00AE4A18"/>
    <w:rsid w:val="00AE4BD6"/>
    <w:rsid w:val="00AE4EB4"/>
    <w:rsid w:val="00AE5290"/>
    <w:rsid w:val="00AE5F60"/>
    <w:rsid w:val="00AE653F"/>
    <w:rsid w:val="00AE68B3"/>
    <w:rsid w:val="00AE6E26"/>
    <w:rsid w:val="00AE6E7D"/>
    <w:rsid w:val="00AE715A"/>
    <w:rsid w:val="00AE751F"/>
    <w:rsid w:val="00AE7FDC"/>
    <w:rsid w:val="00AF02AA"/>
    <w:rsid w:val="00AF0413"/>
    <w:rsid w:val="00AF07B4"/>
    <w:rsid w:val="00AF4139"/>
    <w:rsid w:val="00AF455A"/>
    <w:rsid w:val="00AF4B62"/>
    <w:rsid w:val="00AF5039"/>
    <w:rsid w:val="00AF576C"/>
    <w:rsid w:val="00AF5DC9"/>
    <w:rsid w:val="00AF62E4"/>
    <w:rsid w:val="00AF7112"/>
    <w:rsid w:val="00AF7732"/>
    <w:rsid w:val="00AF7793"/>
    <w:rsid w:val="00AF7A26"/>
    <w:rsid w:val="00AF7A4A"/>
    <w:rsid w:val="00B0033E"/>
    <w:rsid w:val="00B003C7"/>
    <w:rsid w:val="00B00842"/>
    <w:rsid w:val="00B00EBC"/>
    <w:rsid w:val="00B00FE9"/>
    <w:rsid w:val="00B01614"/>
    <w:rsid w:val="00B016A1"/>
    <w:rsid w:val="00B01FC7"/>
    <w:rsid w:val="00B0249A"/>
    <w:rsid w:val="00B02A85"/>
    <w:rsid w:val="00B03045"/>
    <w:rsid w:val="00B032B8"/>
    <w:rsid w:val="00B0377B"/>
    <w:rsid w:val="00B045A2"/>
    <w:rsid w:val="00B04E05"/>
    <w:rsid w:val="00B04E6E"/>
    <w:rsid w:val="00B06968"/>
    <w:rsid w:val="00B069D7"/>
    <w:rsid w:val="00B06DA0"/>
    <w:rsid w:val="00B078A5"/>
    <w:rsid w:val="00B07931"/>
    <w:rsid w:val="00B10983"/>
    <w:rsid w:val="00B11D54"/>
    <w:rsid w:val="00B11DAB"/>
    <w:rsid w:val="00B1505A"/>
    <w:rsid w:val="00B15126"/>
    <w:rsid w:val="00B1746D"/>
    <w:rsid w:val="00B211F2"/>
    <w:rsid w:val="00B21876"/>
    <w:rsid w:val="00B220E5"/>
    <w:rsid w:val="00B22CDE"/>
    <w:rsid w:val="00B22EE9"/>
    <w:rsid w:val="00B23956"/>
    <w:rsid w:val="00B2402C"/>
    <w:rsid w:val="00B2466D"/>
    <w:rsid w:val="00B25B45"/>
    <w:rsid w:val="00B264F0"/>
    <w:rsid w:val="00B2662E"/>
    <w:rsid w:val="00B2769D"/>
    <w:rsid w:val="00B306AC"/>
    <w:rsid w:val="00B3070A"/>
    <w:rsid w:val="00B31AF2"/>
    <w:rsid w:val="00B31CBE"/>
    <w:rsid w:val="00B324DA"/>
    <w:rsid w:val="00B3288B"/>
    <w:rsid w:val="00B3296C"/>
    <w:rsid w:val="00B3332D"/>
    <w:rsid w:val="00B33965"/>
    <w:rsid w:val="00B33B44"/>
    <w:rsid w:val="00B34078"/>
    <w:rsid w:val="00B34264"/>
    <w:rsid w:val="00B3442A"/>
    <w:rsid w:val="00B34554"/>
    <w:rsid w:val="00B34965"/>
    <w:rsid w:val="00B351F7"/>
    <w:rsid w:val="00B35519"/>
    <w:rsid w:val="00B3555B"/>
    <w:rsid w:val="00B35774"/>
    <w:rsid w:val="00B3669B"/>
    <w:rsid w:val="00B368D5"/>
    <w:rsid w:val="00B36A28"/>
    <w:rsid w:val="00B37373"/>
    <w:rsid w:val="00B37582"/>
    <w:rsid w:val="00B37BDC"/>
    <w:rsid w:val="00B37FB4"/>
    <w:rsid w:val="00B405BB"/>
    <w:rsid w:val="00B40670"/>
    <w:rsid w:val="00B40D18"/>
    <w:rsid w:val="00B41659"/>
    <w:rsid w:val="00B41DD5"/>
    <w:rsid w:val="00B41F4B"/>
    <w:rsid w:val="00B42355"/>
    <w:rsid w:val="00B423C5"/>
    <w:rsid w:val="00B438F1"/>
    <w:rsid w:val="00B43BA8"/>
    <w:rsid w:val="00B43C3B"/>
    <w:rsid w:val="00B4458C"/>
    <w:rsid w:val="00B446E1"/>
    <w:rsid w:val="00B4606C"/>
    <w:rsid w:val="00B46507"/>
    <w:rsid w:val="00B467AB"/>
    <w:rsid w:val="00B469B5"/>
    <w:rsid w:val="00B46E51"/>
    <w:rsid w:val="00B46F65"/>
    <w:rsid w:val="00B47065"/>
    <w:rsid w:val="00B47109"/>
    <w:rsid w:val="00B471EE"/>
    <w:rsid w:val="00B4727A"/>
    <w:rsid w:val="00B47368"/>
    <w:rsid w:val="00B50549"/>
    <w:rsid w:val="00B5054F"/>
    <w:rsid w:val="00B517C7"/>
    <w:rsid w:val="00B52478"/>
    <w:rsid w:val="00B52791"/>
    <w:rsid w:val="00B53343"/>
    <w:rsid w:val="00B53D5E"/>
    <w:rsid w:val="00B545B3"/>
    <w:rsid w:val="00B550C0"/>
    <w:rsid w:val="00B55B74"/>
    <w:rsid w:val="00B55E06"/>
    <w:rsid w:val="00B55FE7"/>
    <w:rsid w:val="00B568BB"/>
    <w:rsid w:val="00B56CD2"/>
    <w:rsid w:val="00B56FB7"/>
    <w:rsid w:val="00B572AB"/>
    <w:rsid w:val="00B607D9"/>
    <w:rsid w:val="00B60AAE"/>
    <w:rsid w:val="00B61223"/>
    <w:rsid w:val="00B612F6"/>
    <w:rsid w:val="00B61356"/>
    <w:rsid w:val="00B6162D"/>
    <w:rsid w:val="00B62239"/>
    <w:rsid w:val="00B626D0"/>
    <w:rsid w:val="00B62897"/>
    <w:rsid w:val="00B62DB3"/>
    <w:rsid w:val="00B638F6"/>
    <w:rsid w:val="00B63CFE"/>
    <w:rsid w:val="00B658D2"/>
    <w:rsid w:val="00B65BB4"/>
    <w:rsid w:val="00B662C9"/>
    <w:rsid w:val="00B66326"/>
    <w:rsid w:val="00B66A4E"/>
    <w:rsid w:val="00B67CAF"/>
    <w:rsid w:val="00B70880"/>
    <w:rsid w:val="00B711D5"/>
    <w:rsid w:val="00B71211"/>
    <w:rsid w:val="00B7175E"/>
    <w:rsid w:val="00B71D7A"/>
    <w:rsid w:val="00B72046"/>
    <w:rsid w:val="00B721AE"/>
    <w:rsid w:val="00B724A8"/>
    <w:rsid w:val="00B755B8"/>
    <w:rsid w:val="00B757F5"/>
    <w:rsid w:val="00B75B79"/>
    <w:rsid w:val="00B76042"/>
    <w:rsid w:val="00B7612E"/>
    <w:rsid w:val="00B771B3"/>
    <w:rsid w:val="00B7720F"/>
    <w:rsid w:val="00B77923"/>
    <w:rsid w:val="00B807FE"/>
    <w:rsid w:val="00B80B69"/>
    <w:rsid w:val="00B813C3"/>
    <w:rsid w:val="00B81F4C"/>
    <w:rsid w:val="00B82046"/>
    <w:rsid w:val="00B828CE"/>
    <w:rsid w:val="00B828E7"/>
    <w:rsid w:val="00B834EF"/>
    <w:rsid w:val="00B848D1"/>
    <w:rsid w:val="00B84943"/>
    <w:rsid w:val="00B84F2C"/>
    <w:rsid w:val="00B855F0"/>
    <w:rsid w:val="00B857D7"/>
    <w:rsid w:val="00B8640E"/>
    <w:rsid w:val="00B878CC"/>
    <w:rsid w:val="00B87B08"/>
    <w:rsid w:val="00B906F8"/>
    <w:rsid w:val="00B91277"/>
    <w:rsid w:val="00B91BF5"/>
    <w:rsid w:val="00B91F73"/>
    <w:rsid w:val="00B93DFC"/>
    <w:rsid w:val="00B9467E"/>
    <w:rsid w:val="00B95DCF"/>
    <w:rsid w:val="00B9624A"/>
    <w:rsid w:val="00B97A90"/>
    <w:rsid w:val="00B97D52"/>
    <w:rsid w:val="00BA0C15"/>
    <w:rsid w:val="00BA0DE5"/>
    <w:rsid w:val="00BA1A2F"/>
    <w:rsid w:val="00BA1B07"/>
    <w:rsid w:val="00BA1D7C"/>
    <w:rsid w:val="00BA1F56"/>
    <w:rsid w:val="00BA204D"/>
    <w:rsid w:val="00BA20AA"/>
    <w:rsid w:val="00BA2113"/>
    <w:rsid w:val="00BA296E"/>
    <w:rsid w:val="00BA2EAD"/>
    <w:rsid w:val="00BA364F"/>
    <w:rsid w:val="00BA4572"/>
    <w:rsid w:val="00BA56A2"/>
    <w:rsid w:val="00BA56BF"/>
    <w:rsid w:val="00BA6199"/>
    <w:rsid w:val="00BA6A41"/>
    <w:rsid w:val="00BA70B0"/>
    <w:rsid w:val="00BA7EE6"/>
    <w:rsid w:val="00BB17C3"/>
    <w:rsid w:val="00BB2D9D"/>
    <w:rsid w:val="00BB30A1"/>
    <w:rsid w:val="00BB3ACB"/>
    <w:rsid w:val="00BB3FE1"/>
    <w:rsid w:val="00BB4543"/>
    <w:rsid w:val="00BB4946"/>
    <w:rsid w:val="00BB4F10"/>
    <w:rsid w:val="00BB4F37"/>
    <w:rsid w:val="00BB5758"/>
    <w:rsid w:val="00BB5AF7"/>
    <w:rsid w:val="00BB5B34"/>
    <w:rsid w:val="00BB71A6"/>
    <w:rsid w:val="00BB71C8"/>
    <w:rsid w:val="00BB72C6"/>
    <w:rsid w:val="00BB752E"/>
    <w:rsid w:val="00BB77A1"/>
    <w:rsid w:val="00BB7A26"/>
    <w:rsid w:val="00BC0D68"/>
    <w:rsid w:val="00BC125C"/>
    <w:rsid w:val="00BC147D"/>
    <w:rsid w:val="00BC1534"/>
    <w:rsid w:val="00BC184A"/>
    <w:rsid w:val="00BC1C88"/>
    <w:rsid w:val="00BC283B"/>
    <w:rsid w:val="00BC2982"/>
    <w:rsid w:val="00BC29D5"/>
    <w:rsid w:val="00BC2E2A"/>
    <w:rsid w:val="00BC324D"/>
    <w:rsid w:val="00BC3762"/>
    <w:rsid w:val="00BC3DDE"/>
    <w:rsid w:val="00BC4198"/>
    <w:rsid w:val="00BC4319"/>
    <w:rsid w:val="00BC466E"/>
    <w:rsid w:val="00BC4DDE"/>
    <w:rsid w:val="00BC4E2B"/>
    <w:rsid w:val="00BC5057"/>
    <w:rsid w:val="00BC5899"/>
    <w:rsid w:val="00BC5A19"/>
    <w:rsid w:val="00BC5FE9"/>
    <w:rsid w:val="00BC7204"/>
    <w:rsid w:val="00BC732F"/>
    <w:rsid w:val="00BC7E43"/>
    <w:rsid w:val="00BC7E8A"/>
    <w:rsid w:val="00BD08CC"/>
    <w:rsid w:val="00BD09CB"/>
    <w:rsid w:val="00BD0ADE"/>
    <w:rsid w:val="00BD2089"/>
    <w:rsid w:val="00BD210B"/>
    <w:rsid w:val="00BD288D"/>
    <w:rsid w:val="00BD3A14"/>
    <w:rsid w:val="00BD3FFC"/>
    <w:rsid w:val="00BD4AD9"/>
    <w:rsid w:val="00BD57D6"/>
    <w:rsid w:val="00BD6B19"/>
    <w:rsid w:val="00BD6CCE"/>
    <w:rsid w:val="00BD6F50"/>
    <w:rsid w:val="00BD7648"/>
    <w:rsid w:val="00BD782B"/>
    <w:rsid w:val="00BE0194"/>
    <w:rsid w:val="00BE2564"/>
    <w:rsid w:val="00BE268E"/>
    <w:rsid w:val="00BE29CC"/>
    <w:rsid w:val="00BE3545"/>
    <w:rsid w:val="00BE3D2D"/>
    <w:rsid w:val="00BE463C"/>
    <w:rsid w:val="00BE500F"/>
    <w:rsid w:val="00BE5B3E"/>
    <w:rsid w:val="00BE5E1B"/>
    <w:rsid w:val="00BE63E0"/>
    <w:rsid w:val="00BE64CC"/>
    <w:rsid w:val="00BE6C74"/>
    <w:rsid w:val="00BE73AE"/>
    <w:rsid w:val="00BE7419"/>
    <w:rsid w:val="00BF06ED"/>
    <w:rsid w:val="00BF129F"/>
    <w:rsid w:val="00BF130F"/>
    <w:rsid w:val="00BF1CFF"/>
    <w:rsid w:val="00BF224C"/>
    <w:rsid w:val="00BF25C7"/>
    <w:rsid w:val="00BF2BF4"/>
    <w:rsid w:val="00BF2CEC"/>
    <w:rsid w:val="00BF2ED2"/>
    <w:rsid w:val="00BF39F9"/>
    <w:rsid w:val="00BF3A1F"/>
    <w:rsid w:val="00BF4609"/>
    <w:rsid w:val="00BF4A30"/>
    <w:rsid w:val="00BF4DE3"/>
    <w:rsid w:val="00BF5002"/>
    <w:rsid w:val="00BF6C40"/>
    <w:rsid w:val="00BF7A20"/>
    <w:rsid w:val="00BF7A64"/>
    <w:rsid w:val="00BF7EEB"/>
    <w:rsid w:val="00C00171"/>
    <w:rsid w:val="00C00649"/>
    <w:rsid w:val="00C00CE9"/>
    <w:rsid w:val="00C013BB"/>
    <w:rsid w:val="00C019B6"/>
    <w:rsid w:val="00C01F9C"/>
    <w:rsid w:val="00C02058"/>
    <w:rsid w:val="00C02168"/>
    <w:rsid w:val="00C02BFC"/>
    <w:rsid w:val="00C0338D"/>
    <w:rsid w:val="00C034C4"/>
    <w:rsid w:val="00C03C83"/>
    <w:rsid w:val="00C04286"/>
    <w:rsid w:val="00C04E8D"/>
    <w:rsid w:val="00C0612C"/>
    <w:rsid w:val="00C064E4"/>
    <w:rsid w:val="00C064ED"/>
    <w:rsid w:val="00C07193"/>
    <w:rsid w:val="00C072E1"/>
    <w:rsid w:val="00C07A34"/>
    <w:rsid w:val="00C10140"/>
    <w:rsid w:val="00C10518"/>
    <w:rsid w:val="00C105B6"/>
    <w:rsid w:val="00C107F7"/>
    <w:rsid w:val="00C10E84"/>
    <w:rsid w:val="00C11376"/>
    <w:rsid w:val="00C11383"/>
    <w:rsid w:val="00C115F0"/>
    <w:rsid w:val="00C11A34"/>
    <w:rsid w:val="00C11FBD"/>
    <w:rsid w:val="00C122D9"/>
    <w:rsid w:val="00C13DB4"/>
    <w:rsid w:val="00C14058"/>
    <w:rsid w:val="00C147AD"/>
    <w:rsid w:val="00C15874"/>
    <w:rsid w:val="00C1650A"/>
    <w:rsid w:val="00C175F5"/>
    <w:rsid w:val="00C17796"/>
    <w:rsid w:val="00C2075E"/>
    <w:rsid w:val="00C20BB0"/>
    <w:rsid w:val="00C213B5"/>
    <w:rsid w:val="00C21488"/>
    <w:rsid w:val="00C21630"/>
    <w:rsid w:val="00C21669"/>
    <w:rsid w:val="00C22704"/>
    <w:rsid w:val="00C22B01"/>
    <w:rsid w:val="00C22B11"/>
    <w:rsid w:val="00C237AF"/>
    <w:rsid w:val="00C23ACD"/>
    <w:rsid w:val="00C23CFC"/>
    <w:rsid w:val="00C245BE"/>
    <w:rsid w:val="00C24913"/>
    <w:rsid w:val="00C252A3"/>
    <w:rsid w:val="00C255B8"/>
    <w:rsid w:val="00C25DE8"/>
    <w:rsid w:val="00C25F45"/>
    <w:rsid w:val="00C26CC3"/>
    <w:rsid w:val="00C274D3"/>
    <w:rsid w:val="00C30010"/>
    <w:rsid w:val="00C30566"/>
    <w:rsid w:val="00C3068D"/>
    <w:rsid w:val="00C30F2F"/>
    <w:rsid w:val="00C313BC"/>
    <w:rsid w:val="00C315BD"/>
    <w:rsid w:val="00C31905"/>
    <w:rsid w:val="00C321EE"/>
    <w:rsid w:val="00C325D8"/>
    <w:rsid w:val="00C328FA"/>
    <w:rsid w:val="00C3348E"/>
    <w:rsid w:val="00C34EAA"/>
    <w:rsid w:val="00C35315"/>
    <w:rsid w:val="00C35392"/>
    <w:rsid w:val="00C3560C"/>
    <w:rsid w:val="00C35C4D"/>
    <w:rsid w:val="00C36251"/>
    <w:rsid w:val="00C3641F"/>
    <w:rsid w:val="00C36611"/>
    <w:rsid w:val="00C36922"/>
    <w:rsid w:val="00C36A99"/>
    <w:rsid w:val="00C37716"/>
    <w:rsid w:val="00C37C7C"/>
    <w:rsid w:val="00C40021"/>
    <w:rsid w:val="00C402F5"/>
    <w:rsid w:val="00C40B25"/>
    <w:rsid w:val="00C40B70"/>
    <w:rsid w:val="00C4226C"/>
    <w:rsid w:val="00C431D6"/>
    <w:rsid w:val="00C4489F"/>
    <w:rsid w:val="00C44FFB"/>
    <w:rsid w:val="00C4552E"/>
    <w:rsid w:val="00C45FA4"/>
    <w:rsid w:val="00C46332"/>
    <w:rsid w:val="00C46CDE"/>
    <w:rsid w:val="00C47438"/>
    <w:rsid w:val="00C4752E"/>
    <w:rsid w:val="00C50814"/>
    <w:rsid w:val="00C50928"/>
    <w:rsid w:val="00C50F4D"/>
    <w:rsid w:val="00C514DF"/>
    <w:rsid w:val="00C519DC"/>
    <w:rsid w:val="00C51EFA"/>
    <w:rsid w:val="00C52B6F"/>
    <w:rsid w:val="00C5322C"/>
    <w:rsid w:val="00C53BFC"/>
    <w:rsid w:val="00C53FE2"/>
    <w:rsid w:val="00C55367"/>
    <w:rsid w:val="00C55CC8"/>
    <w:rsid w:val="00C55F42"/>
    <w:rsid w:val="00C565F0"/>
    <w:rsid w:val="00C56AEC"/>
    <w:rsid w:val="00C56CD4"/>
    <w:rsid w:val="00C576D7"/>
    <w:rsid w:val="00C60478"/>
    <w:rsid w:val="00C60706"/>
    <w:rsid w:val="00C61C1D"/>
    <w:rsid w:val="00C6300B"/>
    <w:rsid w:val="00C63A3D"/>
    <w:rsid w:val="00C63E13"/>
    <w:rsid w:val="00C64023"/>
    <w:rsid w:val="00C64814"/>
    <w:rsid w:val="00C64BC4"/>
    <w:rsid w:val="00C65211"/>
    <w:rsid w:val="00C656A9"/>
    <w:rsid w:val="00C6584E"/>
    <w:rsid w:val="00C66689"/>
    <w:rsid w:val="00C674B0"/>
    <w:rsid w:val="00C67DDD"/>
    <w:rsid w:val="00C70448"/>
    <w:rsid w:val="00C714C7"/>
    <w:rsid w:val="00C7178C"/>
    <w:rsid w:val="00C71ECB"/>
    <w:rsid w:val="00C72B66"/>
    <w:rsid w:val="00C72D3B"/>
    <w:rsid w:val="00C72E23"/>
    <w:rsid w:val="00C735A0"/>
    <w:rsid w:val="00C738DD"/>
    <w:rsid w:val="00C73CFE"/>
    <w:rsid w:val="00C74256"/>
    <w:rsid w:val="00C74A8D"/>
    <w:rsid w:val="00C74BD9"/>
    <w:rsid w:val="00C75022"/>
    <w:rsid w:val="00C764CA"/>
    <w:rsid w:val="00C7744A"/>
    <w:rsid w:val="00C77ABA"/>
    <w:rsid w:val="00C77D7A"/>
    <w:rsid w:val="00C800CA"/>
    <w:rsid w:val="00C8024E"/>
    <w:rsid w:val="00C80A51"/>
    <w:rsid w:val="00C80C48"/>
    <w:rsid w:val="00C81CAD"/>
    <w:rsid w:val="00C81D51"/>
    <w:rsid w:val="00C82213"/>
    <w:rsid w:val="00C82451"/>
    <w:rsid w:val="00C826E9"/>
    <w:rsid w:val="00C82890"/>
    <w:rsid w:val="00C82A0E"/>
    <w:rsid w:val="00C8309A"/>
    <w:rsid w:val="00C83BB9"/>
    <w:rsid w:val="00C83DD2"/>
    <w:rsid w:val="00C85372"/>
    <w:rsid w:val="00C85ABE"/>
    <w:rsid w:val="00C86942"/>
    <w:rsid w:val="00C9056C"/>
    <w:rsid w:val="00C90D65"/>
    <w:rsid w:val="00C917BF"/>
    <w:rsid w:val="00C91F08"/>
    <w:rsid w:val="00C93CD8"/>
    <w:rsid w:val="00C94665"/>
    <w:rsid w:val="00C948AA"/>
    <w:rsid w:val="00C949F7"/>
    <w:rsid w:val="00C94CB0"/>
    <w:rsid w:val="00C952CA"/>
    <w:rsid w:val="00C95480"/>
    <w:rsid w:val="00C95D12"/>
    <w:rsid w:val="00C95E0C"/>
    <w:rsid w:val="00C9651B"/>
    <w:rsid w:val="00C96960"/>
    <w:rsid w:val="00C96E75"/>
    <w:rsid w:val="00C96FC2"/>
    <w:rsid w:val="00C97364"/>
    <w:rsid w:val="00C9791E"/>
    <w:rsid w:val="00CA0001"/>
    <w:rsid w:val="00CA009F"/>
    <w:rsid w:val="00CA0322"/>
    <w:rsid w:val="00CA045F"/>
    <w:rsid w:val="00CA1166"/>
    <w:rsid w:val="00CA2344"/>
    <w:rsid w:val="00CA2418"/>
    <w:rsid w:val="00CA2444"/>
    <w:rsid w:val="00CA2837"/>
    <w:rsid w:val="00CA403F"/>
    <w:rsid w:val="00CA42DC"/>
    <w:rsid w:val="00CA48FC"/>
    <w:rsid w:val="00CA4BE7"/>
    <w:rsid w:val="00CA4E4B"/>
    <w:rsid w:val="00CA659A"/>
    <w:rsid w:val="00CA65F6"/>
    <w:rsid w:val="00CA6C11"/>
    <w:rsid w:val="00CA6CBE"/>
    <w:rsid w:val="00CA71B5"/>
    <w:rsid w:val="00CB0096"/>
    <w:rsid w:val="00CB044D"/>
    <w:rsid w:val="00CB0804"/>
    <w:rsid w:val="00CB100B"/>
    <w:rsid w:val="00CB1235"/>
    <w:rsid w:val="00CB153D"/>
    <w:rsid w:val="00CB1856"/>
    <w:rsid w:val="00CB18DC"/>
    <w:rsid w:val="00CB19AC"/>
    <w:rsid w:val="00CB227C"/>
    <w:rsid w:val="00CB23ED"/>
    <w:rsid w:val="00CB2E90"/>
    <w:rsid w:val="00CB31D9"/>
    <w:rsid w:val="00CB3D60"/>
    <w:rsid w:val="00CB41C8"/>
    <w:rsid w:val="00CB42C9"/>
    <w:rsid w:val="00CB53E4"/>
    <w:rsid w:val="00CB55B5"/>
    <w:rsid w:val="00CB5886"/>
    <w:rsid w:val="00CB59CA"/>
    <w:rsid w:val="00CB5CA2"/>
    <w:rsid w:val="00CB6490"/>
    <w:rsid w:val="00CB673D"/>
    <w:rsid w:val="00CB6D7D"/>
    <w:rsid w:val="00CB73C2"/>
    <w:rsid w:val="00CB74F9"/>
    <w:rsid w:val="00CB7B35"/>
    <w:rsid w:val="00CC0547"/>
    <w:rsid w:val="00CC0A51"/>
    <w:rsid w:val="00CC0DFF"/>
    <w:rsid w:val="00CC1125"/>
    <w:rsid w:val="00CC1DBD"/>
    <w:rsid w:val="00CC2E73"/>
    <w:rsid w:val="00CC2FC3"/>
    <w:rsid w:val="00CC3329"/>
    <w:rsid w:val="00CC47C1"/>
    <w:rsid w:val="00CC5780"/>
    <w:rsid w:val="00CC5C80"/>
    <w:rsid w:val="00CC60A0"/>
    <w:rsid w:val="00CC6620"/>
    <w:rsid w:val="00CC7E36"/>
    <w:rsid w:val="00CC7F5B"/>
    <w:rsid w:val="00CD0162"/>
    <w:rsid w:val="00CD06A5"/>
    <w:rsid w:val="00CD10E5"/>
    <w:rsid w:val="00CD1327"/>
    <w:rsid w:val="00CD14CC"/>
    <w:rsid w:val="00CD160F"/>
    <w:rsid w:val="00CD1EB0"/>
    <w:rsid w:val="00CD23CD"/>
    <w:rsid w:val="00CD263B"/>
    <w:rsid w:val="00CD2664"/>
    <w:rsid w:val="00CD2E7A"/>
    <w:rsid w:val="00CD3126"/>
    <w:rsid w:val="00CD3838"/>
    <w:rsid w:val="00CD4CA4"/>
    <w:rsid w:val="00CD4CD2"/>
    <w:rsid w:val="00CD4D75"/>
    <w:rsid w:val="00CD4D83"/>
    <w:rsid w:val="00CD4E63"/>
    <w:rsid w:val="00CD5474"/>
    <w:rsid w:val="00CD59B7"/>
    <w:rsid w:val="00CD5BD9"/>
    <w:rsid w:val="00CD68DB"/>
    <w:rsid w:val="00CD6E5E"/>
    <w:rsid w:val="00CD7019"/>
    <w:rsid w:val="00CE0439"/>
    <w:rsid w:val="00CE0714"/>
    <w:rsid w:val="00CE0948"/>
    <w:rsid w:val="00CE0B8D"/>
    <w:rsid w:val="00CE0D40"/>
    <w:rsid w:val="00CE1841"/>
    <w:rsid w:val="00CE195A"/>
    <w:rsid w:val="00CE1FEB"/>
    <w:rsid w:val="00CE21EA"/>
    <w:rsid w:val="00CE2F9C"/>
    <w:rsid w:val="00CE3746"/>
    <w:rsid w:val="00CE3D50"/>
    <w:rsid w:val="00CE4053"/>
    <w:rsid w:val="00CE4F44"/>
    <w:rsid w:val="00CE5629"/>
    <w:rsid w:val="00CE5D94"/>
    <w:rsid w:val="00CE69E8"/>
    <w:rsid w:val="00CE6CEC"/>
    <w:rsid w:val="00CE71F9"/>
    <w:rsid w:val="00CE77C7"/>
    <w:rsid w:val="00CE7C7E"/>
    <w:rsid w:val="00CE7C8A"/>
    <w:rsid w:val="00CE7CF8"/>
    <w:rsid w:val="00CE7CFD"/>
    <w:rsid w:val="00CF055F"/>
    <w:rsid w:val="00CF114C"/>
    <w:rsid w:val="00CF188E"/>
    <w:rsid w:val="00CF1E7A"/>
    <w:rsid w:val="00CF2097"/>
    <w:rsid w:val="00CF2C24"/>
    <w:rsid w:val="00CF3206"/>
    <w:rsid w:val="00CF3443"/>
    <w:rsid w:val="00CF3906"/>
    <w:rsid w:val="00CF3C75"/>
    <w:rsid w:val="00CF3C77"/>
    <w:rsid w:val="00CF3E48"/>
    <w:rsid w:val="00CF5A11"/>
    <w:rsid w:val="00CF5A93"/>
    <w:rsid w:val="00CF5E89"/>
    <w:rsid w:val="00CF62AA"/>
    <w:rsid w:val="00CF7610"/>
    <w:rsid w:val="00CF7B47"/>
    <w:rsid w:val="00CF7DC4"/>
    <w:rsid w:val="00D00027"/>
    <w:rsid w:val="00D00A59"/>
    <w:rsid w:val="00D00CA7"/>
    <w:rsid w:val="00D024F9"/>
    <w:rsid w:val="00D0265D"/>
    <w:rsid w:val="00D03362"/>
    <w:rsid w:val="00D03531"/>
    <w:rsid w:val="00D0401C"/>
    <w:rsid w:val="00D0402B"/>
    <w:rsid w:val="00D04032"/>
    <w:rsid w:val="00D04F7C"/>
    <w:rsid w:val="00D0517B"/>
    <w:rsid w:val="00D059CF"/>
    <w:rsid w:val="00D05FB6"/>
    <w:rsid w:val="00D06DB4"/>
    <w:rsid w:val="00D06ED6"/>
    <w:rsid w:val="00D0718B"/>
    <w:rsid w:val="00D071CE"/>
    <w:rsid w:val="00D07677"/>
    <w:rsid w:val="00D07855"/>
    <w:rsid w:val="00D07980"/>
    <w:rsid w:val="00D10986"/>
    <w:rsid w:val="00D1167C"/>
    <w:rsid w:val="00D127FC"/>
    <w:rsid w:val="00D12ACC"/>
    <w:rsid w:val="00D13B8C"/>
    <w:rsid w:val="00D13D2F"/>
    <w:rsid w:val="00D143FB"/>
    <w:rsid w:val="00D1474C"/>
    <w:rsid w:val="00D14A4A"/>
    <w:rsid w:val="00D164A2"/>
    <w:rsid w:val="00D17E78"/>
    <w:rsid w:val="00D20106"/>
    <w:rsid w:val="00D210D7"/>
    <w:rsid w:val="00D21BD6"/>
    <w:rsid w:val="00D21F82"/>
    <w:rsid w:val="00D21F8A"/>
    <w:rsid w:val="00D2229A"/>
    <w:rsid w:val="00D22BA4"/>
    <w:rsid w:val="00D22FB2"/>
    <w:rsid w:val="00D230BF"/>
    <w:rsid w:val="00D23E1D"/>
    <w:rsid w:val="00D25BDD"/>
    <w:rsid w:val="00D25EE9"/>
    <w:rsid w:val="00D26198"/>
    <w:rsid w:val="00D26510"/>
    <w:rsid w:val="00D27A0C"/>
    <w:rsid w:val="00D27D1D"/>
    <w:rsid w:val="00D27F74"/>
    <w:rsid w:val="00D27F89"/>
    <w:rsid w:val="00D301DA"/>
    <w:rsid w:val="00D30386"/>
    <w:rsid w:val="00D30948"/>
    <w:rsid w:val="00D30FA3"/>
    <w:rsid w:val="00D3120C"/>
    <w:rsid w:val="00D315C4"/>
    <w:rsid w:val="00D31614"/>
    <w:rsid w:val="00D3182A"/>
    <w:rsid w:val="00D3194A"/>
    <w:rsid w:val="00D31997"/>
    <w:rsid w:val="00D31C15"/>
    <w:rsid w:val="00D31DA1"/>
    <w:rsid w:val="00D324BB"/>
    <w:rsid w:val="00D32C6F"/>
    <w:rsid w:val="00D32E3D"/>
    <w:rsid w:val="00D33571"/>
    <w:rsid w:val="00D338FD"/>
    <w:rsid w:val="00D33B02"/>
    <w:rsid w:val="00D33D44"/>
    <w:rsid w:val="00D35722"/>
    <w:rsid w:val="00D36771"/>
    <w:rsid w:val="00D36A7D"/>
    <w:rsid w:val="00D36C07"/>
    <w:rsid w:val="00D36CDB"/>
    <w:rsid w:val="00D375EA"/>
    <w:rsid w:val="00D402C8"/>
    <w:rsid w:val="00D40753"/>
    <w:rsid w:val="00D40D70"/>
    <w:rsid w:val="00D414C6"/>
    <w:rsid w:val="00D426FE"/>
    <w:rsid w:val="00D4298B"/>
    <w:rsid w:val="00D42A45"/>
    <w:rsid w:val="00D43237"/>
    <w:rsid w:val="00D43E4C"/>
    <w:rsid w:val="00D44037"/>
    <w:rsid w:val="00D444EF"/>
    <w:rsid w:val="00D455CF"/>
    <w:rsid w:val="00D45E2E"/>
    <w:rsid w:val="00D460FD"/>
    <w:rsid w:val="00D5055A"/>
    <w:rsid w:val="00D50C88"/>
    <w:rsid w:val="00D51F0F"/>
    <w:rsid w:val="00D5201F"/>
    <w:rsid w:val="00D5234A"/>
    <w:rsid w:val="00D53511"/>
    <w:rsid w:val="00D5355E"/>
    <w:rsid w:val="00D541ED"/>
    <w:rsid w:val="00D546D7"/>
    <w:rsid w:val="00D54DE5"/>
    <w:rsid w:val="00D55782"/>
    <w:rsid w:val="00D5679E"/>
    <w:rsid w:val="00D56E7F"/>
    <w:rsid w:val="00D571C4"/>
    <w:rsid w:val="00D57927"/>
    <w:rsid w:val="00D57EB0"/>
    <w:rsid w:val="00D600D8"/>
    <w:rsid w:val="00D60402"/>
    <w:rsid w:val="00D6055E"/>
    <w:rsid w:val="00D608BD"/>
    <w:rsid w:val="00D60E28"/>
    <w:rsid w:val="00D612BA"/>
    <w:rsid w:val="00D613CB"/>
    <w:rsid w:val="00D617E4"/>
    <w:rsid w:val="00D61FEC"/>
    <w:rsid w:val="00D62032"/>
    <w:rsid w:val="00D6217E"/>
    <w:rsid w:val="00D6287A"/>
    <w:rsid w:val="00D62C9A"/>
    <w:rsid w:val="00D63684"/>
    <w:rsid w:val="00D636FD"/>
    <w:rsid w:val="00D63911"/>
    <w:rsid w:val="00D63ECE"/>
    <w:rsid w:val="00D64894"/>
    <w:rsid w:val="00D64A5F"/>
    <w:rsid w:val="00D66FA0"/>
    <w:rsid w:val="00D6719A"/>
    <w:rsid w:val="00D70C98"/>
    <w:rsid w:val="00D7148A"/>
    <w:rsid w:val="00D71D50"/>
    <w:rsid w:val="00D72176"/>
    <w:rsid w:val="00D733B2"/>
    <w:rsid w:val="00D7346C"/>
    <w:rsid w:val="00D73D1D"/>
    <w:rsid w:val="00D740DC"/>
    <w:rsid w:val="00D740EA"/>
    <w:rsid w:val="00D74247"/>
    <w:rsid w:val="00D743C0"/>
    <w:rsid w:val="00D74CB9"/>
    <w:rsid w:val="00D75360"/>
    <w:rsid w:val="00D755ED"/>
    <w:rsid w:val="00D75E17"/>
    <w:rsid w:val="00D7630D"/>
    <w:rsid w:val="00D763F4"/>
    <w:rsid w:val="00D775B2"/>
    <w:rsid w:val="00D77937"/>
    <w:rsid w:val="00D77F49"/>
    <w:rsid w:val="00D80F15"/>
    <w:rsid w:val="00D81583"/>
    <w:rsid w:val="00D81E06"/>
    <w:rsid w:val="00D82A96"/>
    <w:rsid w:val="00D833FB"/>
    <w:rsid w:val="00D83ADF"/>
    <w:rsid w:val="00D83B12"/>
    <w:rsid w:val="00D840C3"/>
    <w:rsid w:val="00D8443F"/>
    <w:rsid w:val="00D84963"/>
    <w:rsid w:val="00D84BE9"/>
    <w:rsid w:val="00D85288"/>
    <w:rsid w:val="00D85772"/>
    <w:rsid w:val="00D867F1"/>
    <w:rsid w:val="00D8680B"/>
    <w:rsid w:val="00D86D31"/>
    <w:rsid w:val="00D876BD"/>
    <w:rsid w:val="00D87950"/>
    <w:rsid w:val="00D879AF"/>
    <w:rsid w:val="00D87D2C"/>
    <w:rsid w:val="00D909F8"/>
    <w:rsid w:val="00D91861"/>
    <w:rsid w:val="00D9237D"/>
    <w:rsid w:val="00D92694"/>
    <w:rsid w:val="00D92E59"/>
    <w:rsid w:val="00D939FC"/>
    <w:rsid w:val="00D93C93"/>
    <w:rsid w:val="00D94B43"/>
    <w:rsid w:val="00D9577F"/>
    <w:rsid w:val="00D9583F"/>
    <w:rsid w:val="00D95890"/>
    <w:rsid w:val="00D962D6"/>
    <w:rsid w:val="00D96BF9"/>
    <w:rsid w:val="00D96D1B"/>
    <w:rsid w:val="00D9789A"/>
    <w:rsid w:val="00DA04D8"/>
    <w:rsid w:val="00DA09C7"/>
    <w:rsid w:val="00DA1537"/>
    <w:rsid w:val="00DA1867"/>
    <w:rsid w:val="00DA1C16"/>
    <w:rsid w:val="00DA1D0B"/>
    <w:rsid w:val="00DA217E"/>
    <w:rsid w:val="00DA223B"/>
    <w:rsid w:val="00DA2438"/>
    <w:rsid w:val="00DA27EA"/>
    <w:rsid w:val="00DA296D"/>
    <w:rsid w:val="00DA2EF6"/>
    <w:rsid w:val="00DA2F34"/>
    <w:rsid w:val="00DA3C2A"/>
    <w:rsid w:val="00DA45FD"/>
    <w:rsid w:val="00DA4ABA"/>
    <w:rsid w:val="00DA52DB"/>
    <w:rsid w:val="00DA5462"/>
    <w:rsid w:val="00DA5471"/>
    <w:rsid w:val="00DA5AD3"/>
    <w:rsid w:val="00DA5DC6"/>
    <w:rsid w:val="00DA67CD"/>
    <w:rsid w:val="00DA7206"/>
    <w:rsid w:val="00DA7423"/>
    <w:rsid w:val="00DA7780"/>
    <w:rsid w:val="00DA7B4E"/>
    <w:rsid w:val="00DB00B6"/>
    <w:rsid w:val="00DB043A"/>
    <w:rsid w:val="00DB129F"/>
    <w:rsid w:val="00DB16C1"/>
    <w:rsid w:val="00DB1E51"/>
    <w:rsid w:val="00DB229D"/>
    <w:rsid w:val="00DB29D9"/>
    <w:rsid w:val="00DB2CB6"/>
    <w:rsid w:val="00DB3BDA"/>
    <w:rsid w:val="00DB4DE2"/>
    <w:rsid w:val="00DB4FC1"/>
    <w:rsid w:val="00DB56F8"/>
    <w:rsid w:val="00DB5732"/>
    <w:rsid w:val="00DB5CCF"/>
    <w:rsid w:val="00DB5E0A"/>
    <w:rsid w:val="00DB5FDD"/>
    <w:rsid w:val="00DB61DB"/>
    <w:rsid w:val="00DB6A58"/>
    <w:rsid w:val="00DB7CAC"/>
    <w:rsid w:val="00DC09DE"/>
    <w:rsid w:val="00DC343C"/>
    <w:rsid w:val="00DC39F1"/>
    <w:rsid w:val="00DC3CAA"/>
    <w:rsid w:val="00DC3D09"/>
    <w:rsid w:val="00DC3D0C"/>
    <w:rsid w:val="00DC3D8D"/>
    <w:rsid w:val="00DC3EE5"/>
    <w:rsid w:val="00DC4AA8"/>
    <w:rsid w:val="00DC51C7"/>
    <w:rsid w:val="00DC555A"/>
    <w:rsid w:val="00DC64A0"/>
    <w:rsid w:val="00DC6517"/>
    <w:rsid w:val="00DC68C2"/>
    <w:rsid w:val="00DC6933"/>
    <w:rsid w:val="00DC6BFD"/>
    <w:rsid w:val="00DC6C0A"/>
    <w:rsid w:val="00DC77A6"/>
    <w:rsid w:val="00DC7B9A"/>
    <w:rsid w:val="00DD0303"/>
    <w:rsid w:val="00DD0634"/>
    <w:rsid w:val="00DD0895"/>
    <w:rsid w:val="00DD1E5C"/>
    <w:rsid w:val="00DD21FC"/>
    <w:rsid w:val="00DD23E0"/>
    <w:rsid w:val="00DD2431"/>
    <w:rsid w:val="00DD2598"/>
    <w:rsid w:val="00DD276B"/>
    <w:rsid w:val="00DD31E2"/>
    <w:rsid w:val="00DD3A8F"/>
    <w:rsid w:val="00DD4611"/>
    <w:rsid w:val="00DD4915"/>
    <w:rsid w:val="00DD49C6"/>
    <w:rsid w:val="00DD4E83"/>
    <w:rsid w:val="00DD5AF5"/>
    <w:rsid w:val="00DD6AEB"/>
    <w:rsid w:val="00DD6EFD"/>
    <w:rsid w:val="00DD702C"/>
    <w:rsid w:val="00DD780D"/>
    <w:rsid w:val="00DD7930"/>
    <w:rsid w:val="00DE1266"/>
    <w:rsid w:val="00DE16BF"/>
    <w:rsid w:val="00DE1808"/>
    <w:rsid w:val="00DE2164"/>
    <w:rsid w:val="00DE2196"/>
    <w:rsid w:val="00DE3093"/>
    <w:rsid w:val="00DE311E"/>
    <w:rsid w:val="00DE4C68"/>
    <w:rsid w:val="00DE5284"/>
    <w:rsid w:val="00DE52C3"/>
    <w:rsid w:val="00DE6A75"/>
    <w:rsid w:val="00DE7BA0"/>
    <w:rsid w:val="00DF009D"/>
    <w:rsid w:val="00DF01D0"/>
    <w:rsid w:val="00DF0449"/>
    <w:rsid w:val="00DF0580"/>
    <w:rsid w:val="00DF07C7"/>
    <w:rsid w:val="00DF09CB"/>
    <w:rsid w:val="00DF0EC7"/>
    <w:rsid w:val="00DF133C"/>
    <w:rsid w:val="00DF16B3"/>
    <w:rsid w:val="00DF179F"/>
    <w:rsid w:val="00DF1FB4"/>
    <w:rsid w:val="00DF2157"/>
    <w:rsid w:val="00DF2B0B"/>
    <w:rsid w:val="00DF365D"/>
    <w:rsid w:val="00DF369F"/>
    <w:rsid w:val="00DF3B8B"/>
    <w:rsid w:val="00DF478B"/>
    <w:rsid w:val="00DF48C9"/>
    <w:rsid w:val="00DF4D8C"/>
    <w:rsid w:val="00DF4E4A"/>
    <w:rsid w:val="00DF5274"/>
    <w:rsid w:val="00DF5354"/>
    <w:rsid w:val="00DF5370"/>
    <w:rsid w:val="00DF547E"/>
    <w:rsid w:val="00DF5D1B"/>
    <w:rsid w:val="00DF66AF"/>
    <w:rsid w:val="00DF7635"/>
    <w:rsid w:val="00DF7B9A"/>
    <w:rsid w:val="00E00CE1"/>
    <w:rsid w:val="00E00DD0"/>
    <w:rsid w:val="00E01D74"/>
    <w:rsid w:val="00E02577"/>
    <w:rsid w:val="00E02861"/>
    <w:rsid w:val="00E02A81"/>
    <w:rsid w:val="00E0434F"/>
    <w:rsid w:val="00E04651"/>
    <w:rsid w:val="00E04CFC"/>
    <w:rsid w:val="00E05994"/>
    <w:rsid w:val="00E059E3"/>
    <w:rsid w:val="00E05A44"/>
    <w:rsid w:val="00E05D25"/>
    <w:rsid w:val="00E05D9E"/>
    <w:rsid w:val="00E05DA6"/>
    <w:rsid w:val="00E06097"/>
    <w:rsid w:val="00E06DBD"/>
    <w:rsid w:val="00E07190"/>
    <w:rsid w:val="00E07953"/>
    <w:rsid w:val="00E1003D"/>
    <w:rsid w:val="00E10156"/>
    <w:rsid w:val="00E10436"/>
    <w:rsid w:val="00E11437"/>
    <w:rsid w:val="00E11909"/>
    <w:rsid w:val="00E12ED4"/>
    <w:rsid w:val="00E13645"/>
    <w:rsid w:val="00E13E4A"/>
    <w:rsid w:val="00E13F3B"/>
    <w:rsid w:val="00E14044"/>
    <w:rsid w:val="00E14970"/>
    <w:rsid w:val="00E161D4"/>
    <w:rsid w:val="00E16F6E"/>
    <w:rsid w:val="00E1701A"/>
    <w:rsid w:val="00E201E6"/>
    <w:rsid w:val="00E2024F"/>
    <w:rsid w:val="00E202C2"/>
    <w:rsid w:val="00E2065A"/>
    <w:rsid w:val="00E20C88"/>
    <w:rsid w:val="00E222AE"/>
    <w:rsid w:val="00E22C62"/>
    <w:rsid w:val="00E22CA6"/>
    <w:rsid w:val="00E22D04"/>
    <w:rsid w:val="00E232E2"/>
    <w:rsid w:val="00E25F88"/>
    <w:rsid w:val="00E26783"/>
    <w:rsid w:val="00E2679C"/>
    <w:rsid w:val="00E267DF"/>
    <w:rsid w:val="00E26B04"/>
    <w:rsid w:val="00E270CE"/>
    <w:rsid w:val="00E273B4"/>
    <w:rsid w:val="00E27B5F"/>
    <w:rsid w:val="00E300B4"/>
    <w:rsid w:val="00E3046D"/>
    <w:rsid w:val="00E30771"/>
    <w:rsid w:val="00E30D20"/>
    <w:rsid w:val="00E30F51"/>
    <w:rsid w:val="00E31D6E"/>
    <w:rsid w:val="00E31ED9"/>
    <w:rsid w:val="00E31FC8"/>
    <w:rsid w:val="00E32556"/>
    <w:rsid w:val="00E32672"/>
    <w:rsid w:val="00E32758"/>
    <w:rsid w:val="00E329D9"/>
    <w:rsid w:val="00E33018"/>
    <w:rsid w:val="00E34020"/>
    <w:rsid w:val="00E34420"/>
    <w:rsid w:val="00E345BF"/>
    <w:rsid w:val="00E3504C"/>
    <w:rsid w:val="00E35990"/>
    <w:rsid w:val="00E35A90"/>
    <w:rsid w:val="00E35CD8"/>
    <w:rsid w:val="00E35DBB"/>
    <w:rsid w:val="00E3624D"/>
    <w:rsid w:val="00E36AEB"/>
    <w:rsid w:val="00E36B11"/>
    <w:rsid w:val="00E3762E"/>
    <w:rsid w:val="00E37AF2"/>
    <w:rsid w:val="00E40500"/>
    <w:rsid w:val="00E4076F"/>
    <w:rsid w:val="00E40788"/>
    <w:rsid w:val="00E40D5A"/>
    <w:rsid w:val="00E41DE0"/>
    <w:rsid w:val="00E42257"/>
    <w:rsid w:val="00E42408"/>
    <w:rsid w:val="00E4274F"/>
    <w:rsid w:val="00E42D39"/>
    <w:rsid w:val="00E43297"/>
    <w:rsid w:val="00E43B6F"/>
    <w:rsid w:val="00E43F31"/>
    <w:rsid w:val="00E45FE4"/>
    <w:rsid w:val="00E4678E"/>
    <w:rsid w:val="00E4736C"/>
    <w:rsid w:val="00E47AAA"/>
    <w:rsid w:val="00E50797"/>
    <w:rsid w:val="00E5281A"/>
    <w:rsid w:val="00E52A0C"/>
    <w:rsid w:val="00E52F4D"/>
    <w:rsid w:val="00E54A32"/>
    <w:rsid w:val="00E54C87"/>
    <w:rsid w:val="00E56067"/>
    <w:rsid w:val="00E56331"/>
    <w:rsid w:val="00E566BA"/>
    <w:rsid w:val="00E56EB5"/>
    <w:rsid w:val="00E57031"/>
    <w:rsid w:val="00E57272"/>
    <w:rsid w:val="00E577A1"/>
    <w:rsid w:val="00E5781F"/>
    <w:rsid w:val="00E57DEF"/>
    <w:rsid w:val="00E60298"/>
    <w:rsid w:val="00E60519"/>
    <w:rsid w:val="00E60AEC"/>
    <w:rsid w:val="00E60AF0"/>
    <w:rsid w:val="00E60BEF"/>
    <w:rsid w:val="00E61078"/>
    <w:rsid w:val="00E612C3"/>
    <w:rsid w:val="00E6214C"/>
    <w:rsid w:val="00E62351"/>
    <w:rsid w:val="00E62F17"/>
    <w:rsid w:val="00E63302"/>
    <w:rsid w:val="00E63708"/>
    <w:rsid w:val="00E6370F"/>
    <w:rsid w:val="00E6390F"/>
    <w:rsid w:val="00E63CA1"/>
    <w:rsid w:val="00E64B6D"/>
    <w:rsid w:val="00E65240"/>
    <w:rsid w:val="00E658DE"/>
    <w:rsid w:val="00E667B9"/>
    <w:rsid w:val="00E66933"/>
    <w:rsid w:val="00E66EDB"/>
    <w:rsid w:val="00E67008"/>
    <w:rsid w:val="00E67DE2"/>
    <w:rsid w:val="00E70033"/>
    <w:rsid w:val="00E70C2D"/>
    <w:rsid w:val="00E70E59"/>
    <w:rsid w:val="00E71960"/>
    <w:rsid w:val="00E71B76"/>
    <w:rsid w:val="00E71E06"/>
    <w:rsid w:val="00E72260"/>
    <w:rsid w:val="00E72340"/>
    <w:rsid w:val="00E7258B"/>
    <w:rsid w:val="00E73953"/>
    <w:rsid w:val="00E73C90"/>
    <w:rsid w:val="00E7495B"/>
    <w:rsid w:val="00E74B30"/>
    <w:rsid w:val="00E752AD"/>
    <w:rsid w:val="00E756CD"/>
    <w:rsid w:val="00E75A93"/>
    <w:rsid w:val="00E77DC0"/>
    <w:rsid w:val="00E80278"/>
    <w:rsid w:val="00E80BDD"/>
    <w:rsid w:val="00E812BD"/>
    <w:rsid w:val="00E815D9"/>
    <w:rsid w:val="00E82CED"/>
    <w:rsid w:val="00E82DAF"/>
    <w:rsid w:val="00E8377E"/>
    <w:rsid w:val="00E83D1E"/>
    <w:rsid w:val="00E8421C"/>
    <w:rsid w:val="00E848CB"/>
    <w:rsid w:val="00E85C97"/>
    <w:rsid w:val="00E8740C"/>
    <w:rsid w:val="00E87791"/>
    <w:rsid w:val="00E90422"/>
    <w:rsid w:val="00E90925"/>
    <w:rsid w:val="00E90BD0"/>
    <w:rsid w:val="00E9151C"/>
    <w:rsid w:val="00E922B8"/>
    <w:rsid w:val="00E9268F"/>
    <w:rsid w:val="00E9284A"/>
    <w:rsid w:val="00E93716"/>
    <w:rsid w:val="00E93B54"/>
    <w:rsid w:val="00E93DC3"/>
    <w:rsid w:val="00E94377"/>
    <w:rsid w:val="00E94F0F"/>
    <w:rsid w:val="00E951A5"/>
    <w:rsid w:val="00E954FC"/>
    <w:rsid w:val="00E9589B"/>
    <w:rsid w:val="00E958DD"/>
    <w:rsid w:val="00E959C2"/>
    <w:rsid w:val="00E95B7B"/>
    <w:rsid w:val="00E96A8B"/>
    <w:rsid w:val="00E974CF"/>
    <w:rsid w:val="00E975E1"/>
    <w:rsid w:val="00EA0243"/>
    <w:rsid w:val="00EA0C38"/>
    <w:rsid w:val="00EA0D7E"/>
    <w:rsid w:val="00EA0DAE"/>
    <w:rsid w:val="00EA1021"/>
    <w:rsid w:val="00EA1A64"/>
    <w:rsid w:val="00EA1AEF"/>
    <w:rsid w:val="00EA2405"/>
    <w:rsid w:val="00EA28A7"/>
    <w:rsid w:val="00EA2D6B"/>
    <w:rsid w:val="00EA31E7"/>
    <w:rsid w:val="00EA3264"/>
    <w:rsid w:val="00EA3F7B"/>
    <w:rsid w:val="00EA43BC"/>
    <w:rsid w:val="00EA4588"/>
    <w:rsid w:val="00EA5C0A"/>
    <w:rsid w:val="00EA5C41"/>
    <w:rsid w:val="00EA5C6C"/>
    <w:rsid w:val="00EA623B"/>
    <w:rsid w:val="00EA6CFA"/>
    <w:rsid w:val="00EA6DB6"/>
    <w:rsid w:val="00EA6E64"/>
    <w:rsid w:val="00EA7A0F"/>
    <w:rsid w:val="00EA7E66"/>
    <w:rsid w:val="00EB0067"/>
    <w:rsid w:val="00EB191F"/>
    <w:rsid w:val="00EB1C03"/>
    <w:rsid w:val="00EB2730"/>
    <w:rsid w:val="00EB2A84"/>
    <w:rsid w:val="00EB3056"/>
    <w:rsid w:val="00EB36C3"/>
    <w:rsid w:val="00EB3E8A"/>
    <w:rsid w:val="00EB443E"/>
    <w:rsid w:val="00EB4F72"/>
    <w:rsid w:val="00EB57B9"/>
    <w:rsid w:val="00EC01B6"/>
    <w:rsid w:val="00EC076F"/>
    <w:rsid w:val="00EC0CEE"/>
    <w:rsid w:val="00EC1563"/>
    <w:rsid w:val="00EC1A9A"/>
    <w:rsid w:val="00EC1CA6"/>
    <w:rsid w:val="00EC1EBE"/>
    <w:rsid w:val="00EC28BA"/>
    <w:rsid w:val="00EC294A"/>
    <w:rsid w:val="00EC2CDC"/>
    <w:rsid w:val="00EC2E54"/>
    <w:rsid w:val="00EC5DFD"/>
    <w:rsid w:val="00EC66B4"/>
    <w:rsid w:val="00EC67A2"/>
    <w:rsid w:val="00EC689E"/>
    <w:rsid w:val="00EC761D"/>
    <w:rsid w:val="00EC7710"/>
    <w:rsid w:val="00EC771E"/>
    <w:rsid w:val="00ED0953"/>
    <w:rsid w:val="00ED0AB2"/>
    <w:rsid w:val="00ED0D3D"/>
    <w:rsid w:val="00ED2592"/>
    <w:rsid w:val="00ED2778"/>
    <w:rsid w:val="00ED336E"/>
    <w:rsid w:val="00ED3DAA"/>
    <w:rsid w:val="00ED3DF1"/>
    <w:rsid w:val="00ED3ECE"/>
    <w:rsid w:val="00ED45F9"/>
    <w:rsid w:val="00ED4872"/>
    <w:rsid w:val="00ED51AE"/>
    <w:rsid w:val="00ED588A"/>
    <w:rsid w:val="00ED5EB8"/>
    <w:rsid w:val="00ED6492"/>
    <w:rsid w:val="00ED64B0"/>
    <w:rsid w:val="00ED6919"/>
    <w:rsid w:val="00ED6A15"/>
    <w:rsid w:val="00ED7482"/>
    <w:rsid w:val="00ED7760"/>
    <w:rsid w:val="00ED78FA"/>
    <w:rsid w:val="00EE02A3"/>
    <w:rsid w:val="00EE0372"/>
    <w:rsid w:val="00EE0B28"/>
    <w:rsid w:val="00EE1313"/>
    <w:rsid w:val="00EE16EE"/>
    <w:rsid w:val="00EE186C"/>
    <w:rsid w:val="00EE2896"/>
    <w:rsid w:val="00EE3ED0"/>
    <w:rsid w:val="00EE4027"/>
    <w:rsid w:val="00EE4374"/>
    <w:rsid w:val="00EE4D99"/>
    <w:rsid w:val="00EE54F4"/>
    <w:rsid w:val="00EE6297"/>
    <w:rsid w:val="00EE7185"/>
    <w:rsid w:val="00EE72AC"/>
    <w:rsid w:val="00EE7F49"/>
    <w:rsid w:val="00EF03DD"/>
    <w:rsid w:val="00EF04C8"/>
    <w:rsid w:val="00EF0526"/>
    <w:rsid w:val="00EF15FE"/>
    <w:rsid w:val="00EF2513"/>
    <w:rsid w:val="00EF27BE"/>
    <w:rsid w:val="00EF286D"/>
    <w:rsid w:val="00EF2A20"/>
    <w:rsid w:val="00EF3DE5"/>
    <w:rsid w:val="00EF3F3A"/>
    <w:rsid w:val="00EF4592"/>
    <w:rsid w:val="00EF47DD"/>
    <w:rsid w:val="00EF4932"/>
    <w:rsid w:val="00EF67DD"/>
    <w:rsid w:val="00EF7861"/>
    <w:rsid w:val="00EF7F13"/>
    <w:rsid w:val="00F001C3"/>
    <w:rsid w:val="00F00544"/>
    <w:rsid w:val="00F006AB"/>
    <w:rsid w:val="00F00DDB"/>
    <w:rsid w:val="00F0145C"/>
    <w:rsid w:val="00F030CE"/>
    <w:rsid w:val="00F035A5"/>
    <w:rsid w:val="00F03F89"/>
    <w:rsid w:val="00F04034"/>
    <w:rsid w:val="00F0458F"/>
    <w:rsid w:val="00F046AC"/>
    <w:rsid w:val="00F04C58"/>
    <w:rsid w:val="00F04CB0"/>
    <w:rsid w:val="00F04F50"/>
    <w:rsid w:val="00F05468"/>
    <w:rsid w:val="00F06838"/>
    <w:rsid w:val="00F06C0E"/>
    <w:rsid w:val="00F076A6"/>
    <w:rsid w:val="00F07EEE"/>
    <w:rsid w:val="00F103CD"/>
    <w:rsid w:val="00F1040A"/>
    <w:rsid w:val="00F1143E"/>
    <w:rsid w:val="00F11610"/>
    <w:rsid w:val="00F12035"/>
    <w:rsid w:val="00F12237"/>
    <w:rsid w:val="00F1283C"/>
    <w:rsid w:val="00F12E92"/>
    <w:rsid w:val="00F130AA"/>
    <w:rsid w:val="00F13940"/>
    <w:rsid w:val="00F15D74"/>
    <w:rsid w:val="00F16560"/>
    <w:rsid w:val="00F1658A"/>
    <w:rsid w:val="00F16733"/>
    <w:rsid w:val="00F16F22"/>
    <w:rsid w:val="00F172D5"/>
    <w:rsid w:val="00F17CF4"/>
    <w:rsid w:val="00F17F58"/>
    <w:rsid w:val="00F204D6"/>
    <w:rsid w:val="00F20C00"/>
    <w:rsid w:val="00F215F1"/>
    <w:rsid w:val="00F21F1B"/>
    <w:rsid w:val="00F2201A"/>
    <w:rsid w:val="00F23179"/>
    <w:rsid w:val="00F23DD6"/>
    <w:rsid w:val="00F241B6"/>
    <w:rsid w:val="00F25313"/>
    <w:rsid w:val="00F2589E"/>
    <w:rsid w:val="00F25AAD"/>
    <w:rsid w:val="00F25DB3"/>
    <w:rsid w:val="00F261DE"/>
    <w:rsid w:val="00F26263"/>
    <w:rsid w:val="00F26351"/>
    <w:rsid w:val="00F2645D"/>
    <w:rsid w:val="00F26E89"/>
    <w:rsid w:val="00F2742E"/>
    <w:rsid w:val="00F302F9"/>
    <w:rsid w:val="00F30A11"/>
    <w:rsid w:val="00F318A0"/>
    <w:rsid w:val="00F31FF8"/>
    <w:rsid w:val="00F32071"/>
    <w:rsid w:val="00F32151"/>
    <w:rsid w:val="00F32352"/>
    <w:rsid w:val="00F32514"/>
    <w:rsid w:val="00F33271"/>
    <w:rsid w:val="00F334DA"/>
    <w:rsid w:val="00F3455E"/>
    <w:rsid w:val="00F34ACD"/>
    <w:rsid w:val="00F3525F"/>
    <w:rsid w:val="00F352A2"/>
    <w:rsid w:val="00F35C7E"/>
    <w:rsid w:val="00F35CB8"/>
    <w:rsid w:val="00F35E77"/>
    <w:rsid w:val="00F3694B"/>
    <w:rsid w:val="00F36E92"/>
    <w:rsid w:val="00F403CD"/>
    <w:rsid w:val="00F40D3B"/>
    <w:rsid w:val="00F4143B"/>
    <w:rsid w:val="00F4194D"/>
    <w:rsid w:val="00F41AAA"/>
    <w:rsid w:val="00F42061"/>
    <w:rsid w:val="00F42E0D"/>
    <w:rsid w:val="00F438AD"/>
    <w:rsid w:val="00F43C66"/>
    <w:rsid w:val="00F443A1"/>
    <w:rsid w:val="00F44A08"/>
    <w:rsid w:val="00F44A5D"/>
    <w:rsid w:val="00F44A80"/>
    <w:rsid w:val="00F44DFB"/>
    <w:rsid w:val="00F45160"/>
    <w:rsid w:val="00F4549E"/>
    <w:rsid w:val="00F45B44"/>
    <w:rsid w:val="00F45E61"/>
    <w:rsid w:val="00F46787"/>
    <w:rsid w:val="00F47061"/>
    <w:rsid w:val="00F47287"/>
    <w:rsid w:val="00F4737A"/>
    <w:rsid w:val="00F47594"/>
    <w:rsid w:val="00F47AB1"/>
    <w:rsid w:val="00F47BD7"/>
    <w:rsid w:val="00F47DFD"/>
    <w:rsid w:val="00F505AB"/>
    <w:rsid w:val="00F5078C"/>
    <w:rsid w:val="00F50AB3"/>
    <w:rsid w:val="00F51072"/>
    <w:rsid w:val="00F512CE"/>
    <w:rsid w:val="00F516CB"/>
    <w:rsid w:val="00F518EE"/>
    <w:rsid w:val="00F51F07"/>
    <w:rsid w:val="00F5240B"/>
    <w:rsid w:val="00F52664"/>
    <w:rsid w:val="00F52995"/>
    <w:rsid w:val="00F53080"/>
    <w:rsid w:val="00F53460"/>
    <w:rsid w:val="00F53974"/>
    <w:rsid w:val="00F53CA5"/>
    <w:rsid w:val="00F54AB6"/>
    <w:rsid w:val="00F55914"/>
    <w:rsid w:val="00F57A92"/>
    <w:rsid w:val="00F57CB9"/>
    <w:rsid w:val="00F60549"/>
    <w:rsid w:val="00F606C3"/>
    <w:rsid w:val="00F61CBE"/>
    <w:rsid w:val="00F631C0"/>
    <w:rsid w:val="00F6324C"/>
    <w:rsid w:val="00F63F3E"/>
    <w:rsid w:val="00F63FDC"/>
    <w:rsid w:val="00F643A0"/>
    <w:rsid w:val="00F644CE"/>
    <w:rsid w:val="00F645B5"/>
    <w:rsid w:val="00F64828"/>
    <w:rsid w:val="00F64B66"/>
    <w:rsid w:val="00F6506B"/>
    <w:rsid w:val="00F652CC"/>
    <w:rsid w:val="00F663D4"/>
    <w:rsid w:val="00F66D48"/>
    <w:rsid w:val="00F66F15"/>
    <w:rsid w:val="00F67051"/>
    <w:rsid w:val="00F6753E"/>
    <w:rsid w:val="00F67A00"/>
    <w:rsid w:val="00F704DC"/>
    <w:rsid w:val="00F708C8"/>
    <w:rsid w:val="00F70B95"/>
    <w:rsid w:val="00F70D54"/>
    <w:rsid w:val="00F7119C"/>
    <w:rsid w:val="00F7132E"/>
    <w:rsid w:val="00F716DB"/>
    <w:rsid w:val="00F718F2"/>
    <w:rsid w:val="00F723E2"/>
    <w:rsid w:val="00F732F5"/>
    <w:rsid w:val="00F73E1C"/>
    <w:rsid w:val="00F748CC"/>
    <w:rsid w:val="00F74CC7"/>
    <w:rsid w:val="00F751D9"/>
    <w:rsid w:val="00F75558"/>
    <w:rsid w:val="00F75851"/>
    <w:rsid w:val="00F758A5"/>
    <w:rsid w:val="00F7590C"/>
    <w:rsid w:val="00F75F5F"/>
    <w:rsid w:val="00F760B8"/>
    <w:rsid w:val="00F76838"/>
    <w:rsid w:val="00F76F5B"/>
    <w:rsid w:val="00F77613"/>
    <w:rsid w:val="00F77706"/>
    <w:rsid w:val="00F77766"/>
    <w:rsid w:val="00F77A6D"/>
    <w:rsid w:val="00F77F2E"/>
    <w:rsid w:val="00F80227"/>
    <w:rsid w:val="00F80758"/>
    <w:rsid w:val="00F80EBF"/>
    <w:rsid w:val="00F8105C"/>
    <w:rsid w:val="00F8106D"/>
    <w:rsid w:val="00F81128"/>
    <w:rsid w:val="00F82B98"/>
    <w:rsid w:val="00F82FFE"/>
    <w:rsid w:val="00F83038"/>
    <w:rsid w:val="00F83706"/>
    <w:rsid w:val="00F83E67"/>
    <w:rsid w:val="00F83FA0"/>
    <w:rsid w:val="00F841C1"/>
    <w:rsid w:val="00F845B6"/>
    <w:rsid w:val="00F846C8"/>
    <w:rsid w:val="00F84779"/>
    <w:rsid w:val="00F85308"/>
    <w:rsid w:val="00F853C8"/>
    <w:rsid w:val="00F855AC"/>
    <w:rsid w:val="00F85732"/>
    <w:rsid w:val="00F85CF8"/>
    <w:rsid w:val="00F861F5"/>
    <w:rsid w:val="00F86DBC"/>
    <w:rsid w:val="00F8706D"/>
    <w:rsid w:val="00F87F38"/>
    <w:rsid w:val="00F906FC"/>
    <w:rsid w:val="00F90E78"/>
    <w:rsid w:val="00F916FB"/>
    <w:rsid w:val="00F91CDA"/>
    <w:rsid w:val="00F93146"/>
    <w:rsid w:val="00F93F20"/>
    <w:rsid w:val="00F94465"/>
    <w:rsid w:val="00F94E5B"/>
    <w:rsid w:val="00F97579"/>
    <w:rsid w:val="00F975AC"/>
    <w:rsid w:val="00F97B83"/>
    <w:rsid w:val="00FA0614"/>
    <w:rsid w:val="00FA12D0"/>
    <w:rsid w:val="00FA29BD"/>
    <w:rsid w:val="00FA2F00"/>
    <w:rsid w:val="00FA38D3"/>
    <w:rsid w:val="00FA43F2"/>
    <w:rsid w:val="00FA4631"/>
    <w:rsid w:val="00FA4B30"/>
    <w:rsid w:val="00FA5178"/>
    <w:rsid w:val="00FA5399"/>
    <w:rsid w:val="00FA586F"/>
    <w:rsid w:val="00FA63CD"/>
    <w:rsid w:val="00FA6ADB"/>
    <w:rsid w:val="00FA6C4D"/>
    <w:rsid w:val="00FA71F4"/>
    <w:rsid w:val="00FA76CD"/>
    <w:rsid w:val="00FA7738"/>
    <w:rsid w:val="00FA7880"/>
    <w:rsid w:val="00FA799E"/>
    <w:rsid w:val="00FB0A00"/>
    <w:rsid w:val="00FB0AE1"/>
    <w:rsid w:val="00FB1F64"/>
    <w:rsid w:val="00FB303E"/>
    <w:rsid w:val="00FB3106"/>
    <w:rsid w:val="00FB3801"/>
    <w:rsid w:val="00FB3835"/>
    <w:rsid w:val="00FB3AF8"/>
    <w:rsid w:val="00FB42BB"/>
    <w:rsid w:val="00FB4A24"/>
    <w:rsid w:val="00FB5383"/>
    <w:rsid w:val="00FB5536"/>
    <w:rsid w:val="00FB57AA"/>
    <w:rsid w:val="00FB5AAB"/>
    <w:rsid w:val="00FB6A0D"/>
    <w:rsid w:val="00FB7288"/>
    <w:rsid w:val="00FB79B1"/>
    <w:rsid w:val="00FB7B73"/>
    <w:rsid w:val="00FC0083"/>
    <w:rsid w:val="00FC0CC4"/>
    <w:rsid w:val="00FC13F9"/>
    <w:rsid w:val="00FC1641"/>
    <w:rsid w:val="00FC1EB2"/>
    <w:rsid w:val="00FC1FB5"/>
    <w:rsid w:val="00FC371A"/>
    <w:rsid w:val="00FC3D46"/>
    <w:rsid w:val="00FC5666"/>
    <w:rsid w:val="00FC58EA"/>
    <w:rsid w:val="00FC6308"/>
    <w:rsid w:val="00FC6EB3"/>
    <w:rsid w:val="00FC74E3"/>
    <w:rsid w:val="00FC7689"/>
    <w:rsid w:val="00FC7ABE"/>
    <w:rsid w:val="00FD0174"/>
    <w:rsid w:val="00FD0667"/>
    <w:rsid w:val="00FD0688"/>
    <w:rsid w:val="00FD06CC"/>
    <w:rsid w:val="00FD0C96"/>
    <w:rsid w:val="00FD0FD0"/>
    <w:rsid w:val="00FD1288"/>
    <w:rsid w:val="00FD1844"/>
    <w:rsid w:val="00FD1D47"/>
    <w:rsid w:val="00FD1E77"/>
    <w:rsid w:val="00FD2875"/>
    <w:rsid w:val="00FD2974"/>
    <w:rsid w:val="00FD2B95"/>
    <w:rsid w:val="00FD2E2F"/>
    <w:rsid w:val="00FD37C9"/>
    <w:rsid w:val="00FD3978"/>
    <w:rsid w:val="00FD4C17"/>
    <w:rsid w:val="00FD4FF2"/>
    <w:rsid w:val="00FD5994"/>
    <w:rsid w:val="00FD63F3"/>
    <w:rsid w:val="00FD6455"/>
    <w:rsid w:val="00FD6901"/>
    <w:rsid w:val="00FD6E07"/>
    <w:rsid w:val="00FD6F9D"/>
    <w:rsid w:val="00FD70B2"/>
    <w:rsid w:val="00FD71FD"/>
    <w:rsid w:val="00FD7366"/>
    <w:rsid w:val="00FE041D"/>
    <w:rsid w:val="00FE0923"/>
    <w:rsid w:val="00FE14B7"/>
    <w:rsid w:val="00FE1CBC"/>
    <w:rsid w:val="00FE1F58"/>
    <w:rsid w:val="00FE269D"/>
    <w:rsid w:val="00FE31BB"/>
    <w:rsid w:val="00FE4027"/>
    <w:rsid w:val="00FE5542"/>
    <w:rsid w:val="00FE57A8"/>
    <w:rsid w:val="00FE6314"/>
    <w:rsid w:val="00FE74E1"/>
    <w:rsid w:val="00FF0364"/>
    <w:rsid w:val="00FF0A53"/>
    <w:rsid w:val="00FF0B2B"/>
    <w:rsid w:val="00FF1551"/>
    <w:rsid w:val="00FF1E8B"/>
    <w:rsid w:val="00FF32D1"/>
    <w:rsid w:val="00FF4441"/>
    <w:rsid w:val="00FF4733"/>
    <w:rsid w:val="00FF4F66"/>
    <w:rsid w:val="00FF515F"/>
    <w:rsid w:val="00FF52C8"/>
    <w:rsid w:val="00FF53A8"/>
    <w:rsid w:val="00FF545E"/>
    <w:rsid w:val="00FF6B6E"/>
    <w:rsid w:val="00FF7684"/>
    <w:rsid w:val="00FF7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61D7567B-DFF2-EA42-ADAC-9FEFEB9A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566BA"/>
    <w:pPr>
      <w:spacing w:before="240" w:after="240" w:line="360" w:lineRule="auto"/>
    </w:pPr>
  </w:style>
  <w:style w:type="paragraph" w:styleId="Heading1">
    <w:name w:val="heading 1"/>
    <w:basedOn w:val="Normal"/>
    <w:next w:val="BodyText"/>
    <w:link w:val="Heading1Char"/>
    <w:uiPriority w:val="1"/>
    <w:qFormat/>
    <w:rsid w:val="00BD6CCE"/>
    <w:pPr>
      <w:keepNext/>
      <w:keepLines/>
      <w:spacing w:after="360" w:line="680" w:lineRule="atLeast"/>
      <w:outlineLvl w:val="0"/>
    </w:pPr>
    <w:rPr>
      <w:rFonts w:ascii="VAG Rounded" w:eastAsiaTheme="majorEastAsia" w:hAnsi="VAG Rounded" w:cstheme="majorBidi"/>
      <w:b/>
      <w:color w:val="005496" w:themeColor="text2"/>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paragraph" w:styleId="Heading6">
    <w:name w:val="heading 6"/>
    <w:basedOn w:val="Normal"/>
    <w:next w:val="Normal"/>
    <w:link w:val="Heading6Char"/>
    <w:uiPriority w:val="4"/>
    <w:unhideWhenUsed/>
    <w:qFormat/>
    <w:rsid w:val="005334ED"/>
    <w:pPr>
      <w:keepNext/>
      <w:keepLines/>
      <w:spacing w:before="40" w:after="0"/>
      <w:outlineLvl w:val="5"/>
    </w:pPr>
    <w:rPr>
      <w:rFonts w:asciiTheme="majorHAnsi" w:eastAsiaTheme="majorEastAsia" w:hAnsiTheme="majorHAnsi" w:cstheme="majorBidi"/>
      <w:color w:val="00294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6CCE"/>
    <w:rPr>
      <w:rFonts w:ascii="VAG Rounded" w:eastAsiaTheme="majorEastAsia" w:hAnsi="VAG Rounded" w:cstheme="majorBidi"/>
      <w:b/>
      <w:color w:val="005496" w:themeColor="text2"/>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877020"/>
    <w:pPr>
      <w:pBdr>
        <w:bottom w:val="single" w:sz="4" w:space="3" w:color="auto"/>
        <w:between w:val="single" w:sz="4" w:space="3" w:color="auto"/>
      </w:pBdr>
      <w:tabs>
        <w:tab w:val="right" w:pos="9628"/>
      </w:tabs>
      <w:spacing w:after="0"/>
    </w:pPr>
    <w:rPr>
      <w:b/>
      <w:bCs/>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List Paragraph11,Recommendation,List Paragraph1,Bullet point,CV text,Dot pt,F5 List Paragraph,FooterText,L,List Paragraph111,List Paragraph2,Medium Grid 1 - Accent 21,NFP GP Bulleted List,Numbered Paragraph,Table tex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241B3B"/>
    <w:pPr>
      <w:tabs>
        <w:tab w:val="left" w:pos="5529"/>
      </w:tabs>
      <w:spacing w:line="288" w:lineRule="auto"/>
    </w:pPr>
    <w:rPr>
      <w:rFonts w:ascii="Arial" w:eastAsia="Arial" w:hAnsi="Arial" w:cs="Arial"/>
      <w:color w:val="000000"/>
      <w:lang w:val="en-US"/>
    </w:rPr>
  </w:style>
  <w:style w:type="character" w:customStyle="1" w:styleId="BodyTextChar">
    <w:name w:val="Body Text Char"/>
    <w:basedOn w:val="DefaultParagraphFont"/>
    <w:link w:val="BodyText"/>
    <w:rsid w:val="00241B3B"/>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BodyText"/>
    <w:uiPriority w:val="2"/>
    <w:qFormat/>
    <w:rsid w:val="00241B3B"/>
    <w:pPr>
      <w:numPr>
        <w:numId w:val="41"/>
      </w:numPr>
    </w:pPr>
    <w:rPr>
      <w:color w:val="0A0A0A"/>
      <w:shd w:val="clear" w:color="auto" w:fill="FFFFFF"/>
    </w:rPr>
  </w:style>
  <w:style w:type="character" w:customStyle="1" w:styleId="ListParagraphChar">
    <w:name w:val="List Paragraph Char"/>
    <w:aliases w:val="Numbered List Char,List Paragraph11 Char,Recommendation Char,List Paragraph1 Char,Bullet point Char,CV text Char,Dot pt Char,F5 List Paragraph Char,FooterText Char,L Char,List Paragraph111 Char,List Paragraph2 Char,Table tex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BA1B07"/>
    <w:pPr>
      <w:tabs>
        <w:tab w:val="right" w:pos="9628"/>
      </w:tabs>
      <w:spacing w:after="100"/>
    </w:pPr>
    <w:rPr>
      <w:rFonts w:cstheme="minorHAnsi"/>
      <w:b/>
      <w:bCs/>
      <w:noProof/>
    </w:rPr>
  </w:style>
  <w:style w:type="paragraph" w:styleId="TOC3">
    <w:name w:val="toc 3"/>
    <w:basedOn w:val="Normal"/>
    <w:next w:val="Normal"/>
    <w:autoRedefine/>
    <w:uiPriority w:val="39"/>
    <w:unhideWhenUsed/>
    <w:rsid w:val="00201E43"/>
    <w:pPr>
      <w:tabs>
        <w:tab w:val="right" w:pos="9628"/>
      </w:tabs>
      <w:spacing w:before="0" w:after="100"/>
      <w:ind w:left="144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481070"/>
    <w:pPr>
      <w:spacing w:before="200" w:after="160"/>
      <w:ind w:left="864" w:right="864"/>
      <w:jc w:val="center"/>
    </w:pPr>
    <w:rPr>
      <w:i/>
      <w:iCs/>
      <w:color w:val="005496" w:themeColor="accent1"/>
    </w:rPr>
  </w:style>
  <w:style w:type="character" w:customStyle="1" w:styleId="QuoteChar">
    <w:name w:val="Quote Char"/>
    <w:basedOn w:val="DefaultParagraphFont"/>
    <w:link w:val="Quote"/>
    <w:uiPriority w:val="29"/>
    <w:rsid w:val="00481070"/>
    <w:rPr>
      <w:i/>
      <w:iCs/>
      <w:color w:val="005496" w:themeColor="accent1"/>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paragraph">
    <w:name w:val="paragraph"/>
    <w:basedOn w:val="Normal"/>
    <w:rsid w:val="006C59A1"/>
    <w:pPr>
      <w:spacing w:before="0" w:after="0" w:line="240" w:lineRule="auto"/>
    </w:pPr>
    <w:rPr>
      <w:rFonts w:ascii="Calibri" w:hAnsi="Calibri" w:cs="Calibri"/>
      <w:sz w:val="22"/>
      <w:szCs w:val="22"/>
      <w:lang w:eastAsia="en-AU"/>
    </w:rPr>
  </w:style>
  <w:style w:type="character" w:customStyle="1" w:styleId="normaltextrun">
    <w:name w:val="normaltextrun"/>
    <w:basedOn w:val="DefaultParagraphFont"/>
    <w:rsid w:val="006C59A1"/>
  </w:style>
  <w:style w:type="character" w:customStyle="1" w:styleId="eop">
    <w:name w:val="eop"/>
    <w:basedOn w:val="DefaultParagraphFont"/>
    <w:rsid w:val="006C59A1"/>
  </w:style>
  <w:style w:type="table" w:styleId="GridTable4-Accent1">
    <w:name w:val="Grid Table 4 Accent 1"/>
    <w:basedOn w:val="TableNormal"/>
    <w:uiPriority w:val="49"/>
    <w:rsid w:val="00034185"/>
    <w:pPr>
      <w:spacing w:after="0" w:line="240" w:lineRule="auto"/>
    </w:pPr>
    <w:rPr>
      <w:rFonts w:ascii="Arial" w:hAnsi="Arial"/>
      <w:kern w:val="2"/>
      <w:szCs w:val="22"/>
      <w14:ligatures w14:val="standardContextual"/>
    </w:r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IntenseQuote">
    <w:name w:val="Intense Quote"/>
    <w:basedOn w:val="Normal"/>
    <w:next w:val="Normal"/>
    <w:link w:val="IntenseQuoteChar"/>
    <w:uiPriority w:val="30"/>
    <w:qFormat/>
    <w:rsid w:val="008D12AB"/>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8D12AB"/>
    <w:rPr>
      <w:i/>
      <w:iCs/>
      <w:color w:val="005496" w:themeColor="accent1"/>
    </w:rPr>
  </w:style>
  <w:style w:type="paragraph" w:styleId="Subtitle">
    <w:name w:val="Subtitle"/>
    <w:basedOn w:val="Normal"/>
    <w:next w:val="Normal"/>
    <w:link w:val="SubtitleChar"/>
    <w:uiPriority w:val="11"/>
    <w:qFormat/>
    <w:rsid w:val="0014235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42358"/>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4"/>
    <w:rsid w:val="005334ED"/>
    <w:rPr>
      <w:rFonts w:asciiTheme="majorHAnsi" w:eastAsiaTheme="majorEastAsia" w:hAnsiTheme="majorHAnsi" w:cstheme="majorBidi"/>
      <w:color w:val="00294A"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242">
      <w:bodyDiv w:val="1"/>
      <w:marLeft w:val="0"/>
      <w:marRight w:val="0"/>
      <w:marTop w:val="0"/>
      <w:marBottom w:val="0"/>
      <w:divBdr>
        <w:top w:val="none" w:sz="0" w:space="0" w:color="auto"/>
        <w:left w:val="none" w:sz="0" w:space="0" w:color="auto"/>
        <w:bottom w:val="none" w:sz="0" w:space="0" w:color="auto"/>
        <w:right w:val="none" w:sz="0" w:space="0" w:color="auto"/>
      </w:divBdr>
      <w:divsChild>
        <w:div w:id="1006788398">
          <w:marLeft w:val="0"/>
          <w:marRight w:val="0"/>
          <w:marTop w:val="0"/>
          <w:marBottom w:val="0"/>
          <w:divBdr>
            <w:top w:val="none" w:sz="0" w:space="0" w:color="auto"/>
            <w:left w:val="none" w:sz="0" w:space="0" w:color="auto"/>
            <w:bottom w:val="none" w:sz="0" w:space="0" w:color="auto"/>
            <w:right w:val="none" w:sz="0" w:space="0" w:color="auto"/>
          </w:divBdr>
        </w:div>
      </w:divsChild>
    </w:div>
    <w:div w:id="103886845">
      <w:bodyDiv w:val="1"/>
      <w:marLeft w:val="0"/>
      <w:marRight w:val="0"/>
      <w:marTop w:val="0"/>
      <w:marBottom w:val="0"/>
      <w:divBdr>
        <w:top w:val="none" w:sz="0" w:space="0" w:color="auto"/>
        <w:left w:val="none" w:sz="0" w:space="0" w:color="auto"/>
        <w:bottom w:val="none" w:sz="0" w:space="0" w:color="auto"/>
        <w:right w:val="none" w:sz="0" w:space="0" w:color="auto"/>
      </w:divBdr>
    </w:div>
    <w:div w:id="116606375">
      <w:bodyDiv w:val="1"/>
      <w:marLeft w:val="0"/>
      <w:marRight w:val="0"/>
      <w:marTop w:val="0"/>
      <w:marBottom w:val="0"/>
      <w:divBdr>
        <w:top w:val="none" w:sz="0" w:space="0" w:color="auto"/>
        <w:left w:val="none" w:sz="0" w:space="0" w:color="auto"/>
        <w:bottom w:val="none" w:sz="0" w:space="0" w:color="auto"/>
        <w:right w:val="none" w:sz="0" w:space="0" w:color="auto"/>
      </w:divBdr>
      <w:divsChild>
        <w:div w:id="1877815877">
          <w:marLeft w:val="0"/>
          <w:marRight w:val="0"/>
          <w:marTop w:val="0"/>
          <w:marBottom w:val="0"/>
          <w:divBdr>
            <w:top w:val="none" w:sz="0" w:space="0" w:color="auto"/>
            <w:left w:val="none" w:sz="0" w:space="0" w:color="auto"/>
            <w:bottom w:val="none" w:sz="0" w:space="0" w:color="auto"/>
            <w:right w:val="none" w:sz="0" w:space="0" w:color="auto"/>
          </w:divBdr>
        </w:div>
      </w:divsChild>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58352535">
      <w:bodyDiv w:val="1"/>
      <w:marLeft w:val="0"/>
      <w:marRight w:val="0"/>
      <w:marTop w:val="0"/>
      <w:marBottom w:val="0"/>
      <w:divBdr>
        <w:top w:val="none" w:sz="0" w:space="0" w:color="auto"/>
        <w:left w:val="none" w:sz="0" w:space="0" w:color="auto"/>
        <w:bottom w:val="none" w:sz="0" w:space="0" w:color="auto"/>
        <w:right w:val="none" w:sz="0" w:space="0" w:color="auto"/>
      </w:divBdr>
    </w:div>
    <w:div w:id="237642805">
      <w:bodyDiv w:val="1"/>
      <w:marLeft w:val="0"/>
      <w:marRight w:val="0"/>
      <w:marTop w:val="0"/>
      <w:marBottom w:val="0"/>
      <w:divBdr>
        <w:top w:val="none" w:sz="0" w:space="0" w:color="auto"/>
        <w:left w:val="none" w:sz="0" w:space="0" w:color="auto"/>
        <w:bottom w:val="none" w:sz="0" w:space="0" w:color="auto"/>
        <w:right w:val="none" w:sz="0" w:space="0" w:color="auto"/>
      </w:divBdr>
      <w:divsChild>
        <w:div w:id="2121488210">
          <w:marLeft w:val="720"/>
          <w:marRight w:val="0"/>
          <w:marTop w:val="0"/>
          <w:marBottom w:val="0"/>
          <w:divBdr>
            <w:top w:val="none" w:sz="0" w:space="0" w:color="auto"/>
            <w:left w:val="none" w:sz="0" w:space="0" w:color="auto"/>
            <w:bottom w:val="none" w:sz="0" w:space="0" w:color="auto"/>
            <w:right w:val="none" w:sz="0" w:space="0" w:color="auto"/>
          </w:divBdr>
        </w:div>
      </w:divsChild>
    </w:div>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30373188">
      <w:bodyDiv w:val="1"/>
      <w:marLeft w:val="0"/>
      <w:marRight w:val="0"/>
      <w:marTop w:val="0"/>
      <w:marBottom w:val="0"/>
      <w:divBdr>
        <w:top w:val="none" w:sz="0" w:space="0" w:color="auto"/>
        <w:left w:val="none" w:sz="0" w:space="0" w:color="auto"/>
        <w:bottom w:val="none" w:sz="0" w:space="0" w:color="auto"/>
        <w:right w:val="none" w:sz="0" w:space="0" w:color="auto"/>
      </w:divBdr>
    </w:div>
    <w:div w:id="335227410">
      <w:bodyDiv w:val="1"/>
      <w:marLeft w:val="0"/>
      <w:marRight w:val="0"/>
      <w:marTop w:val="0"/>
      <w:marBottom w:val="0"/>
      <w:divBdr>
        <w:top w:val="none" w:sz="0" w:space="0" w:color="auto"/>
        <w:left w:val="none" w:sz="0" w:space="0" w:color="auto"/>
        <w:bottom w:val="none" w:sz="0" w:space="0" w:color="auto"/>
        <w:right w:val="none" w:sz="0" w:space="0" w:color="auto"/>
      </w:divBdr>
      <w:divsChild>
        <w:div w:id="358773925">
          <w:marLeft w:val="0"/>
          <w:marRight w:val="0"/>
          <w:marTop w:val="0"/>
          <w:marBottom w:val="0"/>
          <w:divBdr>
            <w:top w:val="none" w:sz="0" w:space="0" w:color="auto"/>
            <w:left w:val="none" w:sz="0" w:space="0" w:color="auto"/>
            <w:bottom w:val="none" w:sz="0" w:space="0" w:color="auto"/>
            <w:right w:val="none" w:sz="0" w:space="0" w:color="auto"/>
          </w:divBdr>
        </w:div>
      </w:divsChild>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06667955">
      <w:bodyDiv w:val="1"/>
      <w:marLeft w:val="0"/>
      <w:marRight w:val="0"/>
      <w:marTop w:val="0"/>
      <w:marBottom w:val="0"/>
      <w:divBdr>
        <w:top w:val="none" w:sz="0" w:space="0" w:color="auto"/>
        <w:left w:val="none" w:sz="0" w:space="0" w:color="auto"/>
        <w:bottom w:val="none" w:sz="0" w:space="0" w:color="auto"/>
        <w:right w:val="none" w:sz="0" w:space="0" w:color="auto"/>
      </w:divBdr>
    </w:div>
    <w:div w:id="617182148">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845284995">
      <w:bodyDiv w:val="1"/>
      <w:marLeft w:val="0"/>
      <w:marRight w:val="0"/>
      <w:marTop w:val="0"/>
      <w:marBottom w:val="0"/>
      <w:divBdr>
        <w:top w:val="none" w:sz="0" w:space="0" w:color="auto"/>
        <w:left w:val="none" w:sz="0" w:space="0" w:color="auto"/>
        <w:bottom w:val="none" w:sz="0" w:space="0" w:color="auto"/>
        <w:right w:val="none" w:sz="0" w:space="0" w:color="auto"/>
      </w:divBdr>
      <w:divsChild>
        <w:div w:id="1444614861">
          <w:blockQuote w:val="1"/>
          <w:marLeft w:val="400"/>
          <w:marRight w:val="0"/>
          <w:marTop w:val="160"/>
          <w:marBottom w:val="200"/>
          <w:divBdr>
            <w:top w:val="none" w:sz="0" w:space="0" w:color="auto"/>
            <w:left w:val="none" w:sz="0" w:space="0" w:color="auto"/>
            <w:bottom w:val="none" w:sz="0" w:space="0" w:color="auto"/>
            <w:right w:val="none" w:sz="0" w:space="0" w:color="auto"/>
          </w:divBdr>
        </w:div>
        <w:div w:id="15260219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6068471">
      <w:bodyDiv w:val="1"/>
      <w:marLeft w:val="0"/>
      <w:marRight w:val="0"/>
      <w:marTop w:val="0"/>
      <w:marBottom w:val="0"/>
      <w:divBdr>
        <w:top w:val="none" w:sz="0" w:space="0" w:color="auto"/>
        <w:left w:val="none" w:sz="0" w:space="0" w:color="auto"/>
        <w:bottom w:val="none" w:sz="0" w:space="0" w:color="auto"/>
        <w:right w:val="none" w:sz="0" w:space="0" w:color="auto"/>
      </w:divBdr>
      <w:divsChild>
        <w:div w:id="1727337745">
          <w:marLeft w:val="0"/>
          <w:marRight w:val="0"/>
          <w:marTop w:val="0"/>
          <w:marBottom w:val="0"/>
          <w:divBdr>
            <w:top w:val="none" w:sz="0" w:space="0" w:color="auto"/>
            <w:left w:val="none" w:sz="0" w:space="0" w:color="auto"/>
            <w:bottom w:val="none" w:sz="0" w:space="0" w:color="auto"/>
            <w:right w:val="none" w:sz="0" w:space="0" w:color="auto"/>
          </w:divBdr>
        </w:div>
      </w:divsChild>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52369410">
      <w:bodyDiv w:val="1"/>
      <w:marLeft w:val="0"/>
      <w:marRight w:val="0"/>
      <w:marTop w:val="0"/>
      <w:marBottom w:val="0"/>
      <w:divBdr>
        <w:top w:val="none" w:sz="0" w:space="0" w:color="auto"/>
        <w:left w:val="none" w:sz="0" w:space="0" w:color="auto"/>
        <w:bottom w:val="none" w:sz="0" w:space="0" w:color="auto"/>
        <w:right w:val="none" w:sz="0" w:space="0" w:color="auto"/>
      </w:divBdr>
    </w:div>
    <w:div w:id="983899642">
      <w:bodyDiv w:val="1"/>
      <w:marLeft w:val="0"/>
      <w:marRight w:val="0"/>
      <w:marTop w:val="0"/>
      <w:marBottom w:val="0"/>
      <w:divBdr>
        <w:top w:val="none" w:sz="0" w:space="0" w:color="auto"/>
        <w:left w:val="none" w:sz="0" w:space="0" w:color="auto"/>
        <w:bottom w:val="none" w:sz="0" w:space="0" w:color="auto"/>
        <w:right w:val="none" w:sz="0" w:space="0" w:color="auto"/>
      </w:divBdr>
      <w:divsChild>
        <w:div w:id="334455141">
          <w:marLeft w:val="720"/>
          <w:marRight w:val="0"/>
          <w:marTop w:val="0"/>
          <w:marBottom w:val="0"/>
          <w:divBdr>
            <w:top w:val="none" w:sz="0" w:space="0" w:color="auto"/>
            <w:left w:val="none" w:sz="0" w:space="0" w:color="auto"/>
            <w:bottom w:val="none" w:sz="0" w:space="0" w:color="auto"/>
            <w:right w:val="none" w:sz="0" w:space="0" w:color="auto"/>
          </w:divBdr>
        </w:div>
        <w:div w:id="1052196826">
          <w:marLeft w:val="720"/>
          <w:marRight w:val="0"/>
          <w:marTop w:val="0"/>
          <w:marBottom w:val="0"/>
          <w:divBdr>
            <w:top w:val="none" w:sz="0" w:space="0" w:color="auto"/>
            <w:left w:val="none" w:sz="0" w:space="0" w:color="auto"/>
            <w:bottom w:val="none" w:sz="0" w:space="0" w:color="auto"/>
            <w:right w:val="none" w:sz="0" w:space="0" w:color="auto"/>
          </w:divBdr>
        </w:div>
      </w:divsChild>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151943606">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295865151">
      <w:bodyDiv w:val="1"/>
      <w:marLeft w:val="0"/>
      <w:marRight w:val="0"/>
      <w:marTop w:val="0"/>
      <w:marBottom w:val="0"/>
      <w:divBdr>
        <w:top w:val="none" w:sz="0" w:space="0" w:color="auto"/>
        <w:left w:val="none" w:sz="0" w:space="0" w:color="auto"/>
        <w:bottom w:val="none" w:sz="0" w:space="0" w:color="auto"/>
        <w:right w:val="none" w:sz="0" w:space="0" w:color="auto"/>
      </w:divBdr>
      <w:divsChild>
        <w:div w:id="23796870">
          <w:marLeft w:val="0"/>
          <w:marRight w:val="0"/>
          <w:marTop w:val="0"/>
          <w:marBottom w:val="0"/>
          <w:divBdr>
            <w:top w:val="none" w:sz="0" w:space="0" w:color="auto"/>
            <w:left w:val="none" w:sz="0" w:space="0" w:color="auto"/>
            <w:bottom w:val="none" w:sz="0" w:space="0" w:color="auto"/>
            <w:right w:val="none" w:sz="0" w:space="0" w:color="auto"/>
          </w:divBdr>
        </w:div>
      </w:divsChild>
    </w:div>
    <w:div w:id="1406028924">
      <w:bodyDiv w:val="1"/>
      <w:marLeft w:val="0"/>
      <w:marRight w:val="0"/>
      <w:marTop w:val="0"/>
      <w:marBottom w:val="0"/>
      <w:divBdr>
        <w:top w:val="none" w:sz="0" w:space="0" w:color="auto"/>
        <w:left w:val="none" w:sz="0" w:space="0" w:color="auto"/>
        <w:bottom w:val="none" w:sz="0" w:space="0" w:color="auto"/>
        <w:right w:val="none" w:sz="0" w:space="0" w:color="auto"/>
      </w:divBdr>
      <w:divsChild>
        <w:div w:id="1610694943">
          <w:marLeft w:val="0"/>
          <w:marRight w:val="0"/>
          <w:marTop w:val="0"/>
          <w:marBottom w:val="0"/>
          <w:divBdr>
            <w:top w:val="none" w:sz="0" w:space="0" w:color="auto"/>
            <w:left w:val="none" w:sz="0" w:space="0" w:color="auto"/>
            <w:bottom w:val="none" w:sz="0" w:space="0" w:color="auto"/>
            <w:right w:val="none" w:sz="0" w:space="0" w:color="auto"/>
          </w:divBdr>
        </w:div>
      </w:divsChild>
    </w:div>
    <w:div w:id="1439448617">
      <w:bodyDiv w:val="1"/>
      <w:marLeft w:val="0"/>
      <w:marRight w:val="0"/>
      <w:marTop w:val="0"/>
      <w:marBottom w:val="0"/>
      <w:divBdr>
        <w:top w:val="none" w:sz="0" w:space="0" w:color="auto"/>
        <w:left w:val="none" w:sz="0" w:space="0" w:color="auto"/>
        <w:bottom w:val="none" w:sz="0" w:space="0" w:color="auto"/>
        <w:right w:val="none" w:sz="0" w:space="0" w:color="auto"/>
      </w:divBdr>
      <w:divsChild>
        <w:div w:id="998079172">
          <w:marLeft w:val="720"/>
          <w:marRight w:val="0"/>
          <w:marTop w:val="0"/>
          <w:marBottom w:val="0"/>
          <w:divBdr>
            <w:top w:val="none" w:sz="0" w:space="0" w:color="auto"/>
            <w:left w:val="none" w:sz="0" w:space="0" w:color="auto"/>
            <w:bottom w:val="none" w:sz="0" w:space="0" w:color="auto"/>
            <w:right w:val="none" w:sz="0" w:space="0" w:color="auto"/>
          </w:divBdr>
        </w:div>
      </w:divsChild>
    </w:div>
    <w:div w:id="1456605905">
      <w:bodyDiv w:val="1"/>
      <w:marLeft w:val="0"/>
      <w:marRight w:val="0"/>
      <w:marTop w:val="0"/>
      <w:marBottom w:val="0"/>
      <w:divBdr>
        <w:top w:val="none" w:sz="0" w:space="0" w:color="auto"/>
        <w:left w:val="none" w:sz="0" w:space="0" w:color="auto"/>
        <w:bottom w:val="none" w:sz="0" w:space="0" w:color="auto"/>
        <w:right w:val="none" w:sz="0" w:space="0" w:color="auto"/>
      </w:divBdr>
      <w:divsChild>
        <w:div w:id="1270048437">
          <w:marLeft w:val="0"/>
          <w:marRight w:val="0"/>
          <w:marTop w:val="0"/>
          <w:marBottom w:val="0"/>
          <w:divBdr>
            <w:top w:val="none" w:sz="0" w:space="0" w:color="auto"/>
            <w:left w:val="none" w:sz="0" w:space="0" w:color="auto"/>
            <w:bottom w:val="none" w:sz="0" w:space="0" w:color="auto"/>
            <w:right w:val="none" w:sz="0" w:space="0" w:color="auto"/>
          </w:divBdr>
        </w:div>
      </w:divsChild>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461535418">
      <w:bodyDiv w:val="1"/>
      <w:marLeft w:val="0"/>
      <w:marRight w:val="0"/>
      <w:marTop w:val="0"/>
      <w:marBottom w:val="0"/>
      <w:divBdr>
        <w:top w:val="none" w:sz="0" w:space="0" w:color="auto"/>
        <w:left w:val="none" w:sz="0" w:space="0" w:color="auto"/>
        <w:bottom w:val="none" w:sz="0" w:space="0" w:color="auto"/>
        <w:right w:val="none" w:sz="0" w:space="0" w:color="auto"/>
      </w:divBdr>
    </w:div>
    <w:div w:id="1492915149">
      <w:bodyDiv w:val="1"/>
      <w:marLeft w:val="0"/>
      <w:marRight w:val="0"/>
      <w:marTop w:val="0"/>
      <w:marBottom w:val="0"/>
      <w:divBdr>
        <w:top w:val="none" w:sz="0" w:space="0" w:color="auto"/>
        <w:left w:val="none" w:sz="0" w:space="0" w:color="auto"/>
        <w:bottom w:val="none" w:sz="0" w:space="0" w:color="auto"/>
        <w:right w:val="none" w:sz="0" w:space="0" w:color="auto"/>
      </w:divBdr>
      <w:divsChild>
        <w:div w:id="127553270">
          <w:marLeft w:val="0"/>
          <w:marRight w:val="0"/>
          <w:marTop w:val="0"/>
          <w:marBottom w:val="0"/>
          <w:divBdr>
            <w:top w:val="none" w:sz="0" w:space="0" w:color="auto"/>
            <w:left w:val="none" w:sz="0" w:space="0" w:color="auto"/>
            <w:bottom w:val="none" w:sz="0" w:space="0" w:color="auto"/>
            <w:right w:val="none" w:sz="0" w:space="0" w:color="auto"/>
          </w:divBdr>
        </w:div>
      </w:divsChild>
    </w:div>
    <w:div w:id="1665547461">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785886449">
      <w:bodyDiv w:val="1"/>
      <w:marLeft w:val="0"/>
      <w:marRight w:val="0"/>
      <w:marTop w:val="0"/>
      <w:marBottom w:val="0"/>
      <w:divBdr>
        <w:top w:val="none" w:sz="0" w:space="0" w:color="auto"/>
        <w:left w:val="none" w:sz="0" w:space="0" w:color="auto"/>
        <w:bottom w:val="none" w:sz="0" w:space="0" w:color="auto"/>
        <w:right w:val="none" w:sz="0" w:space="0" w:color="auto"/>
      </w:divBdr>
    </w:div>
    <w:div w:id="1868255453">
      <w:bodyDiv w:val="1"/>
      <w:marLeft w:val="0"/>
      <w:marRight w:val="0"/>
      <w:marTop w:val="0"/>
      <w:marBottom w:val="0"/>
      <w:divBdr>
        <w:top w:val="none" w:sz="0" w:space="0" w:color="auto"/>
        <w:left w:val="none" w:sz="0" w:space="0" w:color="auto"/>
        <w:bottom w:val="none" w:sz="0" w:space="0" w:color="auto"/>
        <w:right w:val="none" w:sz="0" w:space="0" w:color="auto"/>
      </w:divBdr>
      <w:divsChild>
        <w:div w:id="1316228246">
          <w:marLeft w:val="0"/>
          <w:marRight w:val="0"/>
          <w:marTop w:val="0"/>
          <w:marBottom w:val="0"/>
          <w:divBdr>
            <w:top w:val="none" w:sz="0" w:space="0" w:color="auto"/>
            <w:left w:val="none" w:sz="0" w:space="0" w:color="auto"/>
            <w:bottom w:val="none" w:sz="0" w:space="0" w:color="auto"/>
            <w:right w:val="none" w:sz="0" w:space="0" w:color="auto"/>
          </w:divBdr>
        </w:div>
      </w:divsChild>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45532756">
      <w:bodyDiv w:val="1"/>
      <w:marLeft w:val="0"/>
      <w:marRight w:val="0"/>
      <w:marTop w:val="0"/>
      <w:marBottom w:val="0"/>
      <w:divBdr>
        <w:top w:val="none" w:sz="0" w:space="0" w:color="auto"/>
        <w:left w:val="none" w:sz="0" w:space="0" w:color="auto"/>
        <w:bottom w:val="none" w:sz="0" w:space="0" w:color="auto"/>
        <w:right w:val="none" w:sz="0" w:space="0" w:color="auto"/>
      </w:divBdr>
      <w:divsChild>
        <w:div w:id="2137287911">
          <w:marLeft w:val="720"/>
          <w:marRight w:val="0"/>
          <w:marTop w:val="0"/>
          <w:marBottom w:val="0"/>
          <w:divBdr>
            <w:top w:val="none" w:sz="0" w:space="0" w:color="auto"/>
            <w:left w:val="none" w:sz="0" w:space="0" w:color="auto"/>
            <w:bottom w:val="none" w:sz="0" w:space="0" w:color="auto"/>
            <w:right w:val="none" w:sz="0" w:space="0" w:color="auto"/>
          </w:divBdr>
        </w:div>
      </w:divsChild>
    </w:div>
    <w:div w:id="1947075835">
      <w:bodyDiv w:val="1"/>
      <w:marLeft w:val="0"/>
      <w:marRight w:val="0"/>
      <w:marTop w:val="0"/>
      <w:marBottom w:val="0"/>
      <w:divBdr>
        <w:top w:val="none" w:sz="0" w:space="0" w:color="auto"/>
        <w:left w:val="none" w:sz="0" w:space="0" w:color="auto"/>
        <w:bottom w:val="none" w:sz="0" w:space="0" w:color="auto"/>
        <w:right w:val="none" w:sz="0" w:space="0" w:color="auto"/>
      </w:divBdr>
      <w:divsChild>
        <w:div w:id="1009219142">
          <w:marLeft w:val="720"/>
          <w:marRight w:val="0"/>
          <w:marTop w:val="0"/>
          <w:marBottom w:val="0"/>
          <w:divBdr>
            <w:top w:val="none" w:sz="0" w:space="0" w:color="auto"/>
            <w:left w:val="none" w:sz="0" w:space="0" w:color="auto"/>
            <w:bottom w:val="none" w:sz="0" w:space="0" w:color="auto"/>
            <w:right w:val="none" w:sz="0" w:space="0" w:color="auto"/>
          </w:divBdr>
        </w:div>
      </w:divsChild>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1968730144">
      <w:bodyDiv w:val="1"/>
      <w:marLeft w:val="0"/>
      <w:marRight w:val="0"/>
      <w:marTop w:val="0"/>
      <w:marBottom w:val="0"/>
      <w:divBdr>
        <w:top w:val="none" w:sz="0" w:space="0" w:color="auto"/>
        <w:left w:val="none" w:sz="0" w:space="0" w:color="auto"/>
        <w:bottom w:val="none" w:sz="0" w:space="0" w:color="auto"/>
        <w:right w:val="none" w:sz="0" w:space="0" w:color="auto"/>
      </w:divBdr>
      <w:divsChild>
        <w:div w:id="623536098">
          <w:marLeft w:val="0"/>
          <w:marRight w:val="0"/>
          <w:marTop w:val="0"/>
          <w:marBottom w:val="0"/>
          <w:divBdr>
            <w:top w:val="none" w:sz="0" w:space="0" w:color="auto"/>
            <w:left w:val="none" w:sz="0" w:space="0" w:color="auto"/>
            <w:bottom w:val="none" w:sz="0" w:space="0" w:color="auto"/>
            <w:right w:val="none" w:sz="0" w:space="0" w:color="auto"/>
          </w:divBdr>
        </w:div>
      </w:divsChild>
    </w:div>
    <w:div w:id="2034530260">
      <w:bodyDiv w:val="1"/>
      <w:marLeft w:val="0"/>
      <w:marRight w:val="0"/>
      <w:marTop w:val="0"/>
      <w:marBottom w:val="0"/>
      <w:divBdr>
        <w:top w:val="none" w:sz="0" w:space="0" w:color="auto"/>
        <w:left w:val="none" w:sz="0" w:space="0" w:color="auto"/>
        <w:bottom w:val="none" w:sz="0" w:space="0" w:color="auto"/>
        <w:right w:val="none" w:sz="0" w:space="0" w:color="auto"/>
      </w:divBdr>
    </w:div>
    <w:div w:id="2042777915">
      <w:bodyDiv w:val="1"/>
      <w:marLeft w:val="0"/>
      <w:marRight w:val="0"/>
      <w:marTop w:val="0"/>
      <w:marBottom w:val="0"/>
      <w:divBdr>
        <w:top w:val="none" w:sz="0" w:space="0" w:color="auto"/>
        <w:left w:val="none" w:sz="0" w:space="0" w:color="auto"/>
        <w:bottom w:val="none" w:sz="0" w:space="0" w:color="auto"/>
        <w:right w:val="none" w:sz="0" w:space="0" w:color="auto"/>
      </w:divBdr>
    </w:div>
    <w:div w:id="2099859407">
      <w:bodyDiv w:val="1"/>
      <w:marLeft w:val="0"/>
      <w:marRight w:val="0"/>
      <w:marTop w:val="0"/>
      <w:marBottom w:val="0"/>
      <w:divBdr>
        <w:top w:val="none" w:sz="0" w:space="0" w:color="auto"/>
        <w:left w:val="none" w:sz="0" w:space="0" w:color="auto"/>
        <w:bottom w:val="none" w:sz="0" w:space="0" w:color="auto"/>
        <w:right w:val="none" w:sz="0" w:space="0" w:color="auto"/>
      </w:divBdr>
      <w:divsChild>
        <w:div w:id="1133449360">
          <w:marLeft w:val="0"/>
          <w:marRight w:val="0"/>
          <w:marTop w:val="0"/>
          <w:marBottom w:val="0"/>
          <w:divBdr>
            <w:top w:val="none" w:sz="0" w:space="0" w:color="auto"/>
            <w:left w:val="none" w:sz="0" w:space="0" w:color="auto"/>
            <w:bottom w:val="none" w:sz="0" w:space="0" w:color="auto"/>
            <w:right w:val="none" w:sz="0" w:space="0" w:color="auto"/>
          </w:divBdr>
        </w:div>
      </w:divsChild>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wd@pwd.org.au" TargetMode="External"/><Relationship Id="rId18" Type="http://schemas.openxmlformats.org/officeDocument/2006/relationships/hyperlink" Target="https://disability.royalcommission.gov.au/publications/final-report" TargetMode="External"/><Relationship Id="rId26" Type="http://schemas.openxmlformats.org/officeDocument/2006/relationships/diagramData" Target="diagrams/data1.xml"/><Relationship Id="rId39" Type="http://schemas.openxmlformats.org/officeDocument/2006/relationships/header" Target="header1.xml"/><Relationship Id="rId21" Type="http://schemas.openxmlformats.org/officeDocument/2006/relationships/hyperlink" Target="https://www.un.org/development/desa/disabilities/convention-on-the-rights-of-persons-with-disabilities/article-19-living-independently-and-being-included-in-the-community.html" TargetMode="External"/><Relationship Id="rId34" Type="http://schemas.openxmlformats.org/officeDocument/2006/relationships/hyperlink" Target="https://ncc.abcb.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gage.dss.gov.au/developing-the-national-housing-and-homelessness-plan/developing-the-national-housing-and-homelessness-plan-issues-paper/" TargetMode="External"/><Relationship Id="rId20" Type="http://schemas.openxmlformats.org/officeDocument/2006/relationships/hyperlink" Target="https://www.un.org/development/desa/disabilities/convention-on-the-rights-of-persons-with-disabilities/article-9-accessibility.html" TargetMode="External"/><Relationship Id="rId29" Type="http://schemas.openxmlformats.org/officeDocument/2006/relationships/diagramColors" Target="diagrams/colors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ph.gov.au/Parliamentary_Business/Bills_Legislation/Bills_Search_Results/Result?bId=r6971" TargetMode="External"/><Relationship Id="rId32" Type="http://schemas.openxmlformats.org/officeDocument/2006/relationships/hyperlink" Target="https://ncc.abcb.gov.au/" TargetMode="External"/><Relationship Id="rId37" Type="http://schemas.openxmlformats.org/officeDocument/2006/relationships/hyperlink" Target="mailto:pwd@pwd.org.a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gage.dss.gov.au/developing-the-national-housing-and-homelessness-plan/developing-the-national-housing-and-homelessness-plan-issues-paper/" TargetMode="External"/><Relationship Id="rId23" Type="http://schemas.openxmlformats.org/officeDocument/2006/relationships/hyperlink" Target="https://www.aph.gov.au/Parliamentary_Business/Bills_Legislation/Bills_Search_Results/Result?bId=r6970" TargetMode="External"/><Relationship Id="rId28" Type="http://schemas.openxmlformats.org/officeDocument/2006/relationships/diagramQuickStyle" Target="diagrams/quickStyle1.xm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social.desa.un.org/issues/disability/crpd/convention-on-the-rights-of-persons-with-disabilities-crpd" TargetMode="External"/><Relationship Id="rId31" Type="http://schemas.openxmlformats.org/officeDocument/2006/relationships/hyperlink" Target="https://ministers.dss.gov.au/media-releases/124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 Id="rId22" Type="http://schemas.openxmlformats.org/officeDocument/2006/relationships/hyperlink" Target="https://www.un.org/development/desa/disabilities/convention-on-the-rights-of-persons-with-disabilities/article-28-adequate-standard-of-living-and-social-protection.html"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disabilitygateway.gov.au/ads/strategy" TargetMode="External"/><Relationship Id="rId25" Type="http://schemas.openxmlformats.org/officeDocument/2006/relationships/hyperlink" Target="https://disability.royalcommission.gov.au/publications/final-report-executive-summary-our-vision-inclusive-australia-and-recommendations" TargetMode="External"/><Relationship Id="rId33" Type="http://schemas.openxmlformats.org/officeDocument/2006/relationships/hyperlink" Target="file:///C:\Users\janeb\Desktop\NDIS" TargetMode="External"/><Relationship Id="rId38" Type="http://schemas.openxmlformats.org/officeDocument/2006/relationships/hyperlink" Target="mailto:giancarlod@pwd.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8" Type="http://schemas.openxmlformats.org/officeDocument/2006/relationships/hyperlink" Target="https://humanrights.gov.au/our-work" TargetMode="External"/><Relationship Id="rId13" Type="http://schemas.openxmlformats.org/officeDocument/2006/relationships/hyperlink" Target="https://www.aihw.gov.au/reports/disability/people-with-disability-in-australia/contents/income-and-finance/income" TargetMode="External"/><Relationship Id="rId18" Type="http://schemas.openxmlformats.org/officeDocument/2006/relationships/hyperlink" Target="https://bridges.monash.edu/articles/report/Adaptable_housing_for_people_with_disability_in_Australia_a_scoping_study/14458563" TargetMode="External"/><Relationship Id="rId3" Type="http://schemas.openxmlformats.org/officeDocument/2006/relationships/hyperlink" Target="https://www.pc.gov.au/inquiries/completed/housing-homelessness/report" TargetMode="External"/><Relationship Id="rId7" Type="http://schemas.openxmlformats.org/officeDocument/2006/relationships/hyperlink" Target="https://dpoa.org.au/endsegregation/" TargetMode="External"/><Relationship Id="rId12" Type="http://schemas.openxmlformats.org/officeDocument/2006/relationships/hyperlink" Target="https://www.ncoss.org.au/policy-advocacy/policy-research-publications/barely-hanging-on-the-cost-of-living-crisis-in-nsw/" TargetMode="External"/><Relationship Id="rId17" Type="http://schemas.openxmlformats.org/officeDocument/2006/relationships/hyperlink" Target="https://doi.org/10.1787/9789264088856-en" TargetMode="External"/><Relationship Id="rId2" Type="http://schemas.openxmlformats.org/officeDocument/2006/relationships/hyperlink" Target="https://www.aihw.gov.au/reports/disability/people-with-disability-in-australia/contents/housing" TargetMode="External"/><Relationship Id="rId16" Type="http://schemas.openxmlformats.org/officeDocument/2006/relationships/hyperlink" Target="https://www.pwc.com.au/industry/government/assets/disability-in-australia.pdf" TargetMode="External"/><Relationship Id="rId1" Type="http://schemas.openxmlformats.org/officeDocument/2006/relationships/hyperlink" Target="https://www.communityhousing.com.au/our-advocacy/submissions/" TargetMode="External"/><Relationship Id="rId6" Type="http://schemas.openxmlformats.org/officeDocument/2006/relationships/hyperlink" Target="https://disability.royalcommission.gov.au/publications/group-homes" TargetMode="External"/><Relationship Id="rId11" Type="http://schemas.openxmlformats.org/officeDocument/2006/relationships/hyperlink" Target="https://shelter.org.au/category/publications/submissions/" TargetMode="External"/><Relationship Id="rId5" Type="http://schemas.openxmlformats.org/officeDocument/2006/relationships/hyperlink" Target="https://doi.org/10.3390/ijerph17186512" TargetMode="External"/><Relationship Id="rId15" Type="http://schemas.openxmlformats.org/officeDocument/2006/relationships/hyperlink" Target="https://www.aihw.gov.au/reports/disability/people-with-disability-in-australia/contents/employment/unemployment" TargetMode="External"/><Relationship Id="rId10" Type="http://schemas.openxmlformats.org/officeDocument/2006/relationships/hyperlink" Target="https://www.communityhousing.com.au/our-advocacy/submissions/" TargetMode="External"/><Relationship Id="rId19" Type="http://schemas.openxmlformats.org/officeDocument/2006/relationships/hyperlink" Target="https://homelessnessaustralia.org.au/housing-crisis-is-driving-surging-demand-for-homelessness-services/" TargetMode="External"/><Relationship Id="rId4" Type="http://schemas.openxmlformats.org/officeDocument/2006/relationships/hyperlink" Target="https://www.aihw.gov.au/reports/disability/people-with-disability-in-australia/contents/housing" TargetMode="External"/><Relationship Id="rId9" Type="http://schemas.openxmlformats.org/officeDocument/2006/relationships/hyperlink" Target="https://grattan.edu.au/news/how-to-make-housing-more-affordable/" TargetMode="External"/><Relationship Id="rId14" Type="http://schemas.openxmlformats.org/officeDocument/2006/relationships/hyperlink" Target="https://www.aihw.gov.au/reports/disability/people-with-disability-in-australia/contents/income-and-finance/incom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FCBD5C-C9BE-4317-B63C-BB115C09DB2C}"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AU"/>
        </a:p>
      </dgm:t>
    </dgm:pt>
    <dgm:pt modelId="{4C7222E3-3C92-4895-9A79-532E35840F82}">
      <dgm:prSet phldrT="[Text]" custT="1"/>
      <dgm:spPr>
        <a:noFill/>
        <a:ln>
          <a:solidFill>
            <a:srgbClr val="002060"/>
          </a:solidFill>
        </a:ln>
      </dgm:spPr>
      <dgm:t>
        <a:bodyPr/>
        <a:lstStyle/>
        <a:p>
          <a:r>
            <a:rPr lang="en-AU" sz="1400">
              <a:solidFill>
                <a:sysClr val="windowText" lastClr="000000"/>
              </a:solidFill>
            </a:rPr>
            <a:t>Targeted Housing Action Plan for People with Disability</a:t>
          </a:r>
        </a:p>
      </dgm:t>
    </dgm:pt>
    <dgm:pt modelId="{584016B6-AFFE-4534-92CC-8AC6A66CB8F5}" type="parTrans" cxnId="{EA1E23CF-AF31-4B46-A5E9-BCD6C08AB177}">
      <dgm:prSet/>
      <dgm:spPr/>
      <dgm:t>
        <a:bodyPr/>
        <a:lstStyle/>
        <a:p>
          <a:endParaRPr lang="en-AU"/>
        </a:p>
      </dgm:t>
    </dgm:pt>
    <dgm:pt modelId="{695DC848-6CCC-497C-BD0D-F054185FC1B2}" type="sibTrans" cxnId="{EA1E23CF-AF31-4B46-A5E9-BCD6C08AB177}">
      <dgm:prSet/>
      <dgm:spPr/>
      <dgm:t>
        <a:bodyPr/>
        <a:lstStyle/>
        <a:p>
          <a:endParaRPr lang="en-AU"/>
        </a:p>
      </dgm:t>
    </dgm:pt>
    <dgm:pt modelId="{D1D485BD-B5B8-4E62-8489-2D1028EA7CB8}">
      <dgm:prSet phldrT="[Text]" custT="1"/>
      <dgm:spPr>
        <a:noFill/>
        <a:ln>
          <a:solidFill>
            <a:srgbClr val="002060"/>
          </a:solidFill>
        </a:ln>
      </dgm:spPr>
      <dgm:t>
        <a:bodyPr/>
        <a:lstStyle/>
        <a:p>
          <a:r>
            <a:rPr lang="en-AU" sz="1400">
              <a:solidFill>
                <a:sysClr val="windowText" lastClr="000000"/>
              </a:solidFill>
            </a:rPr>
            <a:t>Congregate Housing Transition Plan</a:t>
          </a:r>
        </a:p>
      </dgm:t>
    </dgm:pt>
    <dgm:pt modelId="{D4C7C9BD-DA60-40F9-A03B-0A096F8915C2}" type="parTrans" cxnId="{C549E6A5-8C44-45E3-AADE-74DC53BE7C64}">
      <dgm:prSet/>
      <dgm:spPr/>
      <dgm:t>
        <a:bodyPr/>
        <a:lstStyle/>
        <a:p>
          <a:endParaRPr lang="en-AU"/>
        </a:p>
      </dgm:t>
    </dgm:pt>
    <dgm:pt modelId="{5DF4CBF8-FB69-4312-862E-008B36F29570}" type="sibTrans" cxnId="{C549E6A5-8C44-45E3-AADE-74DC53BE7C64}">
      <dgm:prSet/>
      <dgm:spPr/>
      <dgm:t>
        <a:bodyPr/>
        <a:lstStyle/>
        <a:p>
          <a:endParaRPr lang="en-AU"/>
        </a:p>
      </dgm:t>
    </dgm:pt>
    <dgm:pt modelId="{66D04E35-EC5F-4F7A-B633-8264898E7C9E}">
      <dgm:prSet phldrT="[Text]"/>
      <dgm:spPr>
        <a:noFill/>
        <a:ln>
          <a:solidFill>
            <a:srgbClr val="002060"/>
          </a:solidFill>
        </a:ln>
      </dgm:spPr>
      <dgm:t>
        <a:bodyPr/>
        <a:lstStyle/>
        <a:p>
          <a:r>
            <a:rPr lang="en-AU">
              <a:solidFill>
                <a:sysClr val="windowText" lastClr="000000"/>
              </a:solidFill>
            </a:rPr>
            <a:t>National Housing and Homelessnness Plan</a:t>
          </a:r>
        </a:p>
      </dgm:t>
      <dgm:extLst>
        <a:ext uri="{E40237B7-FDA0-4F09-8148-C483321AD2D9}">
          <dgm14:cNvPr xmlns:dgm14="http://schemas.microsoft.com/office/drawing/2010/diagram" id="0" name="" descr="A flow chart showing the National Housing and Homelessness Plan at the top with the Targeted Action Plan for People with Disability next and the Congregate Housing Transition Plan."/>
        </a:ext>
      </dgm:extLst>
    </dgm:pt>
    <dgm:pt modelId="{8BE6F287-921D-4541-9025-A5F6E67CB693}" type="sibTrans" cxnId="{6B7311D3-00CF-4EE4-86A3-A8A96081C32C}">
      <dgm:prSet/>
      <dgm:spPr/>
      <dgm:t>
        <a:bodyPr/>
        <a:lstStyle/>
        <a:p>
          <a:endParaRPr lang="en-AU"/>
        </a:p>
      </dgm:t>
    </dgm:pt>
    <dgm:pt modelId="{3BCA3D40-330E-4033-BF9D-55D9BE61B209}" type="parTrans" cxnId="{6B7311D3-00CF-4EE4-86A3-A8A96081C32C}">
      <dgm:prSet/>
      <dgm:spPr/>
      <dgm:t>
        <a:bodyPr/>
        <a:lstStyle/>
        <a:p>
          <a:endParaRPr lang="en-AU"/>
        </a:p>
      </dgm:t>
    </dgm:pt>
    <dgm:pt modelId="{A46C535F-7D08-4499-9DF3-FF4CC0725E9D}" type="pres">
      <dgm:prSet presAssocID="{8DFCBD5C-C9BE-4317-B63C-BB115C09DB2C}" presName="Name0" presStyleCnt="0">
        <dgm:presLayoutVars>
          <dgm:chMax val="1"/>
          <dgm:chPref val="1"/>
          <dgm:dir/>
          <dgm:animOne val="branch"/>
          <dgm:animLvl val="lvl"/>
        </dgm:presLayoutVars>
      </dgm:prSet>
      <dgm:spPr/>
    </dgm:pt>
    <dgm:pt modelId="{2F5E1EE1-8E62-4855-947D-004019689A85}" type="pres">
      <dgm:prSet presAssocID="{4C7222E3-3C92-4895-9A79-532E35840F82}" presName="singleCycle" presStyleCnt="0"/>
      <dgm:spPr/>
    </dgm:pt>
    <dgm:pt modelId="{6BA73EC8-3001-40A7-AE16-6765E130017E}" type="pres">
      <dgm:prSet presAssocID="{4C7222E3-3C92-4895-9A79-532E35840F82}" presName="singleCenter" presStyleLbl="node1" presStyleIdx="0" presStyleCnt="3" custScaleX="366077" custScaleY="64192">
        <dgm:presLayoutVars>
          <dgm:chMax val="7"/>
          <dgm:chPref val="7"/>
        </dgm:presLayoutVars>
      </dgm:prSet>
      <dgm:spPr/>
    </dgm:pt>
    <dgm:pt modelId="{F3742885-B65E-4222-8CEE-D44CF7D031FB}" type="pres">
      <dgm:prSet presAssocID="{3BCA3D40-330E-4033-BF9D-55D9BE61B209}" presName="Name56" presStyleLbl="parChTrans1D2" presStyleIdx="0" presStyleCnt="2"/>
      <dgm:spPr/>
    </dgm:pt>
    <dgm:pt modelId="{E287B69A-FE91-4A93-AF86-F232A9B71E72}" type="pres">
      <dgm:prSet presAssocID="{66D04E35-EC5F-4F7A-B633-8264898E7C9E}" presName="text0" presStyleLbl="node1" presStyleIdx="1" presStyleCnt="3" custScaleX="808434">
        <dgm:presLayoutVars>
          <dgm:bulletEnabled val="1"/>
        </dgm:presLayoutVars>
      </dgm:prSet>
      <dgm:spPr/>
    </dgm:pt>
    <dgm:pt modelId="{2442C714-C932-48FA-9C88-96017836799D}" type="pres">
      <dgm:prSet presAssocID="{D4C7C9BD-DA60-40F9-A03B-0A096F8915C2}" presName="Name56" presStyleLbl="parChTrans1D2" presStyleIdx="1" presStyleCnt="2"/>
      <dgm:spPr/>
    </dgm:pt>
    <dgm:pt modelId="{E9B91792-035D-4FA1-8687-AD4076905AE5}" type="pres">
      <dgm:prSet presAssocID="{D1D485BD-B5B8-4E62-8489-2D1028EA7CB8}" presName="text0" presStyleLbl="node1" presStyleIdx="2" presStyleCnt="3" custScaleX="469747">
        <dgm:presLayoutVars>
          <dgm:bulletEnabled val="1"/>
        </dgm:presLayoutVars>
      </dgm:prSet>
      <dgm:spPr/>
    </dgm:pt>
  </dgm:ptLst>
  <dgm:cxnLst>
    <dgm:cxn modelId="{4ADE1F12-0C78-4157-85A6-CC1C2FAE4EAE}" type="presOf" srcId="{66D04E35-EC5F-4F7A-B633-8264898E7C9E}" destId="{E287B69A-FE91-4A93-AF86-F232A9B71E72}" srcOrd="0" destOrd="0" presId="urn:microsoft.com/office/officeart/2008/layout/RadialCluster"/>
    <dgm:cxn modelId="{ECB70D2F-D1AE-4098-AEAF-99B1C617DE11}" type="presOf" srcId="{D4C7C9BD-DA60-40F9-A03B-0A096F8915C2}" destId="{2442C714-C932-48FA-9C88-96017836799D}" srcOrd="0" destOrd="0" presId="urn:microsoft.com/office/officeart/2008/layout/RadialCluster"/>
    <dgm:cxn modelId="{B9460694-96E9-4C61-96A3-48D4FF0EA1A5}" type="presOf" srcId="{D1D485BD-B5B8-4E62-8489-2D1028EA7CB8}" destId="{E9B91792-035D-4FA1-8687-AD4076905AE5}" srcOrd="0" destOrd="0" presId="urn:microsoft.com/office/officeart/2008/layout/RadialCluster"/>
    <dgm:cxn modelId="{C549E6A5-8C44-45E3-AADE-74DC53BE7C64}" srcId="{4C7222E3-3C92-4895-9A79-532E35840F82}" destId="{D1D485BD-B5B8-4E62-8489-2D1028EA7CB8}" srcOrd="1" destOrd="0" parTransId="{D4C7C9BD-DA60-40F9-A03B-0A096F8915C2}" sibTransId="{5DF4CBF8-FB69-4312-862E-008B36F29570}"/>
    <dgm:cxn modelId="{A82C64A6-856B-492E-BB54-22914B255FAB}" type="presOf" srcId="{3BCA3D40-330E-4033-BF9D-55D9BE61B209}" destId="{F3742885-B65E-4222-8CEE-D44CF7D031FB}" srcOrd="0" destOrd="0" presId="urn:microsoft.com/office/officeart/2008/layout/RadialCluster"/>
    <dgm:cxn modelId="{EA1E23CF-AF31-4B46-A5E9-BCD6C08AB177}" srcId="{8DFCBD5C-C9BE-4317-B63C-BB115C09DB2C}" destId="{4C7222E3-3C92-4895-9A79-532E35840F82}" srcOrd="0" destOrd="0" parTransId="{584016B6-AFFE-4534-92CC-8AC6A66CB8F5}" sibTransId="{695DC848-6CCC-497C-BD0D-F054185FC1B2}"/>
    <dgm:cxn modelId="{727F6FD0-8DDA-4D63-8C11-D448540CA38F}" type="presOf" srcId="{4C7222E3-3C92-4895-9A79-532E35840F82}" destId="{6BA73EC8-3001-40A7-AE16-6765E130017E}" srcOrd="0" destOrd="0" presId="urn:microsoft.com/office/officeart/2008/layout/RadialCluster"/>
    <dgm:cxn modelId="{6B7311D3-00CF-4EE4-86A3-A8A96081C32C}" srcId="{4C7222E3-3C92-4895-9A79-532E35840F82}" destId="{66D04E35-EC5F-4F7A-B633-8264898E7C9E}" srcOrd="0" destOrd="0" parTransId="{3BCA3D40-330E-4033-BF9D-55D9BE61B209}" sibTransId="{8BE6F287-921D-4541-9025-A5F6E67CB693}"/>
    <dgm:cxn modelId="{155AADF5-F3D8-40F6-93E7-60FB5E54BDC5}" type="presOf" srcId="{8DFCBD5C-C9BE-4317-B63C-BB115C09DB2C}" destId="{A46C535F-7D08-4499-9DF3-FF4CC0725E9D}" srcOrd="0" destOrd="0" presId="urn:microsoft.com/office/officeart/2008/layout/RadialCluster"/>
    <dgm:cxn modelId="{DFC264E0-00E4-4BBF-84BF-877B679AD149}" type="presParOf" srcId="{A46C535F-7D08-4499-9DF3-FF4CC0725E9D}" destId="{2F5E1EE1-8E62-4855-947D-004019689A85}" srcOrd="0" destOrd="0" presId="urn:microsoft.com/office/officeart/2008/layout/RadialCluster"/>
    <dgm:cxn modelId="{19BBA5B8-E0DA-4576-A5D9-2D8419181F23}" type="presParOf" srcId="{2F5E1EE1-8E62-4855-947D-004019689A85}" destId="{6BA73EC8-3001-40A7-AE16-6765E130017E}" srcOrd="0" destOrd="0" presId="urn:microsoft.com/office/officeart/2008/layout/RadialCluster"/>
    <dgm:cxn modelId="{38A67FF3-7287-4951-A17D-367D7063D85D}" type="presParOf" srcId="{2F5E1EE1-8E62-4855-947D-004019689A85}" destId="{F3742885-B65E-4222-8CEE-D44CF7D031FB}" srcOrd="1" destOrd="0" presId="urn:microsoft.com/office/officeart/2008/layout/RadialCluster"/>
    <dgm:cxn modelId="{28131174-3663-4577-A825-F9062D33F991}" type="presParOf" srcId="{2F5E1EE1-8E62-4855-947D-004019689A85}" destId="{E287B69A-FE91-4A93-AF86-F232A9B71E72}" srcOrd="2" destOrd="0" presId="urn:microsoft.com/office/officeart/2008/layout/RadialCluster"/>
    <dgm:cxn modelId="{9CADB3D7-0DBB-470F-A9F5-71CB094EB51B}" type="presParOf" srcId="{2F5E1EE1-8E62-4855-947D-004019689A85}" destId="{2442C714-C932-48FA-9C88-96017836799D}" srcOrd="3" destOrd="0" presId="urn:microsoft.com/office/officeart/2008/layout/RadialCluster"/>
    <dgm:cxn modelId="{D22AAF55-1AA5-4057-855A-948A9A55ECFC}" type="presParOf" srcId="{2F5E1EE1-8E62-4855-947D-004019689A85}" destId="{E9B91792-035D-4FA1-8687-AD4076905AE5}" srcOrd="4" destOrd="0" presId="urn:microsoft.com/office/officeart/2008/layout/RadialCluster"/>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A73EC8-3001-40A7-AE16-6765E130017E}">
      <dsp:nvSpPr>
        <dsp:cNvPr id="0" name=""/>
        <dsp:cNvSpPr/>
      </dsp:nvSpPr>
      <dsp:spPr>
        <a:xfrm>
          <a:off x="2060716" y="969431"/>
          <a:ext cx="2637175" cy="462431"/>
        </a:xfrm>
        <a:prstGeom prst="roundRect">
          <a:avLst/>
        </a:prstGeom>
        <a:no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AU" sz="1400" kern="1200">
              <a:solidFill>
                <a:sysClr val="windowText" lastClr="000000"/>
              </a:solidFill>
            </a:rPr>
            <a:t>Targeted Housing Action Plan for People with Disability</a:t>
          </a:r>
        </a:p>
      </dsp:txBody>
      <dsp:txXfrm>
        <a:off x="2083290" y="992005"/>
        <a:ext cx="2592027" cy="417283"/>
      </dsp:txXfrm>
    </dsp:sp>
    <dsp:sp modelId="{F3742885-B65E-4222-8CEE-D44CF7D031FB}">
      <dsp:nvSpPr>
        <dsp:cNvPr id="0" name=""/>
        <dsp:cNvSpPr/>
      </dsp:nvSpPr>
      <dsp:spPr>
        <a:xfrm rot="16200000">
          <a:off x="3136021" y="726148"/>
          <a:ext cx="486564" cy="0"/>
        </a:xfrm>
        <a:custGeom>
          <a:avLst/>
          <a:gdLst/>
          <a:ahLst/>
          <a:cxnLst/>
          <a:rect l="0" t="0" r="0" b="0"/>
          <a:pathLst>
            <a:path>
              <a:moveTo>
                <a:pt x="0" y="0"/>
              </a:moveTo>
              <a:lnTo>
                <a:pt x="48656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87B69A-FE91-4A93-AF86-F232A9B71E72}">
      <dsp:nvSpPr>
        <dsp:cNvPr id="0" name=""/>
        <dsp:cNvSpPr/>
      </dsp:nvSpPr>
      <dsp:spPr>
        <a:xfrm>
          <a:off x="1428309" y="206"/>
          <a:ext cx="3901988" cy="482660"/>
        </a:xfrm>
        <a:prstGeom prst="roundRect">
          <a:avLst/>
        </a:prstGeom>
        <a:no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AU" sz="1400" kern="1200">
              <a:solidFill>
                <a:sysClr val="windowText" lastClr="000000"/>
              </a:solidFill>
            </a:rPr>
            <a:t>National Housing and Homelessnness Plan</a:t>
          </a:r>
        </a:p>
      </dsp:txBody>
      <dsp:txXfrm>
        <a:off x="1451871" y="23768"/>
        <a:ext cx="3854864" cy="435536"/>
      </dsp:txXfrm>
    </dsp:sp>
    <dsp:sp modelId="{2442C714-C932-48FA-9C88-96017836799D}">
      <dsp:nvSpPr>
        <dsp:cNvPr id="0" name=""/>
        <dsp:cNvSpPr/>
      </dsp:nvSpPr>
      <dsp:spPr>
        <a:xfrm rot="5400000">
          <a:off x="3136021" y="1675145"/>
          <a:ext cx="486564" cy="0"/>
        </a:xfrm>
        <a:custGeom>
          <a:avLst/>
          <a:gdLst/>
          <a:ahLst/>
          <a:cxnLst/>
          <a:rect l="0" t="0" r="0" b="0"/>
          <a:pathLst>
            <a:path>
              <a:moveTo>
                <a:pt x="0" y="0"/>
              </a:moveTo>
              <a:lnTo>
                <a:pt x="48656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91792-035D-4FA1-8687-AD4076905AE5}">
      <dsp:nvSpPr>
        <dsp:cNvPr id="0" name=""/>
        <dsp:cNvSpPr/>
      </dsp:nvSpPr>
      <dsp:spPr>
        <a:xfrm>
          <a:off x="2245663" y="1918427"/>
          <a:ext cx="2267281" cy="482660"/>
        </a:xfrm>
        <a:prstGeom prst="roundRect">
          <a:avLst/>
        </a:prstGeom>
        <a:no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AU" sz="1400" kern="1200">
              <a:solidFill>
                <a:sysClr val="windowText" lastClr="000000"/>
              </a:solidFill>
            </a:rPr>
            <a:t>Congregate Housing Transition Plan</a:t>
          </a:r>
        </a:p>
      </dsp:txBody>
      <dsp:txXfrm>
        <a:off x="2269225" y="1941989"/>
        <a:ext cx="2220157" cy="43553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6" ma:contentTypeDescription="Create a new document." ma:contentTypeScope="" ma:versionID="aaca61e8d9b43b2a7c1abb6231e4c9d7">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09ad2e544060b8c899e33793801b18bf"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Props1.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customXml/itemProps2.xml><?xml version="1.0" encoding="utf-8"?>
<ds:datastoreItem xmlns:ds="http://schemas.openxmlformats.org/officeDocument/2006/customXml" ds:itemID="{180C640B-1F87-4AFE-B4E7-75E1F5E99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4.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7097</Words>
  <Characters>40459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47462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Britt</dc:creator>
  <cp:lastModifiedBy>Kristy Wan</cp:lastModifiedBy>
  <cp:revision>3</cp:revision>
  <cp:lastPrinted>2023-10-23T02:23:00Z</cp:lastPrinted>
  <dcterms:created xsi:type="dcterms:W3CDTF">2023-10-23T02:22:00Z</dcterms:created>
  <dcterms:modified xsi:type="dcterms:W3CDTF">2023-10-23T02:29:00Z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y fmtid="{D5CDD505-2E9C-101B-9397-08002B2CF9AE}" pid="4" name="MediaServiceImageTags">
    <vt:lpwstr/>
  </property>
</Properties>
</file>