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ermStart w:id="1143618014" w:edGrp="everyone"/>
    <w:p w14:paraId="024550D7" w14:textId="77777777" w:rsidR="004B78DF" w:rsidRPr="00382057" w:rsidRDefault="00711FC5" w:rsidP="00257AED">
      <w:pPr>
        <w:pStyle w:val="Header"/>
        <w:spacing w:line="300" w:lineRule="auto"/>
        <w:ind w:left="5387"/>
        <w:sectPr w:rsidR="004B78DF" w:rsidRPr="00382057" w:rsidSect="00571F7F">
          <w:headerReference w:type="default" r:id="rId11"/>
          <w:footerReference w:type="default" r:id="rId12"/>
          <w:headerReference w:type="first" r:id="rId13"/>
          <w:footerReference w:type="first" r:id="rId14"/>
          <w:type w:val="continuous"/>
          <w:pgSz w:w="11906" w:h="16838" w:code="9"/>
          <w:pgMar w:top="567" w:right="1134" w:bottom="1560" w:left="1134" w:header="0" w:footer="0" w:gutter="0"/>
          <w:cols w:space="708"/>
          <w:titlePg/>
          <w:docGrid w:linePitch="360"/>
        </w:sectPr>
      </w:pPr>
      <w:r>
        <w:rPr>
          <w:noProof/>
          <w:color w:val="005496" w:themeColor="text2"/>
          <w:sz w:val="20"/>
          <w:szCs w:val="20"/>
        </w:rPr>
        <mc:AlternateContent>
          <mc:Choice Requires="wps">
            <w:drawing>
              <wp:anchor distT="0" distB="0" distL="114300" distR="114300" simplePos="0" relativeHeight="251659264" behindDoc="0" locked="0" layoutInCell="1" allowOverlap="1" wp14:anchorId="7D7E6D8C" wp14:editId="763D89B8">
                <wp:simplePos x="0" y="0"/>
                <wp:positionH relativeFrom="column">
                  <wp:posOffset>4866005</wp:posOffset>
                </wp:positionH>
                <wp:positionV relativeFrom="page">
                  <wp:posOffset>1205230</wp:posOffset>
                </wp:positionV>
                <wp:extent cx="0" cy="622935"/>
                <wp:effectExtent l="0" t="0" r="38100" b="24765"/>
                <wp:wrapSquare wrapText="bothSides"/>
                <wp:docPr id="14" name="Straight Connector 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0" cy="62293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0F8076" id="Straight Connector 14" o:spid="_x0000_s1026" alt="&quot;&quot;"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383.15pt,94.9pt" to="383.15pt,14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" strokecolor="#005496 [3204]" strokeweight=".5pt">
                <v:stroke joinstyle="miter"/>
                <w10:wrap type="square" anchory="page"/>
              </v:line>
            </w:pict>
          </mc:Fallback>
        </mc:AlternateContent>
      </w:r>
      <w:r w:rsidR="00A27EEA">
        <w:rPr>
          <w:noProof/>
        </w:rPr>
        <w:drawing>
          <wp:inline distT="0" distB="0" distL="0" distR="0" wp14:anchorId="31D94D68" wp14:editId="4A97CC46">
            <wp:extent cx="2685011" cy="735965"/>
            <wp:effectExtent l="0" t="0" r="0" b="0"/>
            <wp:docPr id="7" name="Picture 7" descr="People with Disability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People with Disability Australia logo"/>
                    <pic:cNvPicPr/>
                  </pic:nvPicPr>
                  <pic:blipFill rotWithShape="1">
                    <a:blip r:embed="rId15" cstate="print">
                      <a:extLst>
                        <a:ext uri="{28A0092B-C50C-407E-A947-70E740481C1C}">
                          <a14:useLocalDpi xmlns:a14="http://schemas.microsoft.com/office/drawing/2010/main" val="0"/>
                        </a:ext>
                      </a:extLst>
                    </a:blip>
                    <a:srcRect l="2747" t="16910" r="11839" b="13478"/>
                    <a:stretch/>
                  </pic:blipFill>
                  <pic:spPr bwMode="auto">
                    <a:xfrm>
                      <a:off x="0" y="0"/>
                      <a:ext cx="2710341" cy="742908"/>
                    </a:xfrm>
                    <a:prstGeom prst="rect">
                      <a:avLst/>
                    </a:prstGeom>
                    <a:ln>
                      <a:noFill/>
                    </a:ln>
                    <a:extLst>
                      <a:ext uri="{53640926-AAD7-44D8-BBD7-CCE9431645EC}">
                        <a14:shadowObscured xmlns:a14="http://schemas.microsoft.com/office/drawing/2010/main"/>
                      </a:ext>
                    </a:extLst>
                  </pic:spPr>
                </pic:pic>
              </a:graphicData>
            </a:graphic>
          </wp:inline>
        </w:drawing>
      </w:r>
      <w:permEnd w:id="1143618014"/>
    </w:p>
    <w:p w14:paraId="383AEEC5" w14:textId="77777777" w:rsidR="004B78DF" w:rsidRPr="004B78DF" w:rsidRDefault="00B25C49" w:rsidP="00257AED">
      <w:pPr>
        <w:pStyle w:val="Header"/>
        <w:spacing w:line="300" w:lineRule="auto"/>
        <w:ind w:left="5954" w:right="-283"/>
        <w:rPr>
          <w:b w:val="0"/>
          <w:bCs w:val="0"/>
          <w:sz w:val="20"/>
          <w:szCs w:val="20"/>
        </w:rPr>
      </w:pPr>
      <w:r w:rsidRPr="004B78DF">
        <w:rPr>
          <w:b w:val="0"/>
          <w:bCs w:val="0"/>
          <w:sz w:val="20"/>
          <w:szCs w:val="20"/>
        </w:rPr>
        <w:t>PO Box 666</w:t>
      </w:r>
      <w:r w:rsidR="004B78DF">
        <w:rPr>
          <w:b w:val="0"/>
          <w:bCs w:val="0"/>
          <w:sz w:val="20"/>
          <w:szCs w:val="20"/>
        </w:rPr>
        <w:br/>
      </w:r>
      <w:r w:rsidRPr="004B78DF">
        <w:rPr>
          <w:b w:val="0"/>
          <w:bCs w:val="0"/>
          <w:sz w:val="20"/>
          <w:szCs w:val="20"/>
        </w:rPr>
        <w:t>Strawberry Hills</w:t>
      </w:r>
      <w:r w:rsidR="004B78DF">
        <w:rPr>
          <w:b w:val="0"/>
          <w:bCs w:val="0"/>
          <w:sz w:val="20"/>
          <w:szCs w:val="20"/>
        </w:rPr>
        <w:br/>
      </w:r>
      <w:r w:rsidRPr="004B78DF">
        <w:rPr>
          <w:b w:val="0"/>
          <w:bCs w:val="0"/>
          <w:sz w:val="20"/>
          <w:szCs w:val="20"/>
        </w:rPr>
        <w:t>NSW 2012</w:t>
      </w:r>
    </w:p>
    <w:p w14:paraId="47E6CAEB" w14:textId="77777777" w:rsidR="00810253" w:rsidRPr="002A094B" w:rsidRDefault="00B25C49" w:rsidP="00257AED">
      <w:pPr>
        <w:pStyle w:val="Header"/>
        <w:spacing w:line="300" w:lineRule="auto"/>
        <w:ind w:right="-569"/>
        <w:rPr>
          <w:rStyle w:val="Hyperlink"/>
          <w:bCs w:val="0"/>
          <w:sz w:val="20"/>
          <w:szCs w:val="20"/>
        </w:rPr>
        <w:sectPr w:rsidR="00810253" w:rsidRPr="002A094B" w:rsidSect="00571F7F">
          <w:type w:val="continuous"/>
          <w:pgSz w:w="11906" w:h="16838" w:code="9"/>
          <w:pgMar w:top="567" w:right="566" w:bottom="1560" w:left="1134" w:header="0" w:footer="0" w:gutter="0"/>
          <w:cols w:num="2" w:space="851" w:equalWidth="0">
            <w:col w:w="7088" w:space="851"/>
            <w:col w:w="1699"/>
          </w:cols>
          <w:titlePg/>
          <w:docGrid w:linePitch="360"/>
        </w:sectPr>
      </w:pPr>
      <w:r w:rsidRPr="004B78DF">
        <w:rPr>
          <w:b w:val="0"/>
          <w:bCs w:val="0"/>
          <w:sz w:val="20"/>
          <w:szCs w:val="20"/>
        </w:rPr>
        <w:t>+61 2 9370 3100</w:t>
      </w:r>
      <w:r w:rsidR="003E3F06">
        <w:rPr>
          <w:b w:val="0"/>
          <w:bCs w:val="0"/>
          <w:sz w:val="20"/>
          <w:szCs w:val="20"/>
        </w:rPr>
        <w:br/>
        <w:t>Toll</w:t>
      </w:r>
      <w:r w:rsidR="00296801">
        <w:rPr>
          <w:b w:val="0"/>
          <w:bCs w:val="0"/>
          <w:sz w:val="20"/>
          <w:szCs w:val="20"/>
        </w:rPr>
        <w:t xml:space="preserve"> </w:t>
      </w:r>
      <w:r w:rsidR="003E3F06">
        <w:rPr>
          <w:b w:val="0"/>
          <w:bCs w:val="0"/>
          <w:sz w:val="20"/>
          <w:szCs w:val="20"/>
        </w:rPr>
        <w:t>free 1800 422</w:t>
      </w:r>
      <w:r w:rsidR="006A0333">
        <w:rPr>
          <w:b w:val="0"/>
          <w:bCs w:val="0"/>
          <w:sz w:val="20"/>
          <w:szCs w:val="20"/>
        </w:rPr>
        <w:t xml:space="preserve"> 015</w:t>
      </w:r>
      <w:r w:rsidR="005F630B">
        <w:rPr>
          <w:b w:val="0"/>
          <w:bCs w:val="0"/>
          <w:sz w:val="20"/>
          <w:szCs w:val="20"/>
        </w:rPr>
        <w:br/>
      </w:r>
      <w:hyperlink r:id="rId16" w:history="1">
        <w:r w:rsidR="004B78DF" w:rsidRPr="004B78DF">
          <w:rPr>
            <w:rStyle w:val="Hyperlink"/>
            <w:sz w:val="20"/>
            <w:szCs w:val="20"/>
          </w:rPr>
          <w:t>pwd@pwd.org.au</w:t>
        </w:r>
      </w:hyperlink>
      <w:r w:rsidR="005F630B">
        <w:rPr>
          <w:rStyle w:val="Hyperlink"/>
          <w:b/>
          <w:sz w:val="20"/>
          <w:szCs w:val="20"/>
        </w:rPr>
        <w:br/>
      </w:r>
      <w:hyperlink r:id="rId17" w:tooltip="PWDA website" w:history="1">
        <w:r w:rsidRPr="002A094B">
          <w:rPr>
            <w:rStyle w:val="Hyperlink"/>
            <w:bCs w:val="0"/>
            <w:sz w:val="20"/>
            <w:szCs w:val="20"/>
          </w:rPr>
          <w:t>www.pwd.org.au</w:t>
        </w:r>
      </w:hyperlink>
    </w:p>
    <w:p w14:paraId="7C03718F" w14:textId="4B08C3CF" w:rsidR="00665E6E" w:rsidRDefault="003C2CF2" w:rsidP="00257AED">
      <w:pPr>
        <w:pStyle w:val="AddressBlockdate"/>
        <w:spacing w:after="360" w:line="300" w:lineRule="auto"/>
        <w:rPr>
          <w:bCs/>
        </w:rPr>
      </w:pPr>
      <w:r w:rsidRPr="002A094B">
        <w:rPr>
          <w:bCs/>
        </w:rPr>
        <w:t>2 February 2024</w:t>
      </w:r>
    </w:p>
    <w:p w14:paraId="279CFD79" w14:textId="77777777" w:rsidR="004D2CDE" w:rsidRDefault="004D2CDE" w:rsidP="00257AED">
      <w:pPr>
        <w:pStyle w:val="recipientaddress"/>
        <w:spacing w:line="300" w:lineRule="auto"/>
      </w:pPr>
      <w:bookmarkStart w:id="1" w:name="_Hlk87383404"/>
      <w:r w:rsidRPr="004D2CDE">
        <w:t>Committee Secretary</w:t>
      </w:r>
      <w:r w:rsidRPr="004D2CDE">
        <w:br/>
        <w:t>House of Representatives Standing Committee on Social Policy and Legal Affairs</w:t>
      </w:r>
      <w:r w:rsidRPr="004D2CDE">
        <w:br/>
        <w:t>PO Box 6021</w:t>
      </w:r>
      <w:r w:rsidRPr="004D2CDE">
        <w:br/>
        <w:t>Parliament House</w:t>
      </w:r>
      <w:r w:rsidRPr="004D2CDE">
        <w:br/>
        <w:t>Canberra ACT 2600</w:t>
      </w:r>
    </w:p>
    <w:p w14:paraId="49D5C6AD" w14:textId="27C52BB3" w:rsidR="0035331A" w:rsidRDefault="0035331A" w:rsidP="00257AED">
      <w:pPr>
        <w:pStyle w:val="recipientaddress"/>
        <w:spacing w:line="300" w:lineRule="auto"/>
        <w:rPr>
          <w:b/>
        </w:rPr>
      </w:pPr>
      <w:r>
        <w:t xml:space="preserve">Delivered by email to </w:t>
      </w:r>
      <w:hyperlink r:id="rId18" w:history="1">
        <w:r w:rsidR="004D2CDE" w:rsidRPr="002B24E5">
          <w:rPr>
            <w:rStyle w:val="Hyperlink"/>
          </w:rPr>
          <w:t>spla.reps@aph.gov.au</w:t>
        </w:r>
      </w:hyperlink>
      <w:r w:rsidR="004D2CDE">
        <w:t xml:space="preserve"> </w:t>
      </w:r>
    </w:p>
    <w:p w14:paraId="2933C732" w14:textId="6D9DA790" w:rsidR="0057465D" w:rsidRDefault="0035331A" w:rsidP="00257AED">
      <w:pPr>
        <w:pStyle w:val="recipientaddress"/>
        <w:spacing w:line="300" w:lineRule="auto"/>
        <w:rPr>
          <w:b/>
        </w:rPr>
      </w:pPr>
      <w:r>
        <w:t xml:space="preserve">Dear </w:t>
      </w:r>
      <w:r w:rsidR="007753B5">
        <w:t xml:space="preserve">Committee Secretary </w:t>
      </w:r>
    </w:p>
    <w:p w14:paraId="499535D5" w14:textId="04F04D45" w:rsidR="002D493D" w:rsidRDefault="007753B5" w:rsidP="00257AED">
      <w:pPr>
        <w:pStyle w:val="Heading1"/>
        <w:spacing w:line="300" w:lineRule="auto"/>
        <w:rPr>
          <w:rStyle w:val="Heading1Char"/>
          <w:b/>
        </w:rPr>
      </w:pPr>
      <w:bookmarkStart w:id="2" w:name="_Hlk83653413"/>
      <w:bookmarkEnd w:id="1"/>
      <w:r>
        <w:rPr>
          <w:rStyle w:val="Heading1Char"/>
          <w:b/>
        </w:rPr>
        <w:t>Administrative Review Tribunal Bill</w:t>
      </w:r>
    </w:p>
    <w:p w14:paraId="580ED169" w14:textId="77777777" w:rsidR="002B7443" w:rsidRDefault="00575615" w:rsidP="00257AED">
      <w:pPr>
        <w:spacing w:line="300" w:lineRule="auto"/>
      </w:pPr>
      <w:r>
        <w:t xml:space="preserve">We welcome the opportunity to make this submission to the </w:t>
      </w:r>
      <w:hyperlink r:id="rId19" w:history="1">
        <w:r w:rsidR="007753B5" w:rsidRPr="007753B5">
          <w:rPr>
            <w:rStyle w:val="Hyperlink"/>
          </w:rPr>
          <w:t>Inquiry into the Administrative Review Tribunal Bill (the Bill) and the Administrative Review Tribunal (Consequential and Transitional Provisions No.1) Bill</w:t>
        </w:r>
      </w:hyperlink>
      <w:r w:rsidR="007753B5">
        <w:t>.</w:t>
      </w:r>
      <w:r>
        <w:t xml:space="preserve"> </w:t>
      </w:r>
    </w:p>
    <w:p w14:paraId="5618C4C6" w14:textId="30D78B7C" w:rsidR="00575615" w:rsidRDefault="00575615" w:rsidP="00257AED">
      <w:pPr>
        <w:spacing w:line="300" w:lineRule="auto"/>
      </w:pPr>
      <w:r>
        <w:t>People with Disability Australia is Australia’s peak cross-disability Disability Representative Organisation and is funded by the Australian Government to represent the 1 in 6 Australians with disability nationally. Our organisation is made up of, and led by, people with disability.</w:t>
      </w:r>
    </w:p>
    <w:p w14:paraId="16154143" w14:textId="25554767" w:rsidR="003C2CF2" w:rsidRDefault="003C2CF2" w:rsidP="00257AED">
      <w:pPr>
        <w:spacing w:line="300" w:lineRule="auto"/>
      </w:pPr>
      <w:r>
        <w:t>In preparing this submission, we consulted with our individual advocates, who regularly represent people with disability at the Administrative Appeals Tribunal</w:t>
      </w:r>
      <w:r w:rsidR="00007484">
        <w:t xml:space="preserve"> (AAT)</w:t>
      </w:r>
      <w:r>
        <w:t xml:space="preserve">. The submission also draws upon our knowledge of the </w:t>
      </w:r>
      <w:hyperlink r:id="rId20" w:history="1">
        <w:r w:rsidR="008926A1" w:rsidRPr="00292C59">
          <w:rPr>
            <w:rStyle w:val="Hyperlink"/>
            <w:i/>
            <w:iCs/>
          </w:rPr>
          <w:t>Convention on the Rights of Persons with Disabilities</w:t>
        </w:r>
      </w:hyperlink>
      <w:r w:rsidR="008926A1">
        <w:t xml:space="preserve"> </w:t>
      </w:r>
      <w:r>
        <w:t xml:space="preserve">(CRPD), as an NGO with Special Consultative Status with the United Nations Economic and Social Council. </w:t>
      </w:r>
    </w:p>
    <w:p w14:paraId="5C740FB4" w14:textId="660E0B8E" w:rsidR="003C2CF2" w:rsidRDefault="003C2CF2" w:rsidP="00257AED">
      <w:pPr>
        <w:spacing w:line="300" w:lineRule="auto"/>
      </w:pPr>
      <w:r>
        <w:t xml:space="preserve">We welcome the Government’s efforts to establish a new administrative review tribunal that is fair, timely, informal, </w:t>
      </w:r>
      <w:proofErr w:type="gramStart"/>
      <w:r>
        <w:t>inexpensive</w:t>
      </w:r>
      <w:proofErr w:type="gramEnd"/>
      <w:r>
        <w:t xml:space="preserve"> and accessible.</w:t>
      </w:r>
      <w:r>
        <w:rPr>
          <w:rStyle w:val="FootnoteReference"/>
        </w:rPr>
        <w:footnoteReference w:id="1"/>
      </w:r>
      <w:r>
        <w:t xml:space="preserve"> </w:t>
      </w:r>
      <w:r w:rsidR="00E73CD3">
        <w:t>In particular, we</w:t>
      </w:r>
      <w:r>
        <w:t xml:space="preserve"> commend clause 51 of the Bill, which places an obligation on the</w:t>
      </w:r>
      <w:r w:rsidR="008926A1">
        <w:t xml:space="preserve"> Administrative Review</w:t>
      </w:r>
      <w:r>
        <w:t xml:space="preserve"> Tribunal </w:t>
      </w:r>
      <w:r w:rsidR="008926A1">
        <w:t xml:space="preserve">(ART) </w:t>
      </w:r>
      <w:r>
        <w:t xml:space="preserve">to conduct proceedings in an accessible manner. </w:t>
      </w:r>
    </w:p>
    <w:p w14:paraId="48CDF7F3" w14:textId="25786203" w:rsidR="003C2CF2" w:rsidRDefault="003C2CF2" w:rsidP="00257AED">
      <w:pPr>
        <w:spacing w:line="300" w:lineRule="auto"/>
      </w:pPr>
      <w:r>
        <w:lastRenderedPageBreak/>
        <w:t>This submission will make recommendations aimed at enhancing the Bill’s ability to achieve its objectives.</w:t>
      </w:r>
      <w:r>
        <w:rPr>
          <w:rStyle w:val="FootnoteReference"/>
        </w:rPr>
        <w:footnoteReference w:id="2"/>
      </w:r>
      <w:r>
        <w:t xml:space="preserve"> While not within the scope of this Inquiry, we note that the </w:t>
      </w:r>
      <w:r w:rsidR="00D07E7D">
        <w:t xml:space="preserve">Government must provide the </w:t>
      </w:r>
      <w:r w:rsidR="008926A1">
        <w:t>ART</w:t>
      </w:r>
      <w:r>
        <w:t xml:space="preserve"> </w:t>
      </w:r>
      <w:r w:rsidR="00D07E7D">
        <w:t>with</w:t>
      </w:r>
      <w:r>
        <w:t xml:space="preserve"> sufficient funding to achieve its objectives, particularly </w:t>
      </w:r>
      <w:r w:rsidR="00E73CD3">
        <w:t xml:space="preserve">the objective of accessibility.  </w:t>
      </w:r>
      <w:r>
        <w:t xml:space="preserve"> </w:t>
      </w:r>
    </w:p>
    <w:p w14:paraId="50545A39" w14:textId="06433A2B" w:rsidR="003C2CF2" w:rsidRPr="00DE3C79" w:rsidRDefault="003C2CF2" w:rsidP="00257AED">
      <w:pPr>
        <w:pStyle w:val="Heading2"/>
        <w:spacing w:line="300" w:lineRule="auto"/>
        <w:rPr>
          <w:b/>
          <w:bCs/>
        </w:rPr>
      </w:pPr>
      <w:r w:rsidRPr="00DE3C79">
        <w:rPr>
          <w:b/>
          <w:bCs/>
        </w:rPr>
        <w:t xml:space="preserve">Rules, regulations and practice directions </w:t>
      </w:r>
    </w:p>
    <w:p w14:paraId="1D0A0EEE" w14:textId="75F612F2" w:rsidR="003C2CF2" w:rsidRDefault="008C30C7" w:rsidP="00257AED">
      <w:pPr>
        <w:spacing w:line="300" w:lineRule="auto"/>
      </w:pPr>
      <w:r>
        <w:t xml:space="preserve">We recognise </w:t>
      </w:r>
      <w:r w:rsidR="00FA50C2">
        <w:t xml:space="preserve">that </w:t>
      </w:r>
      <w:r>
        <w:t>the</w:t>
      </w:r>
      <w:r w:rsidR="003C2CF2">
        <w:t xml:space="preserve"> Bill provides a broad framework for creating a fair, timely and accessible Tribunal. However, whether this will translate into practice will largely depend on </w:t>
      </w:r>
      <w:r w:rsidR="00FA50C2">
        <w:t xml:space="preserve">the drafting of </w:t>
      </w:r>
      <w:r w:rsidR="003C2CF2">
        <w:t xml:space="preserve">the ART’s rules, </w:t>
      </w:r>
      <w:proofErr w:type="gramStart"/>
      <w:r w:rsidR="003C2CF2">
        <w:t>regulations</w:t>
      </w:r>
      <w:proofErr w:type="gramEnd"/>
      <w:r w:rsidR="003C2CF2">
        <w:t xml:space="preserve"> and practice directions. </w:t>
      </w:r>
      <w:r w:rsidR="00DE1E45">
        <w:t>As the</w:t>
      </w:r>
      <w:r w:rsidR="007E68B5">
        <w:t xml:space="preserve"> Bill’s</w:t>
      </w:r>
      <w:r w:rsidR="003C2CF2">
        <w:t xml:space="preserve"> explanatory</w:t>
      </w:r>
      <w:r w:rsidR="007E68B5">
        <w:t xml:space="preserve"> memorandum</w:t>
      </w:r>
      <w:r w:rsidR="003C2CF2">
        <w:t xml:space="preserve"> states</w:t>
      </w:r>
      <w:r w:rsidR="0089591F">
        <w:t>,</w:t>
      </w:r>
      <w:r w:rsidR="003C2CF2">
        <w:t xml:space="preserve"> the practice directions</w:t>
      </w:r>
      <w:r w:rsidR="0089591F">
        <w:t xml:space="preserve"> will</w:t>
      </w:r>
      <w:r w:rsidR="003C2CF2">
        <w:t xml:space="preserve"> ‘operationalise’ how the ART can meet its statutory objective.</w:t>
      </w:r>
      <w:r w:rsidR="003C2CF2">
        <w:rPr>
          <w:rStyle w:val="FootnoteReference"/>
        </w:rPr>
        <w:footnoteReference w:id="3"/>
      </w:r>
      <w:r w:rsidR="007F4245">
        <w:t xml:space="preserve"> The Rules will also govern important areas relating to people with disability, </w:t>
      </w:r>
      <w:r w:rsidR="006903CC">
        <w:t>such as</w:t>
      </w:r>
      <w:r w:rsidR="007F4245">
        <w:t xml:space="preserve"> litigation guardians.</w:t>
      </w:r>
      <w:r w:rsidR="007F4245">
        <w:rPr>
          <w:rStyle w:val="FootnoteReference"/>
        </w:rPr>
        <w:footnoteReference w:id="4"/>
      </w:r>
    </w:p>
    <w:p w14:paraId="587A6570" w14:textId="579ACFB9" w:rsidR="003C2CF2" w:rsidRDefault="00FC276C" w:rsidP="00257AED">
      <w:pPr>
        <w:spacing w:line="300" w:lineRule="auto"/>
      </w:pPr>
      <w:r>
        <w:t xml:space="preserve">Given the importance, we propose </w:t>
      </w:r>
      <w:r w:rsidR="00292C59">
        <w:t>creating an</w:t>
      </w:r>
      <w:r w:rsidR="006903CC">
        <w:t xml:space="preserve"> express obligation to consult people with disability and our representative organisations when developing relevant rules, </w:t>
      </w:r>
      <w:proofErr w:type="gramStart"/>
      <w:r w:rsidR="006903CC">
        <w:t>regulations</w:t>
      </w:r>
      <w:proofErr w:type="gramEnd"/>
      <w:r w:rsidR="006903CC">
        <w:t xml:space="preserve"> and practice directions. </w:t>
      </w:r>
      <w:r w:rsidR="003C2CF2">
        <w:t>This will allow us to identify</w:t>
      </w:r>
      <w:r w:rsidR="00007484">
        <w:t xml:space="preserve"> and co-design</w:t>
      </w:r>
      <w:r w:rsidR="003C2CF2">
        <w:t xml:space="preserve"> solutions to problems </w:t>
      </w:r>
      <w:r w:rsidR="006903CC">
        <w:t xml:space="preserve">currently </w:t>
      </w:r>
      <w:r w:rsidR="003C2CF2">
        <w:t>occurring at the AAT</w:t>
      </w:r>
      <w:r w:rsidR="00417A38">
        <w:t>, to ensure they</w:t>
      </w:r>
      <w:r w:rsidR="00BE22C8">
        <w:t xml:space="preserve"> are</w:t>
      </w:r>
      <w:r w:rsidR="003C2CF2">
        <w:t xml:space="preserve"> not repeated </w:t>
      </w:r>
      <w:r w:rsidR="002123D8">
        <w:t>at</w:t>
      </w:r>
      <w:r w:rsidR="003C2CF2">
        <w:t xml:space="preserve"> the ART. </w:t>
      </w:r>
    </w:p>
    <w:p w14:paraId="38B97207" w14:textId="77777777" w:rsidR="00B72848" w:rsidRDefault="003C2CF2" w:rsidP="00257AED">
      <w:pPr>
        <w:spacing w:line="300" w:lineRule="auto"/>
      </w:pPr>
      <w:r>
        <w:t xml:space="preserve">It will also ensure that the Government is compliant with the CRPD Article 4(3) obligation on States </w:t>
      </w:r>
      <w:r w:rsidR="00356592">
        <w:t>p</w:t>
      </w:r>
      <w:r>
        <w:t xml:space="preserve">arties to </w:t>
      </w:r>
      <w:r w:rsidR="00094647">
        <w:t xml:space="preserve">consult people with disability, </w:t>
      </w:r>
      <w:r>
        <w:t>through their representative organisations, in the development of legislation and policies that implement the CRPD.</w:t>
      </w:r>
      <w:r>
        <w:rPr>
          <w:rStyle w:val="FootnoteReference"/>
        </w:rPr>
        <w:footnoteReference w:id="5"/>
      </w:r>
      <w:r>
        <w:t xml:space="preserve"> The ART’s rules, regulations and practice directions will implement Article 12 of the CRPD (access to justice) and must therefore be formulated in consultation with us. </w:t>
      </w:r>
    </w:p>
    <w:p w14:paraId="61A04381" w14:textId="103E1507" w:rsidR="003C2CF2" w:rsidRDefault="003C2CF2" w:rsidP="00257AED">
      <w:pPr>
        <w:spacing w:line="300" w:lineRule="auto"/>
      </w:pPr>
      <w:r>
        <w:t xml:space="preserve">An example of an express obligation to consult with people with disability can be found in the </w:t>
      </w:r>
      <w:r>
        <w:rPr>
          <w:i/>
          <w:iCs/>
        </w:rPr>
        <w:t xml:space="preserve">Disability Inclusion Act 2014 </w:t>
      </w:r>
      <w:r>
        <w:t>(NSW). The Act requires the NSW Department of Communities and Justice to consult with people with disability, the Disability Council and disability advocacy organisations when preparing the State Disability Inclusion Plan.</w:t>
      </w:r>
      <w:r>
        <w:rPr>
          <w:rStyle w:val="FootnoteReference"/>
        </w:rPr>
        <w:footnoteReference w:id="6"/>
      </w:r>
      <w:r>
        <w:t xml:space="preserve">  </w:t>
      </w:r>
    </w:p>
    <w:p w14:paraId="331D4EDF" w14:textId="5EA5F185" w:rsidR="003C2CF2" w:rsidRDefault="003C2CF2" w:rsidP="00257AED">
      <w:pPr>
        <w:spacing w:line="300" w:lineRule="auto"/>
      </w:pPr>
      <w:r>
        <w:t xml:space="preserve">To ensure we can </w:t>
      </w:r>
      <w:r w:rsidR="00F16D2A">
        <w:t>support the</w:t>
      </w:r>
      <w:r>
        <w:t xml:space="preserve"> ART meet</w:t>
      </w:r>
      <w:r w:rsidR="00F16D2A">
        <w:t>ing</w:t>
      </w:r>
      <w:r>
        <w:t xml:space="preserve"> its objective</w:t>
      </w:r>
      <w:r w:rsidR="00094647">
        <w:t>s</w:t>
      </w:r>
      <w:r>
        <w:t xml:space="preserve"> and to uphold Australia’s CRPD obligations, we recommend that:</w:t>
      </w:r>
    </w:p>
    <w:p w14:paraId="4FDA6CCC" w14:textId="0B17942B" w:rsidR="003C2CF2" w:rsidRPr="003C2CF2" w:rsidRDefault="003C2CF2" w:rsidP="00257AED">
      <w:pPr>
        <w:spacing w:line="300" w:lineRule="auto"/>
        <w:rPr>
          <w:b/>
          <w:bCs/>
          <w:color w:val="FF0000"/>
        </w:rPr>
      </w:pPr>
      <w:r>
        <w:rPr>
          <w:b/>
          <w:bCs/>
        </w:rPr>
        <w:t xml:space="preserve">Recommendation </w:t>
      </w:r>
      <w:r w:rsidR="00094647">
        <w:rPr>
          <w:b/>
          <w:bCs/>
        </w:rPr>
        <w:t>1</w:t>
      </w:r>
      <w:r w:rsidR="00D13585">
        <w:rPr>
          <w:b/>
          <w:bCs/>
        </w:rPr>
        <w:t xml:space="preserve"> – </w:t>
      </w:r>
      <w:r>
        <w:t xml:space="preserve">The Bill is amended to include an express requirement that people with disability and our representative organisations are consulted when the Government drafts ART rules, regulations and practices directions that affect our ability to access justice at the ART. </w:t>
      </w:r>
      <w:r w:rsidRPr="007314AD">
        <w:rPr>
          <w:color w:val="FF0000"/>
        </w:rPr>
        <w:t xml:space="preserve"> </w:t>
      </w:r>
    </w:p>
    <w:p w14:paraId="75A09519" w14:textId="5040D985" w:rsidR="003C2CF2" w:rsidRDefault="003C2CF2" w:rsidP="00257AED">
      <w:pPr>
        <w:spacing w:line="300" w:lineRule="auto"/>
      </w:pPr>
      <w:r>
        <w:lastRenderedPageBreak/>
        <w:t xml:space="preserve">We also note that enshrining a consultation obligation would assist the Tribunal to address </w:t>
      </w:r>
      <w:proofErr w:type="gramStart"/>
      <w:r>
        <w:t>less</w:t>
      </w:r>
      <w:proofErr w:type="gramEnd"/>
      <w:r>
        <w:t xml:space="preserve"> formal mechanisms for improving accessibility. For example, our advocates report that the lack of </w:t>
      </w:r>
      <w:r w:rsidR="00094647">
        <w:t>access to</w:t>
      </w:r>
      <w:r>
        <w:t xml:space="preserve"> information about Tribunal processes is a major </w:t>
      </w:r>
      <w:r w:rsidR="00094647">
        <w:t>barrier to justice</w:t>
      </w:r>
      <w:r>
        <w:t xml:space="preserve">. Having a ‘seat at the table’ when developing practice directions would provide us with an avenue to share these insights with the Tribunal while it is being </w:t>
      </w:r>
      <w:r w:rsidR="00094647">
        <w:t>established</w:t>
      </w:r>
      <w:r>
        <w:t xml:space="preserve">. </w:t>
      </w:r>
    </w:p>
    <w:p w14:paraId="018E9768" w14:textId="3F8EA57E" w:rsidR="003C2CF2" w:rsidRPr="00DE3C79" w:rsidRDefault="003C2CF2" w:rsidP="00257AED">
      <w:pPr>
        <w:pStyle w:val="Heading2"/>
        <w:spacing w:line="300" w:lineRule="auto"/>
        <w:rPr>
          <w:b/>
          <w:bCs/>
        </w:rPr>
      </w:pPr>
      <w:r w:rsidRPr="00DE3C79">
        <w:rPr>
          <w:b/>
          <w:bCs/>
        </w:rPr>
        <w:t>Legal representation</w:t>
      </w:r>
    </w:p>
    <w:p w14:paraId="4F7A5FF3" w14:textId="4C598EE1" w:rsidR="003C2CF2" w:rsidRDefault="00235A34" w:rsidP="00257AED">
      <w:pPr>
        <w:spacing w:line="300" w:lineRule="auto"/>
      </w:pPr>
      <w:r>
        <w:t xml:space="preserve">Well-drafted rules, regulations and practice directions will, in theory, enable the ART to meet its objectives. However, in practice, if parties do not have </w:t>
      </w:r>
      <w:r w:rsidR="003C2CF2">
        <w:t xml:space="preserve">equal access to legal representation, the objective of establishing a </w:t>
      </w:r>
      <w:r>
        <w:t xml:space="preserve">review mechanism that is </w:t>
      </w:r>
      <w:r w:rsidR="003C2CF2">
        <w:t>fair</w:t>
      </w:r>
      <w:r>
        <w:t xml:space="preserve"> and just will be impossible to achieve. </w:t>
      </w:r>
      <w:r w:rsidR="003C2CF2">
        <w:t xml:space="preserve"> </w:t>
      </w:r>
    </w:p>
    <w:p w14:paraId="6D99CC4F" w14:textId="394FB01A" w:rsidR="003C2CF2" w:rsidRDefault="003C2CF2" w:rsidP="00257AED">
      <w:pPr>
        <w:spacing w:line="300" w:lineRule="auto"/>
      </w:pPr>
      <w:r>
        <w:t xml:space="preserve">Our advocates report that people with disability struggle to access legal assistance, while the </w:t>
      </w:r>
      <w:r w:rsidR="00172631">
        <w:t>National Disability Insurance Agency (</w:t>
      </w:r>
      <w:r>
        <w:t>NDIA</w:t>
      </w:r>
      <w:r w:rsidR="00172631">
        <w:t>)</w:t>
      </w:r>
      <w:r>
        <w:t xml:space="preserve"> is represented by lawyers from prestigious law firms, and in some cases, barristers. Indeed, in the first 10 months of FY22, the NDIA spent over $41 million on AAT legal costs, while Legal Aid Commissions </w:t>
      </w:r>
      <w:r w:rsidR="00FA427F">
        <w:t>received a mere</w:t>
      </w:r>
      <w:r>
        <w:t xml:space="preserve"> $5.1 million through the NDIS Appeals Program.</w:t>
      </w:r>
      <w:r>
        <w:rPr>
          <w:rStyle w:val="FootnoteReference"/>
        </w:rPr>
        <w:footnoteReference w:id="7"/>
      </w:r>
    </w:p>
    <w:p w14:paraId="6C62872F" w14:textId="30FF009A" w:rsidR="003C2CF2" w:rsidRDefault="003C2CF2" w:rsidP="00257AED">
      <w:pPr>
        <w:spacing w:line="300" w:lineRule="auto"/>
      </w:pPr>
      <w:r>
        <w:t xml:space="preserve">This inequality of access to legal representation leads to an ‘uneven’ playing field and is intimidating for people with disability. </w:t>
      </w:r>
      <w:r w:rsidR="00AB055C">
        <w:t>In addition to being fundamentally unfair, t</w:t>
      </w:r>
      <w:r>
        <w:t xml:space="preserve">he presence of NDIA lawyers also increases the formality of the AAT and creates an </w:t>
      </w:r>
      <w:r w:rsidR="00467598">
        <w:t>unnecessar</w:t>
      </w:r>
      <w:r w:rsidR="00544CB9">
        <w:t>ily</w:t>
      </w:r>
      <w:r w:rsidR="00467598">
        <w:t xml:space="preserve"> </w:t>
      </w:r>
      <w:r>
        <w:t xml:space="preserve">adversarial </w:t>
      </w:r>
      <w:r w:rsidR="00544CB9">
        <w:t xml:space="preserve">atmosphere. </w:t>
      </w:r>
    </w:p>
    <w:p w14:paraId="7AEE94C6" w14:textId="00BBCC31" w:rsidR="003C2CF2" w:rsidRDefault="003C2CF2" w:rsidP="00257AED">
      <w:pPr>
        <w:spacing w:line="300" w:lineRule="auto"/>
      </w:pPr>
      <w:r>
        <w:t xml:space="preserve">To rectify this issue, the ART Bill should be amended to provide that parties cannot be legally represented at the ART unless leave is granted. This would give the Tribunal flexibility to consider whether allowing legal representation </w:t>
      </w:r>
      <w:r w:rsidR="00DD2437">
        <w:t>for</w:t>
      </w:r>
      <w:r>
        <w:t xml:space="preserve"> one or both parties would further the Tribunal’s objectives, including fairness, </w:t>
      </w:r>
      <w:proofErr w:type="gramStart"/>
      <w:r>
        <w:t>informality</w:t>
      </w:r>
      <w:proofErr w:type="gramEnd"/>
      <w:r>
        <w:t xml:space="preserve"> and timeliness. </w:t>
      </w:r>
    </w:p>
    <w:p w14:paraId="65852517" w14:textId="2A20C24B" w:rsidR="003C2CF2" w:rsidRDefault="003C2CF2" w:rsidP="00257AED">
      <w:pPr>
        <w:spacing w:line="300" w:lineRule="auto"/>
      </w:pPr>
      <w:r>
        <w:t>The model of seeking leave for legal representation is common in other Tribunals and dispute resolution mechanisms, such as certain divisions of both the New South Wales Civil and Administrative Tribunal and Queensland Civil and Administrative Tribunal, the Fair Work Commission and the Victorian Workplace Injury Commission.</w:t>
      </w:r>
      <w:r>
        <w:rPr>
          <w:rStyle w:val="FootnoteReference"/>
        </w:rPr>
        <w:footnoteReference w:id="8"/>
      </w:r>
      <w:r>
        <w:t xml:space="preserve"> The rationale for this model has been cited as a measure to reduce formality and adversarial processes.</w:t>
      </w:r>
      <w:r>
        <w:rPr>
          <w:rStyle w:val="FootnoteReference"/>
        </w:rPr>
        <w:footnoteReference w:id="9"/>
      </w:r>
    </w:p>
    <w:p w14:paraId="7CF9E118" w14:textId="265F18A0" w:rsidR="003C2CF2" w:rsidRDefault="003C2CF2" w:rsidP="00257AED">
      <w:pPr>
        <w:spacing w:line="300" w:lineRule="auto"/>
      </w:pPr>
      <w:r>
        <w:t>To further the objectives of establishing a Tribunal that is fair, just</w:t>
      </w:r>
      <w:r w:rsidR="00AB055C">
        <w:t xml:space="preserve"> and informal</w:t>
      </w:r>
      <w:r>
        <w:t xml:space="preserve">, we recommend that: </w:t>
      </w:r>
    </w:p>
    <w:p w14:paraId="5F4D04F8" w14:textId="4B84A5C1" w:rsidR="003C2CF2" w:rsidRDefault="003C2CF2" w:rsidP="00257AED">
      <w:pPr>
        <w:spacing w:line="300" w:lineRule="auto"/>
      </w:pPr>
      <w:r>
        <w:rPr>
          <w:b/>
          <w:bCs/>
        </w:rPr>
        <w:t xml:space="preserve">Recommendation </w:t>
      </w:r>
      <w:r w:rsidR="00094647">
        <w:rPr>
          <w:b/>
          <w:bCs/>
        </w:rPr>
        <w:t>2</w:t>
      </w:r>
      <w:r w:rsidR="00D13585">
        <w:rPr>
          <w:b/>
          <w:bCs/>
        </w:rPr>
        <w:t xml:space="preserve"> – </w:t>
      </w:r>
      <w:r>
        <w:t xml:space="preserve">The Bill is amended to require parties to seek leave if they wish to be represented by a lawyer at any dispute resolution process. The Bill should set out the </w:t>
      </w:r>
      <w:r>
        <w:lastRenderedPageBreak/>
        <w:t xml:space="preserve">factors that </w:t>
      </w:r>
      <w:r w:rsidR="00DD2437">
        <w:t>the Tribunal must consider</w:t>
      </w:r>
      <w:r>
        <w:t xml:space="preserve"> in deciding whether to grant leave, including whether the other party has access to legal representation. </w:t>
      </w:r>
    </w:p>
    <w:p w14:paraId="149E78F9" w14:textId="58E2F9BB" w:rsidR="003C2CF2" w:rsidRPr="00DE3C79" w:rsidRDefault="003C2CF2" w:rsidP="00257AED">
      <w:pPr>
        <w:pStyle w:val="Heading2"/>
        <w:spacing w:line="300" w:lineRule="auto"/>
        <w:rPr>
          <w:b/>
          <w:bCs/>
        </w:rPr>
      </w:pPr>
      <w:r w:rsidRPr="00DE3C79">
        <w:rPr>
          <w:b/>
          <w:bCs/>
        </w:rPr>
        <w:t>Litigation guardians</w:t>
      </w:r>
    </w:p>
    <w:p w14:paraId="2122425E" w14:textId="4DA5B5F6" w:rsidR="003C2CF2" w:rsidRDefault="003C2CF2" w:rsidP="00257AED">
      <w:pPr>
        <w:spacing w:line="300" w:lineRule="auto"/>
      </w:pPr>
      <w:r>
        <w:t>We are concerned about the Bill’s litigation guardian provisions, which empower the Tribunal to appoint a litigation guardian in limited circumstances.</w:t>
      </w:r>
      <w:r>
        <w:rPr>
          <w:rStyle w:val="FootnoteReference"/>
        </w:rPr>
        <w:footnoteReference w:id="10"/>
      </w:r>
      <w:r>
        <w:t xml:space="preserve"> The litigation guardian ‘stands in the place’ of the party and</w:t>
      </w:r>
      <w:r w:rsidR="00C43A48">
        <w:t xml:space="preserve"> </w:t>
      </w:r>
      <w:r>
        <w:t>must give effect to the will and preferences of the party, or, where not ascertainable, act in a manner that promotes the party’s personal and social wellbeing.</w:t>
      </w:r>
      <w:r>
        <w:rPr>
          <w:rStyle w:val="FootnoteReference"/>
        </w:rPr>
        <w:footnoteReference w:id="11"/>
      </w:r>
      <w:r>
        <w:t xml:space="preserve">  </w:t>
      </w:r>
    </w:p>
    <w:p w14:paraId="7CBFA6FD" w14:textId="5E554F8F" w:rsidR="003C2CF2" w:rsidRDefault="003C2CF2" w:rsidP="00257AED">
      <w:pPr>
        <w:spacing w:line="300" w:lineRule="auto"/>
      </w:pPr>
      <w:r>
        <w:t xml:space="preserve">As a party to the CRPD, all </w:t>
      </w:r>
      <w:r w:rsidR="00FA3E42">
        <w:t xml:space="preserve">Australian </w:t>
      </w:r>
      <w:r>
        <w:t xml:space="preserve">laws concerning legal capacity should comply with Article 12 of the CRPD (equal recognition before the law). The Committee on the Rights of Persons with Disabilities’ </w:t>
      </w:r>
      <w:hyperlink r:id="rId21" w:history="1">
        <w:r w:rsidRPr="00292C59">
          <w:rPr>
            <w:rStyle w:val="Hyperlink"/>
            <w:i/>
            <w:iCs/>
          </w:rPr>
          <w:t>General Comment No.1 (2014)</w:t>
        </w:r>
      </w:hyperlink>
      <w:r>
        <w:t xml:space="preserve"> provides extensive guidance on Article 12’s requirements. </w:t>
      </w:r>
      <w:r w:rsidR="002F6A53">
        <w:t xml:space="preserve">Importantly, </w:t>
      </w:r>
      <w:r w:rsidR="007744FB">
        <w:t>i</w:t>
      </w:r>
      <w:r w:rsidR="002F6A53">
        <w:t>t</w:t>
      </w:r>
      <w:r>
        <w:t xml:space="preserve"> states that substitute decision-making regimes breach Article 12 of the CRPD.</w:t>
      </w:r>
      <w:r>
        <w:rPr>
          <w:rStyle w:val="FootnoteReference"/>
        </w:rPr>
        <w:footnoteReference w:id="12"/>
      </w:r>
      <w:r>
        <w:t xml:space="preserve"> It defines substitute decision-making regimes as systems where: </w:t>
      </w:r>
    </w:p>
    <w:p w14:paraId="5F7633FD" w14:textId="3D81C693" w:rsidR="003C2CF2" w:rsidRDefault="003C2CF2" w:rsidP="00257AED">
      <w:pPr>
        <w:pStyle w:val="ListParagraph"/>
        <w:numPr>
          <w:ilvl w:val="0"/>
          <w:numId w:val="21"/>
        </w:numPr>
        <w:spacing w:before="0" w:after="0" w:line="300" w:lineRule="auto"/>
        <w:contextualSpacing/>
      </w:pPr>
      <w:r w:rsidRPr="00C80BB4">
        <w:t>(i)</w:t>
      </w:r>
      <w:r>
        <w:rPr>
          <w:b/>
          <w:bCs/>
        </w:rPr>
        <w:t xml:space="preserve"> </w:t>
      </w:r>
      <w:r w:rsidRPr="00C80BB4">
        <w:rPr>
          <w:b/>
          <w:bCs/>
        </w:rPr>
        <w:t>legal capacity is removed from a person</w:t>
      </w:r>
      <w:r>
        <w:t xml:space="preserve">, even if this is in respect of a single </w:t>
      </w:r>
      <w:proofErr w:type="gramStart"/>
      <w:r>
        <w:t>decision;</w:t>
      </w:r>
      <w:proofErr w:type="gramEnd"/>
      <w:r>
        <w:t xml:space="preserve"> </w:t>
      </w:r>
    </w:p>
    <w:p w14:paraId="36ABD7EF" w14:textId="77777777" w:rsidR="00A2575C" w:rsidRDefault="00A2575C" w:rsidP="00257AED">
      <w:pPr>
        <w:pStyle w:val="ListParagraph"/>
        <w:numPr>
          <w:ilvl w:val="0"/>
          <w:numId w:val="0"/>
        </w:numPr>
        <w:spacing w:before="0" w:after="0" w:line="300" w:lineRule="auto"/>
        <w:ind w:left="720"/>
        <w:contextualSpacing/>
      </w:pPr>
    </w:p>
    <w:p w14:paraId="2A05D231" w14:textId="55D9AF27" w:rsidR="00A2575C" w:rsidRDefault="003C2CF2" w:rsidP="00257AED">
      <w:pPr>
        <w:pStyle w:val="ListParagraph"/>
        <w:numPr>
          <w:ilvl w:val="0"/>
          <w:numId w:val="21"/>
        </w:numPr>
        <w:spacing w:before="0" w:after="0" w:line="300" w:lineRule="auto"/>
        <w:contextualSpacing/>
      </w:pPr>
      <w:r>
        <w:t xml:space="preserve">(ii) a substitute decision-maker can be </w:t>
      </w:r>
      <w:r w:rsidRPr="00C80BB4">
        <w:rPr>
          <w:b/>
          <w:bCs/>
        </w:rPr>
        <w:t>appointed by someone other than the person</w:t>
      </w:r>
      <w:r>
        <w:t xml:space="preserve"> concerned, and this can be </w:t>
      </w:r>
      <w:r w:rsidRPr="00C80BB4">
        <w:rPr>
          <w:b/>
          <w:bCs/>
        </w:rPr>
        <w:t>done against his or her will</w:t>
      </w:r>
      <w:r>
        <w:t xml:space="preserve">; and </w:t>
      </w:r>
    </w:p>
    <w:p w14:paraId="29A7FD46" w14:textId="77777777" w:rsidR="00A2575C" w:rsidRDefault="00A2575C" w:rsidP="00257AED">
      <w:pPr>
        <w:pStyle w:val="ListParagraph"/>
        <w:numPr>
          <w:ilvl w:val="0"/>
          <w:numId w:val="0"/>
        </w:numPr>
        <w:spacing w:before="0" w:after="0" w:line="300" w:lineRule="auto"/>
        <w:ind w:left="720"/>
        <w:contextualSpacing/>
      </w:pPr>
    </w:p>
    <w:p w14:paraId="75D4C103" w14:textId="7B3D0DFF" w:rsidR="003C2CF2" w:rsidRDefault="003C2CF2" w:rsidP="00257AED">
      <w:pPr>
        <w:pStyle w:val="ListParagraph"/>
        <w:numPr>
          <w:ilvl w:val="0"/>
          <w:numId w:val="21"/>
        </w:numPr>
        <w:spacing w:before="0" w:after="0" w:line="300" w:lineRule="auto"/>
        <w:contextualSpacing/>
      </w:pPr>
      <w:r>
        <w:t xml:space="preserve">(iii) any decision made by a substitute decision-maker is based on what is believed to be in the objective </w:t>
      </w:r>
      <w:r w:rsidRPr="00C80BB4">
        <w:rPr>
          <w:b/>
          <w:bCs/>
        </w:rPr>
        <w:t>“best interests”</w:t>
      </w:r>
      <w:r>
        <w:t xml:space="preserve"> of the person concerned, as opposed to being based on the person’s own will and preferences [emphasis added].</w:t>
      </w:r>
      <w:r w:rsidR="00573142">
        <w:rPr>
          <w:rStyle w:val="FootnoteReference"/>
        </w:rPr>
        <w:footnoteReference w:id="13"/>
      </w:r>
      <w:r w:rsidR="00573142">
        <w:t xml:space="preserve"> </w:t>
      </w:r>
    </w:p>
    <w:p w14:paraId="01C0D401" w14:textId="1A9A03EB" w:rsidR="003C2CF2" w:rsidRDefault="00B8069E" w:rsidP="00257AED">
      <w:pPr>
        <w:spacing w:line="300" w:lineRule="auto"/>
      </w:pPr>
      <w:r>
        <w:t>We believe that t</w:t>
      </w:r>
      <w:r w:rsidR="0033681D">
        <w:t xml:space="preserve">he following features </w:t>
      </w:r>
      <w:r w:rsidR="003C2CF2">
        <w:t>of the Bill’s litigation guardian</w:t>
      </w:r>
      <w:r w:rsidR="0033681D">
        <w:t xml:space="preserve"> provision</w:t>
      </w:r>
      <w:r>
        <w:t>s</w:t>
      </w:r>
      <w:r w:rsidR="0033681D">
        <w:t xml:space="preserve"> </w:t>
      </w:r>
      <w:r w:rsidR="003C2CF2">
        <w:t xml:space="preserve">resemble a substitute decision-making scheme, </w:t>
      </w:r>
      <w:r w:rsidR="00A95361">
        <w:t xml:space="preserve">potentially </w:t>
      </w:r>
      <w:r w:rsidR="003C2CF2">
        <w:t xml:space="preserve">placing the Government in breach of its </w:t>
      </w:r>
      <w:proofErr w:type="gramStart"/>
      <w:r w:rsidR="003C2CF2">
        <w:t>Article</w:t>
      </w:r>
      <w:proofErr w:type="gramEnd"/>
      <w:r w:rsidR="003C2CF2">
        <w:t xml:space="preserve"> 12 CRPD obligations</w:t>
      </w:r>
      <w:r>
        <w:t>.</w:t>
      </w:r>
      <w:r w:rsidR="003C2CF2">
        <w:t xml:space="preserve"> </w:t>
      </w:r>
    </w:p>
    <w:p w14:paraId="3D1873E3" w14:textId="166EFA95" w:rsidR="003C2CF2" w:rsidRPr="00DE3C79" w:rsidRDefault="003C2CF2" w:rsidP="00257AED">
      <w:pPr>
        <w:pStyle w:val="Heading3"/>
        <w:numPr>
          <w:ilvl w:val="0"/>
          <w:numId w:val="22"/>
        </w:numPr>
        <w:spacing w:line="300" w:lineRule="auto"/>
        <w:rPr>
          <w:b/>
          <w:bCs/>
          <w:sz w:val="28"/>
          <w:szCs w:val="28"/>
        </w:rPr>
      </w:pPr>
      <w:r w:rsidRPr="00DE3C79">
        <w:rPr>
          <w:b/>
          <w:bCs/>
          <w:sz w:val="28"/>
          <w:szCs w:val="28"/>
        </w:rPr>
        <w:t>Removal of legal capacity</w:t>
      </w:r>
    </w:p>
    <w:p w14:paraId="42ADCD30" w14:textId="1C0C1E4D" w:rsidR="003C2CF2" w:rsidRPr="00292C59" w:rsidRDefault="003C2CF2" w:rsidP="00257AED">
      <w:pPr>
        <w:spacing w:line="300" w:lineRule="auto"/>
      </w:pPr>
      <w:r>
        <w:t xml:space="preserve">The explanatory memorandum states that ‘[a] litigation guardian stands in the place of the </w:t>
      </w:r>
      <w:proofErr w:type="gramStart"/>
      <w:r>
        <w:t>party, and</w:t>
      </w:r>
      <w:proofErr w:type="gramEnd"/>
      <w:r>
        <w:t xml:space="preserve"> makes all the decisions about the conduct of the proceedings that would have been made by the party.’</w:t>
      </w:r>
      <w:r>
        <w:rPr>
          <w:rStyle w:val="FootnoteReference"/>
        </w:rPr>
        <w:footnoteReference w:id="14"/>
      </w:r>
      <w:r>
        <w:t xml:space="preserve"> Clause 67(5)(a) of the Bill states that if a party has a litigation </w:t>
      </w:r>
      <w:r>
        <w:lastRenderedPageBreak/>
        <w:t>guardian, the party ‘may participate in the proceeding only by the litigation guardian’.</w:t>
      </w:r>
      <w:r w:rsidR="00323AE7">
        <w:t xml:space="preserve"> </w:t>
      </w:r>
      <w:r>
        <w:t xml:space="preserve">This </w:t>
      </w:r>
      <w:r w:rsidR="008B6191">
        <w:t xml:space="preserve">is fundamentally different to a supported decision-making model, where the person can directly participate in decisions and is not ‘replaced’ by another person. </w:t>
      </w:r>
      <w:r w:rsidR="00622817">
        <w:t xml:space="preserve">As such, the Bill’s proposed model </w:t>
      </w:r>
      <w:r w:rsidR="009E12F1">
        <w:t>removes certain aspects of the person’s legal capacity</w:t>
      </w:r>
      <w:r w:rsidR="00622817">
        <w:t xml:space="preserve">. </w:t>
      </w:r>
    </w:p>
    <w:p w14:paraId="09B65F1F" w14:textId="187D8B02" w:rsidR="003C2CF2" w:rsidRPr="00DE3C79" w:rsidRDefault="003C2CF2" w:rsidP="00257AED">
      <w:pPr>
        <w:pStyle w:val="Heading3"/>
        <w:numPr>
          <w:ilvl w:val="0"/>
          <w:numId w:val="22"/>
        </w:numPr>
        <w:spacing w:line="300" w:lineRule="auto"/>
        <w:rPr>
          <w:b/>
          <w:bCs/>
          <w:sz w:val="28"/>
          <w:szCs w:val="28"/>
        </w:rPr>
      </w:pPr>
      <w:r w:rsidRPr="00DE3C79">
        <w:rPr>
          <w:b/>
          <w:bCs/>
          <w:sz w:val="28"/>
          <w:szCs w:val="28"/>
        </w:rPr>
        <w:t>Appointment of decision-maker</w:t>
      </w:r>
    </w:p>
    <w:p w14:paraId="2B1E5936" w14:textId="53BD1939" w:rsidR="003C2CF2" w:rsidRDefault="003C2CF2" w:rsidP="00257AED">
      <w:pPr>
        <w:spacing w:line="300" w:lineRule="auto"/>
      </w:pPr>
      <w:r>
        <w:t xml:space="preserve">Clause 67(2) of the Bill requires the Tribunal to ‘take into account’ the party’s will and preferences when deciding whether to appoint a litigation guardian and who to appoint as a litigation guardian. This falls short of following the party’s will and preferences and means that a litigation guardian can be appointed against the party’s will.  </w:t>
      </w:r>
    </w:p>
    <w:p w14:paraId="32F27740" w14:textId="62D3BB28" w:rsidR="003C2CF2" w:rsidRPr="003C2CF2" w:rsidRDefault="00EA65D1" w:rsidP="00257AED">
      <w:pPr>
        <w:spacing w:line="300" w:lineRule="auto"/>
        <w:rPr>
          <w:color w:val="FF0000"/>
        </w:rPr>
      </w:pPr>
      <w:r>
        <w:t>To ensure the Bill meets Australia’s obligations under the CRPD, w</w:t>
      </w:r>
      <w:r w:rsidR="003C2CF2">
        <w:t>e recommend that:</w:t>
      </w:r>
    </w:p>
    <w:p w14:paraId="12BBFA15" w14:textId="1A139A1A" w:rsidR="003C2CF2" w:rsidRDefault="003C2CF2" w:rsidP="00257AED">
      <w:pPr>
        <w:spacing w:line="300" w:lineRule="auto"/>
      </w:pPr>
      <w:r>
        <w:rPr>
          <w:b/>
          <w:bCs/>
        </w:rPr>
        <w:t xml:space="preserve">Recommendation </w:t>
      </w:r>
      <w:r w:rsidR="00094647">
        <w:rPr>
          <w:b/>
          <w:bCs/>
        </w:rPr>
        <w:t>3</w:t>
      </w:r>
      <w:r w:rsidR="00EA65D1">
        <w:rPr>
          <w:b/>
          <w:bCs/>
        </w:rPr>
        <w:t xml:space="preserve"> – </w:t>
      </w:r>
      <w:r>
        <w:t>The litigation guardian provisions of the Bill are amended to ensure that the ‘litigation guardian’ has a supportive, rather than substitute decision-making role. This includes ensuring that the party has the right to participate directly in all proceedings</w:t>
      </w:r>
      <w:r w:rsidR="00D13585">
        <w:t xml:space="preserve">, </w:t>
      </w:r>
      <w:r>
        <w:t xml:space="preserve">meetings and correspondence. In addition, to reflect their supportive rather than substitute decision-making role, the term </w:t>
      </w:r>
      <w:r w:rsidRPr="00D63EA1">
        <w:t xml:space="preserve">‘litigation guardian’ </w:t>
      </w:r>
      <w:r>
        <w:t xml:space="preserve">should be changed </w:t>
      </w:r>
      <w:r w:rsidRPr="00D63EA1">
        <w:t>to ‘nominated supporter’ o</w:t>
      </w:r>
      <w:r>
        <w:t xml:space="preserve">r ‘appointed supporter’. </w:t>
      </w:r>
    </w:p>
    <w:p w14:paraId="4D76F960" w14:textId="667A3F5B" w:rsidR="003C2CF2" w:rsidRDefault="003C2CF2" w:rsidP="00257AED">
      <w:pPr>
        <w:spacing w:line="300" w:lineRule="auto"/>
      </w:pPr>
      <w:r>
        <w:rPr>
          <w:b/>
          <w:bCs/>
        </w:rPr>
        <w:t xml:space="preserve">Recommendation </w:t>
      </w:r>
      <w:r w:rsidR="00094647">
        <w:rPr>
          <w:b/>
          <w:bCs/>
        </w:rPr>
        <w:t>4</w:t>
      </w:r>
      <w:r w:rsidR="00EA65D1">
        <w:rPr>
          <w:b/>
          <w:bCs/>
        </w:rPr>
        <w:t xml:space="preserve"> – </w:t>
      </w:r>
      <w:r w:rsidR="00A2575C">
        <w:t>C</w:t>
      </w:r>
      <w:r>
        <w:t xml:space="preserve">lause 67(2) of the Bill </w:t>
      </w:r>
      <w:r w:rsidR="00A2575C">
        <w:t xml:space="preserve">should be amended </w:t>
      </w:r>
      <w:r>
        <w:t>to require the Tribunal to follow, rather than ‘take into account’, the party’s will and preferences when deciding whether to appoint a litigation guardian and who to appoint as a litigation guardian.</w:t>
      </w:r>
    </w:p>
    <w:p w14:paraId="50B7ED0A" w14:textId="77777777" w:rsidR="00292C59" w:rsidRDefault="003C2CF2" w:rsidP="00257AED">
      <w:pPr>
        <w:spacing w:line="300" w:lineRule="auto"/>
      </w:pPr>
      <w:r>
        <w:t xml:space="preserve">We also note that clause 67(7) of the Bill states that the party’s </w:t>
      </w:r>
      <w:proofErr w:type="gramStart"/>
      <w:r>
        <w:t>will</w:t>
      </w:r>
      <w:proofErr w:type="gramEnd"/>
      <w:r>
        <w:t xml:space="preserve"> and preferences must be followed, unless doing so would pose ‘a serious risk to the party’s personal and social wellbeing’, in which case the guardian must act in a manner that promotes the party’s personal and social wellbeing. </w:t>
      </w:r>
    </w:p>
    <w:p w14:paraId="34E376D5" w14:textId="01811965" w:rsidR="003C2CF2" w:rsidRDefault="003C2CF2" w:rsidP="00257AED">
      <w:pPr>
        <w:spacing w:line="300" w:lineRule="auto"/>
      </w:pPr>
      <w:r>
        <w:t xml:space="preserve">Clause 67(8) of the Bill states that if the party’s will and preferences, or likely will and preferences, cannot be ascertained, the guardian must act in a manner that promotes the personal and social wellbeing of the party. </w:t>
      </w:r>
    </w:p>
    <w:p w14:paraId="69CFEBA3" w14:textId="225B3ADB" w:rsidR="003C2CF2" w:rsidRDefault="003C2CF2" w:rsidP="00257AED">
      <w:pPr>
        <w:spacing w:line="300" w:lineRule="auto"/>
      </w:pPr>
      <w:r>
        <w:t>As the term ‘personal and social wellbeing’ is highly subjective and value-laden, we propose that:</w:t>
      </w:r>
    </w:p>
    <w:p w14:paraId="20EDAA5E" w14:textId="12F3D790" w:rsidR="00A2575C" w:rsidRDefault="00A2575C" w:rsidP="00257AED">
      <w:pPr>
        <w:spacing w:line="300" w:lineRule="auto"/>
      </w:pPr>
      <w:r>
        <w:rPr>
          <w:b/>
          <w:bCs/>
        </w:rPr>
        <w:t xml:space="preserve">Recommendation </w:t>
      </w:r>
      <w:r w:rsidR="00094647">
        <w:rPr>
          <w:b/>
          <w:bCs/>
        </w:rPr>
        <w:t>5</w:t>
      </w:r>
      <w:r w:rsidR="00490F04">
        <w:rPr>
          <w:b/>
          <w:bCs/>
        </w:rPr>
        <w:t xml:space="preserve"> – </w:t>
      </w:r>
      <w:r>
        <w:t>Clauses 67(7) and (8) of the Bill should be amended to substitute references to promoting the party’s ‘personal and social wellbeing’ with reference to promoting the party’s ‘human rights.’</w:t>
      </w:r>
    </w:p>
    <w:p w14:paraId="6C1E3F05" w14:textId="76E73252" w:rsidR="003C2CF2" w:rsidRPr="00DE3C79" w:rsidRDefault="003C2CF2" w:rsidP="00257AED">
      <w:pPr>
        <w:pStyle w:val="Heading2"/>
        <w:spacing w:line="300" w:lineRule="auto"/>
        <w:rPr>
          <w:b/>
          <w:bCs/>
        </w:rPr>
      </w:pPr>
      <w:r w:rsidRPr="00DE3C79">
        <w:rPr>
          <w:b/>
          <w:bCs/>
        </w:rPr>
        <w:lastRenderedPageBreak/>
        <w:t>Early resolution of disputes</w:t>
      </w:r>
    </w:p>
    <w:p w14:paraId="3092C23A" w14:textId="163EC8AF" w:rsidR="003C2CF2" w:rsidRPr="003C2CF2" w:rsidRDefault="003C2CF2" w:rsidP="00257AED">
      <w:pPr>
        <w:spacing w:line="300" w:lineRule="auto"/>
      </w:pPr>
      <w:r>
        <w:t xml:space="preserve">The timeliness of the ART could be enhanced by encouraging parties to resolve disputes prior to applying to the ART. Our advocates report that the NDIA does not work with participants at the NDIA’s internal </w:t>
      </w:r>
      <w:r w:rsidRPr="00962823">
        <w:t xml:space="preserve">review </w:t>
      </w:r>
      <w:r>
        <w:t xml:space="preserve">stage to seek additional evidence. Previously, the NDIA would allow participants 28 days to gather further information before issuing an internal review decision, but this practice has ceased. </w:t>
      </w:r>
    </w:p>
    <w:p w14:paraId="5B4CFA59" w14:textId="624BEFE3" w:rsidR="003C2CF2" w:rsidRDefault="003C2CF2" w:rsidP="00257AED">
      <w:pPr>
        <w:spacing w:line="300" w:lineRule="auto"/>
      </w:pPr>
      <w:r>
        <w:t xml:space="preserve">To address this issue and improve the timeliness of dispute resolution, we reiterate the following recommendations made in our submission to the </w:t>
      </w:r>
      <w:hyperlink r:id="rId22" w:history="1">
        <w:r w:rsidRPr="000D174A">
          <w:rPr>
            <w:rStyle w:val="Hyperlink"/>
          </w:rPr>
          <w:t>Attorney General’s Department’s Administrative Review Reform Issues Paper</w:t>
        </w:r>
      </w:hyperlink>
      <w:r>
        <w:t>:</w:t>
      </w:r>
      <w:r>
        <w:rPr>
          <w:rStyle w:val="FootnoteReference"/>
        </w:rPr>
        <w:footnoteReference w:id="15"/>
      </w:r>
    </w:p>
    <w:p w14:paraId="60268A40" w14:textId="0247BDD0" w:rsidR="003C2CF2" w:rsidRPr="003C2CF2" w:rsidRDefault="003C2CF2" w:rsidP="00257AED">
      <w:pPr>
        <w:spacing w:line="300" w:lineRule="auto"/>
      </w:pPr>
      <w:r>
        <w:rPr>
          <w:b/>
          <w:bCs/>
        </w:rPr>
        <w:t xml:space="preserve">Recommendation </w:t>
      </w:r>
      <w:r w:rsidR="00094647">
        <w:rPr>
          <w:b/>
          <w:bCs/>
        </w:rPr>
        <w:t>6</w:t>
      </w:r>
      <w:r w:rsidR="00D0131B">
        <w:rPr>
          <w:b/>
          <w:bCs/>
        </w:rPr>
        <w:t xml:space="preserve"> – </w:t>
      </w:r>
      <w:r>
        <w:t>The new legislation grants the ART power to examine whether the NDIA has made reasonable attempts to resolve the dispute and remit the matter back to the NDIA where such attempts have not been made.</w:t>
      </w:r>
    </w:p>
    <w:p w14:paraId="7222D43C" w14:textId="5DF49E64" w:rsidR="003C2CF2" w:rsidRDefault="003C2CF2" w:rsidP="00257AED">
      <w:pPr>
        <w:spacing w:line="300" w:lineRule="auto"/>
      </w:pPr>
      <w:r>
        <w:rPr>
          <w:b/>
          <w:bCs/>
        </w:rPr>
        <w:t xml:space="preserve">Recommendation </w:t>
      </w:r>
      <w:r w:rsidR="00094647">
        <w:rPr>
          <w:b/>
          <w:bCs/>
        </w:rPr>
        <w:t>7</w:t>
      </w:r>
      <w:r w:rsidR="00D0131B">
        <w:rPr>
          <w:b/>
          <w:bCs/>
        </w:rPr>
        <w:t xml:space="preserve"> – </w:t>
      </w:r>
      <w:r>
        <w:t>The new legislation must clearly set out what constitutes reasonable attempts to resolve a matter, and that there should be recognition that reasonable attempts should be proportional to the complexity of the plan at issue. Additionally, there must be an onus on the NDIA to make new offers in writing with participants given a reasonable time to consider these offers. The opportunity to choose an appropriate meeting time to discuss the offer and attend with support people must also be provided.</w:t>
      </w:r>
    </w:p>
    <w:p w14:paraId="306DB91A" w14:textId="7B9BF9B1" w:rsidR="00094647" w:rsidRPr="003C2CF2" w:rsidRDefault="00094647" w:rsidP="00257AED">
      <w:pPr>
        <w:spacing w:line="300" w:lineRule="auto"/>
        <w:rPr>
          <w:b/>
          <w:bCs/>
        </w:rPr>
      </w:pPr>
      <w:r>
        <w:t xml:space="preserve">Thank you again for the opportunity to make this submission. If you would like to discuss our submission, please contact my Senior Manager of Policy, Mx Giancarlo de Vera via email at </w:t>
      </w:r>
      <w:hyperlink r:id="rId23" w:history="1">
        <w:r w:rsidRPr="002B24E5">
          <w:rPr>
            <w:rStyle w:val="Hyperlink"/>
          </w:rPr>
          <w:t>giancarlod@pwd.org.au</w:t>
        </w:r>
      </w:hyperlink>
      <w:r>
        <w:t xml:space="preserve"> or on 0413 135 731.</w:t>
      </w:r>
    </w:p>
    <w:bookmarkEnd w:id="2"/>
    <w:p w14:paraId="7C3F0F0E" w14:textId="445D4E76" w:rsidR="00653AA1" w:rsidRPr="00A37DEA" w:rsidRDefault="00A7766F" w:rsidP="00257AED">
      <w:pPr>
        <w:pStyle w:val="BodyText"/>
        <w:spacing w:line="300" w:lineRule="auto"/>
      </w:pPr>
      <w:r w:rsidRPr="00A37DEA">
        <w:t>Yours s</w:t>
      </w:r>
      <w:r w:rsidR="00653AA1" w:rsidRPr="00A37DEA">
        <w:t>incerely</w:t>
      </w:r>
    </w:p>
    <w:p w14:paraId="1A3194C2" w14:textId="43069423" w:rsidR="00241328" w:rsidRDefault="00241328" w:rsidP="00257AED">
      <w:pPr>
        <w:pStyle w:val="BodyText"/>
        <w:spacing w:after="600" w:line="300" w:lineRule="auto"/>
        <w:rPr>
          <w:highlight w:val="yellow"/>
        </w:rPr>
      </w:pPr>
    </w:p>
    <w:p w14:paraId="5832292E" w14:textId="77777777" w:rsidR="00292C59" w:rsidRDefault="00292C59" w:rsidP="00257AED">
      <w:pPr>
        <w:pStyle w:val="AddressBlockdate"/>
        <w:spacing w:line="300" w:lineRule="auto"/>
      </w:pPr>
    </w:p>
    <w:p w14:paraId="7B2495F0" w14:textId="08DB17F1" w:rsidR="00CB2E90" w:rsidRPr="008948F1" w:rsidRDefault="00B008C9" w:rsidP="00257AED">
      <w:pPr>
        <w:pStyle w:val="AddressBlockdate"/>
        <w:spacing w:line="300" w:lineRule="auto"/>
      </w:pPr>
      <w:r>
        <w:t xml:space="preserve">Sebastian Zagarella </w:t>
      </w:r>
    </w:p>
    <w:p w14:paraId="4599129F" w14:textId="3A30A53A" w:rsidR="00A7766F" w:rsidRPr="00257AED" w:rsidRDefault="00B008C9" w:rsidP="00257AED">
      <w:pPr>
        <w:pStyle w:val="AddressBlockdate"/>
        <w:spacing w:line="300" w:lineRule="auto"/>
        <w:rPr>
          <w:b w:val="0"/>
          <w:bCs/>
        </w:rPr>
      </w:pPr>
      <w:r w:rsidRPr="00257AED">
        <w:rPr>
          <w:b w:val="0"/>
          <w:bCs/>
        </w:rPr>
        <w:t xml:space="preserve">Chief Executive Officer </w:t>
      </w:r>
    </w:p>
    <w:p w14:paraId="1C6C301C" w14:textId="77777777" w:rsidR="005F5CBD" w:rsidRPr="00257AED" w:rsidRDefault="00A7766F" w:rsidP="00257AED">
      <w:pPr>
        <w:pStyle w:val="AddressBlockdate"/>
        <w:spacing w:line="300" w:lineRule="auto"/>
        <w:rPr>
          <w:b w:val="0"/>
          <w:bCs/>
        </w:rPr>
      </w:pPr>
      <w:r w:rsidRPr="00257AED">
        <w:rPr>
          <w:b w:val="0"/>
          <w:bCs/>
        </w:rPr>
        <w:t xml:space="preserve">People </w:t>
      </w:r>
      <w:r w:rsidR="00F01942" w:rsidRPr="00257AED">
        <w:rPr>
          <w:b w:val="0"/>
          <w:bCs/>
        </w:rPr>
        <w:t>w</w:t>
      </w:r>
      <w:r w:rsidRPr="00257AED">
        <w:rPr>
          <w:b w:val="0"/>
          <w:bCs/>
        </w:rPr>
        <w:t>ith Disability Australia</w:t>
      </w:r>
    </w:p>
    <w:p w14:paraId="49C04B2E" w14:textId="77777777" w:rsidR="00292C59" w:rsidRPr="00257AED" w:rsidRDefault="00292C59">
      <w:pPr>
        <w:pStyle w:val="AddressBlockdate"/>
        <w:spacing w:line="300" w:lineRule="auto"/>
        <w:rPr>
          <w:b w:val="0"/>
          <w:bCs/>
        </w:rPr>
      </w:pPr>
    </w:p>
    <w:sectPr w:rsidR="00292C59" w:rsidRPr="00257AED" w:rsidSect="00571F7F">
      <w:type w:val="continuous"/>
      <w:pgSz w:w="11906" w:h="16838" w:code="9"/>
      <w:pgMar w:top="1135" w:right="1134" w:bottom="1418" w:left="1134" w:header="34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3383D0" w14:textId="77777777" w:rsidR="00A67618" w:rsidRDefault="00A67618" w:rsidP="00F1283C">
      <w:pPr>
        <w:spacing w:after="0" w:line="240" w:lineRule="auto"/>
      </w:pPr>
      <w:r>
        <w:separator/>
      </w:r>
    </w:p>
  </w:endnote>
  <w:endnote w:type="continuationSeparator" w:id="0">
    <w:p w14:paraId="09D8AEE7" w14:textId="77777777" w:rsidR="00A67618" w:rsidRDefault="00A67618" w:rsidP="00F128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VAG Rounded">
    <w:altName w:val="Calibri"/>
    <w:panose1 w:val="020B0500000000000000"/>
    <w:charset w:val="00"/>
    <w:family w:val="swiss"/>
    <w:pitch w:val="variable"/>
    <w:sig w:usb0="00000003" w:usb1="00000000" w:usb2="00000000" w:usb3="00000000" w:csb0="00000001" w:csb1="00000000"/>
  </w:font>
  <w:font w:name="VAGblake">
    <w:altName w:val="Calibri"/>
    <w:panose1 w:val="00000000000000000000"/>
    <w:charset w:val="00"/>
    <w:family w:val="modern"/>
    <w:notTrueType/>
    <w:pitch w:val="variable"/>
    <w:sig w:usb0="800000AF" w:usb1="40000048" w:usb2="00000000" w:usb3="00000000" w:csb0="00000001" w:csb1="00000000"/>
  </w:font>
  <w:font w:name="MinionPro-Regular">
    <w:altName w:val="Calibri"/>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4607531"/>
      <w:docPartObj>
        <w:docPartGallery w:val="Page Numbers (Bottom of Page)"/>
        <w:docPartUnique/>
      </w:docPartObj>
    </w:sdtPr>
    <w:sdtEndPr>
      <w:rPr>
        <w:noProof/>
      </w:rPr>
    </w:sdtEndPr>
    <w:sdtContent>
      <w:p w14:paraId="176978F5" w14:textId="77777777" w:rsidR="00D2193E" w:rsidRPr="0088658F" w:rsidRDefault="00D2193E" w:rsidP="00D2193E">
        <w:pPr>
          <w:pStyle w:val="Footer"/>
          <w:jc w:val="center"/>
          <w:rPr>
            <w:noProof/>
            <w:color w:val="005496" w:themeColor="accent1"/>
          </w:rPr>
        </w:pPr>
        <w:r w:rsidRPr="0088658F">
          <w:rPr>
            <w:color w:val="005496" w:themeColor="accent1"/>
          </w:rPr>
          <w:fldChar w:fldCharType="begin"/>
        </w:r>
        <w:r w:rsidRPr="0088658F">
          <w:rPr>
            <w:color w:val="005496" w:themeColor="accent1"/>
          </w:rPr>
          <w:instrText xml:space="preserve"> PAGE   \* MERGEFORMAT </w:instrText>
        </w:r>
        <w:r w:rsidRPr="0088658F">
          <w:rPr>
            <w:color w:val="005496" w:themeColor="accent1"/>
          </w:rPr>
          <w:fldChar w:fldCharType="separate"/>
        </w:r>
        <w:r w:rsidRPr="0088658F">
          <w:rPr>
            <w:noProof/>
            <w:color w:val="005496" w:themeColor="accent1"/>
          </w:rPr>
          <w:t>2</w:t>
        </w:r>
        <w:r w:rsidRPr="0088658F">
          <w:rPr>
            <w:noProof/>
            <w:color w:val="005496" w:themeColor="accent1"/>
          </w:rPr>
          <w:fldChar w:fldCharType="end"/>
        </w:r>
      </w:p>
      <w:p w14:paraId="445205C7" w14:textId="77777777" w:rsidR="00665E6E" w:rsidRDefault="00000000" w:rsidP="00D2193E">
        <w:pPr>
          <w:pStyle w:val="Footer"/>
          <w:jc w:val="cente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814C3" w14:textId="77777777" w:rsidR="00ED4A4E" w:rsidRPr="00ED4A4E" w:rsidRDefault="00EA7300" w:rsidP="00ED4A4E">
    <w:pPr>
      <w:pStyle w:val="Footer"/>
      <w:ind w:right="-143"/>
      <w:jc w:val="right"/>
      <w:rPr>
        <w:b/>
        <w:bCs/>
      </w:rPr>
    </w:pPr>
    <w:r>
      <w:rPr>
        <w:noProof/>
      </w:rPr>
      <w:drawing>
        <wp:anchor distT="0" distB="0" distL="114300" distR="114300" simplePos="0" relativeHeight="251661312" behindDoc="1" locked="0" layoutInCell="1" allowOverlap="1" wp14:anchorId="06F79A17" wp14:editId="63DF2A69">
          <wp:simplePos x="0" y="0"/>
          <wp:positionH relativeFrom="page">
            <wp:posOffset>6152111</wp:posOffset>
          </wp:positionH>
          <wp:positionV relativeFrom="paragraph">
            <wp:posOffset>-592282</wp:posOffset>
          </wp:positionV>
          <wp:extent cx="1395442" cy="1246159"/>
          <wp:effectExtent l="0" t="0" r="0" b="0"/>
          <wp:wrapNone/>
          <wp:docPr id="21" name="Picture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398652" cy="1249025"/>
                  </a:xfrm>
                  <a:prstGeom prst="rect">
                    <a:avLst/>
                  </a:prstGeom>
                </pic:spPr>
              </pic:pic>
            </a:graphicData>
          </a:graphic>
          <wp14:sizeRelH relativeFrom="page">
            <wp14:pctWidth>0</wp14:pctWidth>
          </wp14:sizeRelH>
          <wp14:sizeRelV relativeFrom="page">
            <wp14:pctHeight>0</wp14:pctHeight>
          </wp14:sizeRelV>
        </wp:anchor>
      </w:drawing>
    </w:r>
    <w:sdt>
      <w:sdtPr>
        <w:id w:val="-1025715486"/>
        <w:docPartObj>
          <w:docPartGallery w:val="Page Numbers (Bottom of Page)"/>
          <w:docPartUnique/>
        </w:docPartObj>
      </w:sdtPr>
      <w:sdtEndPr>
        <w:rPr>
          <w:noProof/>
        </w:rPr>
      </w:sdtEndPr>
      <w:sdtContent>
        <w:r w:rsidR="00ED4A4E" w:rsidRPr="00ED4A4E">
          <w:rPr>
            <w:rFonts w:asciiTheme="minorHAnsi" w:hAnsiTheme="minorHAnsi" w:cstheme="minorHAnsi"/>
            <w:b/>
            <w:bCs/>
            <w:color w:val="005496" w:themeColor="text2"/>
          </w:rPr>
          <w:fldChar w:fldCharType="begin"/>
        </w:r>
        <w:r w:rsidR="00ED4A4E" w:rsidRPr="00ED4A4E">
          <w:rPr>
            <w:rFonts w:asciiTheme="minorHAnsi" w:hAnsiTheme="minorHAnsi" w:cstheme="minorHAnsi"/>
            <w:b/>
            <w:bCs/>
            <w:color w:val="005496" w:themeColor="text2"/>
          </w:rPr>
          <w:instrText xml:space="preserve"> PAGE   \* MERGEFORMAT </w:instrText>
        </w:r>
        <w:r w:rsidR="00ED4A4E" w:rsidRPr="00ED4A4E">
          <w:rPr>
            <w:rFonts w:asciiTheme="minorHAnsi" w:hAnsiTheme="minorHAnsi" w:cstheme="minorHAnsi"/>
            <w:b/>
            <w:bCs/>
            <w:color w:val="005496" w:themeColor="text2"/>
          </w:rPr>
          <w:fldChar w:fldCharType="separate"/>
        </w:r>
        <w:r w:rsidR="00ED4A4E" w:rsidRPr="00ED4A4E">
          <w:rPr>
            <w:rFonts w:asciiTheme="minorHAnsi" w:hAnsiTheme="minorHAnsi" w:cstheme="minorHAnsi"/>
            <w:b/>
            <w:bCs/>
            <w:noProof/>
            <w:color w:val="005496" w:themeColor="text2"/>
          </w:rPr>
          <w:t>2</w:t>
        </w:r>
        <w:r w:rsidR="00ED4A4E" w:rsidRPr="00ED4A4E">
          <w:rPr>
            <w:rFonts w:asciiTheme="minorHAnsi" w:hAnsiTheme="minorHAnsi" w:cstheme="minorHAnsi"/>
            <w:b/>
            <w:bCs/>
            <w:noProof/>
            <w:color w:val="005496" w:themeColor="text2"/>
          </w:rPr>
          <w:fldChar w:fldCharType="end"/>
        </w:r>
        <w:r w:rsidR="00ED4A4E" w:rsidRPr="00ED4A4E">
          <w:rPr>
            <w:rFonts w:asciiTheme="minorHAnsi" w:hAnsiTheme="minorHAnsi" w:cstheme="minorHAnsi"/>
            <w:b/>
            <w:bCs/>
            <w:noProof/>
          </w:rPr>
          <w:tab/>
        </w:r>
      </w:sdtContent>
    </w:sdt>
  </w:p>
  <w:p w14:paraId="6F513D0D" w14:textId="77777777" w:rsidR="00F11608" w:rsidRPr="004B15FD" w:rsidRDefault="00F11608" w:rsidP="004B15FD">
    <w:pPr>
      <w:pStyle w:val="Footer"/>
      <w:ind w:right="-143"/>
      <w:jc w:val="right"/>
      <w:rPr>
        <w:b/>
        <w:b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B4F32A" w14:textId="77777777" w:rsidR="00A67618" w:rsidRDefault="00A67618" w:rsidP="00F1283C">
      <w:pPr>
        <w:spacing w:after="0" w:line="240" w:lineRule="auto"/>
      </w:pPr>
      <w:bookmarkStart w:id="0" w:name="_Hlk80104043"/>
      <w:bookmarkEnd w:id="0"/>
      <w:r>
        <w:separator/>
      </w:r>
    </w:p>
  </w:footnote>
  <w:footnote w:type="continuationSeparator" w:id="0">
    <w:p w14:paraId="1FBCE190" w14:textId="77777777" w:rsidR="00A67618" w:rsidRDefault="00A67618" w:rsidP="00F1283C">
      <w:pPr>
        <w:spacing w:after="0" w:line="240" w:lineRule="auto"/>
      </w:pPr>
      <w:r>
        <w:continuationSeparator/>
      </w:r>
    </w:p>
  </w:footnote>
  <w:footnote w:id="1">
    <w:p w14:paraId="447CC7EA" w14:textId="671FBDFF" w:rsidR="003C2CF2" w:rsidRPr="002A094B" w:rsidRDefault="003C2CF2" w:rsidP="003C2CF2">
      <w:pPr>
        <w:pStyle w:val="FootnoteText"/>
        <w:rPr>
          <w:sz w:val="16"/>
          <w:szCs w:val="16"/>
        </w:rPr>
      </w:pPr>
      <w:r w:rsidRPr="002A094B">
        <w:rPr>
          <w:rStyle w:val="FootnoteReference"/>
          <w:sz w:val="16"/>
          <w:szCs w:val="16"/>
        </w:rPr>
        <w:footnoteRef/>
      </w:r>
      <w:r w:rsidRPr="002A094B">
        <w:rPr>
          <w:sz w:val="16"/>
          <w:szCs w:val="16"/>
        </w:rPr>
        <w:t xml:space="preserve"> </w:t>
      </w:r>
      <w:r w:rsidR="00DC078E" w:rsidRPr="002A094B">
        <w:rPr>
          <w:sz w:val="16"/>
          <w:szCs w:val="16"/>
        </w:rPr>
        <w:t>Administrative Review Tribunal Bill 2023 (</w:t>
      </w:r>
      <w:proofErr w:type="spellStart"/>
      <w:r w:rsidR="00DC078E" w:rsidRPr="002A094B">
        <w:rPr>
          <w:sz w:val="16"/>
          <w:szCs w:val="16"/>
        </w:rPr>
        <w:t>Cth</w:t>
      </w:r>
      <w:proofErr w:type="spellEnd"/>
      <w:r w:rsidR="00DC078E" w:rsidRPr="002A094B">
        <w:rPr>
          <w:sz w:val="16"/>
          <w:szCs w:val="16"/>
        </w:rPr>
        <w:t xml:space="preserve">), </w:t>
      </w:r>
      <w:r w:rsidR="00BB0A0B" w:rsidRPr="002A094B">
        <w:rPr>
          <w:sz w:val="16"/>
          <w:szCs w:val="16"/>
        </w:rPr>
        <w:t>cl</w:t>
      </w:r>
      <w:r w:rsidRPr="002A094B">
        <w:rPr>
          <w:sz w:val="16"/>
          <w:szCs w:val="16"/>
        </w:rPr>
        <w:t xml:space="preserve"> 9</w:t>
      </w:r>
      <w:r w:rsidR="00281D84" w:rsidRPr="002A094B">
        <w:rPr>
          <w:sz w:val="16"/>
          <w:szCs w:val="16"/>
        </w:rPr>
        <w:t>.</w:t>
      </w:r>
      <w:r w:rsidRPr="002A094B">
        <w:rPr>
          <w:sz w:val="16"/>
          <w:szCs w:val="16"/>
        </w:rPr>
        <w:t xml:space="preserve"> </w:t>
      </w:r>
    </w:p>
  </w:footnote>
  <w:footnote w:id="2">
    <w:p w14:paraId="020E3793" w14:textId="64173DDB" w:rsidR="003C2CF2" w:rsidRPr="002A094B" w:rsidRDefault="003C2CF2" w:rsidP="003C2CF2">
      <w:pPr>
        <w:pStyle w:val="FootnoteText"/>
        <w:rPr>
          <w:sz w:val="16"/>
          <w:szCs w:val="16"/>
        </w:rPr>
      </w:pPr>
      <w:r w:rsidRPr="002A094B">
        <w:rPr>
          <w:rStyle w:val="FootnoteReference"/>
          <w:sz w:val="16"/>
          <w:szCs w:val="16"/>
        </w:rPr>
        <w:footnoteRef/>
      </w:r>
      <w:r w:rsidRPr="002A094B">
        <w:rPr>
          <w:sz w:val="16"/>
          <w:szCs w:val="16"/>
        </w:rPr>
        <w:t xml:space="preserve"> </w:t>
      </w:r>
      <w:r w:rsidR="00281D84" w:rsidRPr="002A094B">
        <w:rPr>
          <w:sz w:val="16"/>
          <w:szCs w:val="16"/>
        </w:rPr>
        <w:t>Administrative Review Tribunal Bill 2023 (</w:t>
      </w:r>
      <w:proofErr w:type="spellStart"/>
      <w:r w:rsidR="00281D84" w:rsidRPr="002A094B">
        <w:rPr>
          <w:sz w:val="16"/>
          <w:szCs w:val="16"/>
        </w:rPr>
        <w:t>Cth</w:t>
      </w:r>
      <w:proofErr w:type="spellEnd"/>
      <w:r w:rsidR="00281D84" w:rsidRPr="002A094B">
        <w:rPr>
          <w:sz w:val="16"/>
          <w:szCs w:val="16"/>
        </w:rPr>
        <w:t xml:space="preserve">), </w:t>
      </w:r>
      <w:r w:rsidR="00BB0A0B" w:rsidRPr="002A094B">
        <w:rPr>
          <w:sz w:val="16"/>
          <w:szCs w:val="16"/>
        </w:rPr>
        <w:t>cl</w:t>
      </w:r>
      <w:r w:rsidR="00281D84" w:rsidRPr="002A094B">
        <w:rPr>
          <w:sz w:val="16"/>
          <w:szCs w:val="16"/>
        </w:rPr>
        <w:t xml:space="preserve"> 9.</w:t>
      </w:r>
    </w:p>
  </w:footnote>
  <w:footnote w:id="3">
    <w:p w14:paraId="7676B487" w14:textId="5D673AC5" w:rsidR="003C2CF2" w:rsidRPr="002A094B" w:rsidRDefault="003C2CF2" w:rsidP="003C2CF2">
      <w:pPr>
        <w:pStyle w:val="FootnoteText"/>
        <w:rPr>
          <w:sz w:val="16"/>
          <w:szCs w:val="16"/>
        </w:rPr>
      </w:pPr>
      <w:r w:rsidRPr="002A094B">
        <w:rPr>
          <w:rStyle w:val="FootnoteReference"/>
          <w:sz w:val="16"/>
          <w:szCs w:val="16"/>
        </w:rPr>
        <w:footnoteRef/>
      </w:r>
      <w:r w:rsidRPr="002A094B">
        <w:rPr>
          <w:sz w:val="16"/>
          <w:szCs w:val="16"/>
        </w:rPr>
        <w:t xml:space="preserve"> </w:t>
      </w:r>
      <w:r w:rsidR="00281D84" w:rsidRPr="002A094B">
        <w:rPr>
          <w:sz w:val="16"/>
          <w:szCs w:val="16"/>
        </w:rPr>
        <w:t>Administrative Review Tribunal Bill 2023 (</w:t>
      </w:r>
      <w:proofErr w:type="spellStart"/>
      <w:r w:rsidR="00281D84" w:rsidRPr="002A094B">
        <w:rPr>
          <w:sz w:val="16"/>
          <w:szCs w:val="16"/>
        </w:rPr>
        <w:t>Cth</w:t>
      </w:r>
      <w:proofErr w:type="spellEnd"/>
      <w:r w:rsidR="00281D84" w:rsidRPr="002A094B">
        <w:rPr>
          <w:sz w:val="16"/>
          <w:szCs w:val="16"/>
        </w:rPr>
        <w:t xml:space="preserve">), Explanatory </w:t>
      </w:r>
      <w:r w:rsidR="00BB0A0B" w:rsidRPr="002A094B">
        <w:rPr>
          <w:sz w:val="16"/>
          <w:szCs w:val="16"/>
        </w:rPr>
        <w:t>M</w:t>
      </w:r>
      <w:r w:rsidR="00281D84" w:rsidRPr="002A094B">
        <w:rPr>
          <w:sz w:val="16"/>
          <w:szCs w:val="16"/>
        </w:rPr>
        <w:t xml:space="preserve">emorandum, </w:t>
      </w:r>
      <w:r w:rsidRPr="002A094B">
        <w:rPr>
          <w:sz w:val="16"/>
          <w:szCs w:val="16"/>
        </w:rPr>
        <w:t xml:space="preserve">[357]. </w:t>
      </w:r>
    </w:p>
  </w:footnote>
  <w:footnote w:id="4">
    <w:p w14:paraId="73B57E7C" w14:textId="453121BA" w:rsidR="007F4245" w:rsidRDefault="007F4245">
      <w:pPr>
        <w:pStyle w:val="FootnoteText"/>
      </w:pPr>
      <w:r>
        <w:rPr>
          <w:rStyle w:val="FootnoteReference"/>
        </w:rPr>
        <w:footnoteRef/>
      </w:r>
      <w:r>
        <w:t xml:space="preserve"> </w:t>
      </w:r>
      <w:r w:rsidRPr="002A094B">
        <w:rPr>
          <w:sz w:val="16"/>
          <w:szCs w:val="16"/>
        </w:rPr>
        <w:t>Administrative Review Tribunal Bill 2023 (</w:t>
      </w:r>
      <w:proofErr w:type="spellStart"/>
      <w:r w:rsidRPr="002A094B">
        <w:rPr>
          <w:sz w:val="16"/>
          <w:szCs w:val="16"/>
        </w:rPr>
        <w:t>Cth</w:t>
      </w:r>
      <w:proofErr w:type="spellEnd"/>
      <w:r w:rsidRPr="002A094B">
        <w:rPr>
          <w:sz w:val="16"/>
          <w:szCs w:val="16"/>
        </w:rPr>
        <w:t xml:space="preserve">), </w:t>
      </w:r>
      <w:proofErr w:type="spellStart"/>
      <w:r w:rsidRPr="002A094B">
        <w:rPr>
          <w:sz w:val="16"/>
          <w:szCs w:val="16"/>
        </w:rPr>
        <w:t>cls</w:t>
      </w:r>
      <w:proofErr w:type="spellEnd"/>
      <w:r w:rsidRPr="002A094B">
        <w:rPr>
          <w:sz w:val="16"/>
          <w:szCs w:val="16"/>
        </w:rPr>
        <w:t xml:space="preserve"> </w:t>
      </w:r>
      <w:r>
        <w:rPr>
          <w:sz w:val="16"/>
          <w:szCs w:val="16"/>
        </w:rPr>
        <w:t>11-12</w:t>
      </w:r>
      <w:r w:rsidRPr="002A094B">
        <w:rPr>
          <w:sz w:val="16"/>
          <w:szCs w:val="16"/>
        </w:rPr>
        <w:t>.</w:t>
      </w:r>
    </w:p>
  </w:footnote>
  <w:footnote w:id="5">
    <w:p w14:paraId="42F88CBE" w14:textId="52F58C92" w:rsidR="003C2CF2" w:rsidRPr="002A094B" w:rsidRDefault="003C2CF2" w:rsidP="003C2CF2">
      <w:pPr>
        <w:pStyle w:val="FootnoteText"/>
        <w:rPr>
          <w:sz w:val="16"/>
          <w:szCs w:val="16"/>
        </w:rPr>
      </w:pPr>
      <w:r w:rsidRPr="002A094B">
        <w:rPr>
          <w:rStyle w:val="FootnoteReference"/>
          <w:sz w:val="16"/>
          <w:szCs w:val="16"/>
        </w:rPr>
        <w:footnoteRef/>
      </w:r>
      <w:r w:rsidRPr="002A094B">
        <w:rPr>
          <w:sz w:val="16"/>
          <w:szCs w:val="16"/>
        </w:rPr>
        <w:t xml:space="preserve"> C</w:t>
      </w:r>
      <w:r w:rsidR="008E15A5" w:rsidRPr="002A094B">
        <w:rPr>
          <w:sz w:val="16"/>
          <w:szCs w:val="16"/>
        </w:rPr>
        <w:t xml:space="preserve">onvention </w:t>
      </w:r>
      <w:r w:rsidR="004E27DA" w:rsidRPr="002A094B">
        <w:rPr>
          <w:sz w:val="16"/>
          <w:szCs w:val="16"/>
        </w:rPr>
        <w:t>on the Rights of Person with Disabilities, article</w:t>
      </w:r>
      <w:r w:rsidRPr="002A094B">
        <w:rPr>
          <w:sz w:val="16"/>
          <w:szCs w:val="16"/>
        </w:rPr>
        <w:t xml:space="preserve"> 4(3) </w:t>
      </w:r>
      <w:r w:rsidR="00DC078E" w:rsidRPr="002A094B">
        <w:rPr>
          <w:sz w:val="16"/>
          <w:szCs w:val="16"/>
        </w:rPr>
        <w:t>(entered into force in Australia 16 August 2008).</w:t>
      </w:r>
    </w:p>
  </w:footnote>
  <w:footnote w:id="6">
    <w:p w14:paraId="543C1C94" w14:textId="17295723" w:rsidR="003C2CF2" w:rsidRPr="002A094B" w:rsidRDefault="003C2CF2" w:rsidP="003C2CF2">
      <w:pPr>
        <w:pStyle w:val="FootnoteText"/>
        <w:rPr>
          <w:sz w:val="16"/>
          <w:szCs w:val="16"/>
        </w:rPr>
      </w:pPr>
      <w:r w:rsidRPr="002A094B">
        <w:rPr>
          <w:rStyle w:val="FootnoteReference"/>
          <w:sz w:val="16"/>
          <w:szCs w:val="16"/>
        </w:rPr>
        <w:footnoteRef/>
      </w:r>
      <w:r w:rsidRPr="002A094B">
        <w:rPr>
          <w:sz w:val="16"/>
          <w:szCs w:val="16"/>
        </w:rPr>
        <w:t xml:space="preserve"> </w:t>
      </w:r>
      <w:r w:rsidRPr="002A094B">
        <w:rPr>
          <w:i/>
          <w:iCs/>
          <w:sz w:val="16"/>
          <w:szCs w:val="16"/>
        </w:rPr>
        <w:t xml:space="preserve">Disability Inclusion Act 2014 </w:t>
      </w:r>
      <w:r w:rsidRPr="002A094B">
        <w:rPr>
          <w:sz w:val="16"/>
          <w:szCs w:val="16"/>
        </w:rPr>
        <w:t>(NSW)</w:t>
      </w:r>
      <w:r w:rsidR="00281D84" w:rsidRPr="002A094B">
        <w:rPr>
          <w:sz w:val="16"/>
          <w:szCs w:val="16"/>
        </w:rPr>
        <w:t>,</w:t>
      </w:r>
      <w:r w:rsidRPr="002A094B">
        <w:rPr>
          <w:sz w:val="16"/>
          <w:szCs w:val="16"/>
        </w:rPr>
        <w:t xml:space="preserve"> s 10(2). </w:t>
      </w:r>
    </w:p>
  </w:footnote>
  <w:footnote w:id="7">
    <w:p w14:paraId="21214584" w14:textId="34D5DE8F" w:rsidR="003C2CF2" w:rsidRPr="002A094B" w:rsidRDefault="003C2CF2" w:rsidP="003C2CF2">
      <w:pPr>
        <w:pStyle w:val="FootnoteText"/>
        <w:rPr>
          <w:sz w:val="16"/>
          <w:szCs w:val="16"/>
        </w:rPr>
      </w:pPr>
      <w:r w:rsidRPr="002A094B">
        <w:rPr>
          <w:rStyle w:val="FootnoteReference"/>
          <w:sz w:val="16"/>
          <w:szCs w:val="16"/>
        </w:rPr>
        <w:footnoteRef/>
      </w:r>
      <w:r w:rsidRPr="002A094B">
        <w:rPr>
          <w:sz w:val="16"/>
          <w:szCs w:val="16"/>
        </w:rPr>
        <w:t xml:space="preserve"> Senate Estimates response to Questions on Notice – Senator Stirling Griff,</w:t>
      </w:r>
      <w:r w:rsidR="00816F5F" w:rsidRPr="002A094B">
        <w:rPr>
          <w:sz w:val="16"/>
          <w:szCs w:val="16"/>
        </w:rPr>
        <w:t xml:space="preserve"> 7</w:t>
      </w:r>
      <w:r w:rsidRPr="002A094B">
        <w:rPr>
          <w:sz w:val="16"/>
          <w:szCs w:val="16"/>
        </w:rPr>
        <w:t xml:space="preserve"> April 2022. </w:t>
      </w:r>
    </w:p>
  </w:footnote>
  <w:footnote w:id="8">
    <w:p w14:paraId="14749413" w14:textId="415343D3" w:rsidR="003C2CF2" w:rsidRPr="002A094B" w:rsidRDefault="003C2CF2" w:rsidP="003C2CF2">
      <w:pPr>
        <w:pStyle w:val="FootnoteText"/>
        <w:rPr>
          <w:sz w:val="16"/>
          <w:szCs w:val="16"/>
        </w:rPr>
      </w:pPr>
      <w:r w:rsidRPr="002A094B">
        <w:rPr>
          <w:rStyle w:val="FootnoteReference"/>
          <w:sz w:val="16"/>
          <w:szCs w:val="16"/>
        </w:rPr>
        <w:footnoteRef/>
      </w:r>
      <w:r w:rsidRPr="002A094B">
        <w:rPr>
          <w:sz w:val="16"/>
          <w:szCs w:val="16"/>
        </w:rPr>
        <w:t xml:space="preserve"> </w:t>
      </w:r>
      <w:r w:rsidR="005D6798" w:rsidRPr="002A094B">
        <w:rPr>
          <w:sz w:val="16"/>
          <w:szCs w:val="16"/>
        </w:rPr>
        <w:t xml:space="preserve">See for example </w:t>
      </w:r>
      <w:r w:rsidR="005D6798" w:rsidRPr="002A094B">
        <w:rPr>
          <w:i/>
          <w:iCs/>
          <w:sz w:val="16"/>
          <w:szCs w:val="16"/>
        </w:rPr>
        <w:t>Civil and Administrative Tribunal Act 2013</w:t>
      </w:r>
      <w:r w:rsidR="005D6798" w:rsidRPr="002A094B">
        <w:rPr>
          <w:sz w:val="16"/>
          <w:szCs w:val="16"/>
        </w:rPr>
        <w:t xml:space="preserve"> (NSW)</w:t>
      </w:r>
      <w:r w:rsidR="00281D84" w:rsidRPr="002A094B">
        <w:rPr>
          <w:sz w:val="16"/>
          <w:szCs w:val="16"/>
        </w:rPr>
        <w:t xml:space="preserve">, </w:t>
      </w:r>
      <w:r w:rsidR="005D6798" w:rsidRPr="002A094B">
        <w:rPr>
          <w:sz w:val="16"/>
          <w:szCs w:val="16"/>
        </w:rPr>
        <w:t>s 45(1)(b).</w:t>
      </w:r>
    </w:p>
  </w:footnote>
  <w:footnote w:id="9">
    <w:p w14:paraId="57615C71" w14:textId="7E588E9A" w:rsidR="003C2CF2" w:rsidRPr="002A094B" w:rsidRDefault="003C2CF2" w:rsidP="003C2CF2">
      <w:pPr>
        <w:pStyle w:val="FootnoteText"/>
        <w:rPr>
          <w:sz w:val="16"/>
          <w:szCs w:val="16"/>
        </w:rPr>
      </w:pPr>
      <w:r w:rsidRPr="002A094B">
        <w:rPr>
          <w:rStyle w:val="FootnoteReference"/>
          <w:sz w:val="16"/>
          <w:szCs w:val="16"/>
        </w:rPr>
        <w:footnoteRef/>
      </w:r>
      <w:r w:rsidRPr="002A094B">
        <w:rPr>
          <w:sz w:val="16"/>
          <w:szCs w:val="16"/>
        </w:rPr>
        <w:t xml:space="preserve"> Fair Work Bill 2008 </w:t>
      </w:r>
      <w:r w:rsidR="005D6798" w:rsidRPr="002A094B">
        <w:rPr>
          <w:sz w:val="16"/>
          <w:szCs w:val="16"/>
        </w:rPr>
        <w:t>(</w:t>
      </w:r>
      <w:proofErr w:type="spellStart"/>
      <w:r w:rsidR="005D6798" w:rsidRPr="002A094B">
        <w:rPr>
          <w:sz w:val="16"/>
          <w:szCs w:val="16"/>
        </w:rPr>
        <w:t>Cth</w:t>
      </w:r>
      <w:proofErr w:type="spellEnd"/>
      <w:r w:rsidR="005D6798" w:rsidRPr="002A094B">
        <w:rPr>
          <w:sz w:val="16"/>
          <w:szCs w:val="16"/>
        </w:rPr>
        <w:t>)</w:t>
      </w:r>
      <w:r w:rsidR="00816F5F" w:rsidRPr="002A094B">
        <w:rPr>
          <w:sz w:val="16"/>
          <w:szCs w:val="16"/>
        </w:rPr>
        <w:t xml:space="preserve">, </w:t>
      </w:r>
      <w:r w:rsidR="005D6798" w:rsidRPr="002A094B">
        <w:rPr>
          <w:sz w:val="16"/>
          <w:szCs w:val="16"/>
        </w:rPr>
        <w:t>E</w:t>
      </w:r>
      <w:r w:rsidRPr="002A094B">
        <w:rPr>
          <w:sz w:val="16"/>
          <w:szCs w:val="16"/>
        </w:rPr>
        <w:t xml:space="preserve">xplanatory </w:t>
      </w:r>
      <w:r w:rsidR="00BB0A0B" w:rsidRPr="002A094B">
        <w:rPr>
          <w:sz w:val="16"/>
          <w:szCs w:val="16"/>
        </w:rPr>
        <w:t>M</w:t>
      </w:r>
      <w:r w:rsidRPr="002A094B">
        <w:rPr>
          <w:sz w:val="16"/>
          <w:szCs w:val="16"/>
        </w:rPr>
        <w:t>emorandum</w:t>
      </w:r>
      <w:r w:rsidR="00292C59">
        <w:rPr>
          <w:sz w:val="16"/>
          <w:szCs w:val="16"/>
        </w:rPr>
        <w:t>.</w:t>
      </w:r>
    </w:p>
  </w:footnote>
  <w:footnote w:id="10">
    <w:p w14:paraId="4D243617" w14:textId="4C01EE9D" w:rsidR="003C2CF2" w:rsidRPr="002A094B" w:rsidRDefault="003C2CF2" w:rsidP="003C2CF2">
      <w:pPr>
        <w:pStyle w:val="FootnoteText"/>
        <w:rPr>
          <w:sz w:val="16"/>
          <w:szCs w:val="16"/>
        </w:rPr>
      </w:pPr>
      <w:r w:rsidRPr="002A094B">
        <w:rPr>
          <w:rStyle w:val="FootnoteReference"/>
          <w:sz w:val="16"/>
          <w:szCs w:val="16"/>
        </w:rPr>
        <w:footnoteRef/>
      </w:r>
      <w:r w:rsidRPr="002A094B">
        <w:rPr>
          <w:sz w:val="16"/>
          <w:szCs w:val="16"/>
        </w:rPr>
        <w:t xml:space="preserve"> </w:t>
      </w:r>
      <w:r w:rsidR="005D6798" w:rsidRPr="002A094B">
        <w:rPr>
          <w:sz w:val="16"/>
          <w:szCs w:val="16"/>
        </w:rPr>
        <w:t>Administrative Review Tribunal Bill 2023 (</w:t>
      </w:r>
      <w:proofErr w:type="spellStart"/>
      <w:r w:rsidR="005D6798" w:rsidRPr="002A094B">
        <w:rPr>
          <w:sz w:val="16"/>
          <w:szCs w:val="16"/>
        </w:rPr>
        <w:t>Cth</w:t>
      </w:r>
      <w:proofErr w:type="spellEnd"/>
      <w:r w:rsidR="005D6798" w:rsidRPr="002A094B">
        <w:rPr>
          <w:sz w:val="16"/>
          <w:szCs w:val="16"/>
        </w:rPr>
        <w:t xml:space="preserve">), </w:t>
      </w:r>
      <w:r w:rsidRPr="002A094B">
        <w:rPr>
          <w:sz w:val="16"/>
          <w:szCs w:val="16"/>
        </w:rPr>
        <w:t xml:space="preserve">Explanatory </w:t>
      </w:r>
      <w:r w:rsidR="00BB0A0B" w:rsidRPr="002A094B">
        <w:rPr>
          <w:sz w:val="16"/>
          <w:szCs w:val="16"/>
        </w:rPr>
        <w:t>M</w:t>
      </w:r>
      <w:r w:rsidRPr="002A094B">
        <w:rPr>
          <w:sz w:val="16"/>
          <w:szCs w:val="16"/>
        </w:rPr>
        <w:t>emorandum</w:t>
      </w:r>
      <w:r w:rsidR="00281D84" w:rsidRPr="002A094B">
        <w:rPr>
          <w:sz w:val="16"/>
          <w:szCs w:val="16"/>
        </w:rPr>
        <w:t>,</w:t>
      </w:r>
      <w:r w:rsidRPr="002A094B">
        <w:rPr>
          <w:sz w:val="16"/>
          <w:szCs w:val="16"/>
        </w:rPr>
        <w:t xml:space="preserve"> [157]</w:t>
      </w:r>
      <w:r w:rsidR="00816F5F" w:rsidRPr="002A094B">
        <w:rPr>
          <w:sz w:val="16"/>
          <w:szCs w:val="16"/>
        </w:rPr>
        <w:t>.</w:t>
      </w:r>
    </w:p>
  </w:footnote>
  <w:footnote w:id="11">
    <w:p w14:paraId="013BDE6F" w14:textId="09AB6361" w:rsidR="003C2CF2" w:rsidRPr="002A094B" w:rsidRDefault="003C2CF2" w:rsidP="003C2CF2">
      <w:pPr>
        <w:pStyle w:val="FootnoteText"/>
        <w:rPr>
          <w:sz w:val="16"/>
          <w:szCs w:val="16"/>
        </w:rPr>
      </w:pPr>
      <w:r w:rsidRPr="002A094B">
        <w:rPr>
          <w:rStyle w:val="FootnoteReference"/>
          <w:sz w:val="16"/>
          <w:szCs w:val="16"/>
        </w:rPr>
        <w:footnoteRef/>
      </w:r>
      <w:r w:rsidRPr="002A094B">
        <w:rPr>
          <w:sz w:val="16"/>
          <w:szCs w:val="16"/>
        </w:rPr>
        <w:t xml:space="preserve"> </w:t>
      </w:r>
      <w:r w:rsidR="005D6798" w:rsidRPr="002A094B">
        <w:rPr>
          <w:sz w:val="16"/>
          <w:szCs w:val="16"/>
        </w:rPr>
        <w:t>Administrative Review Tribunal Bill 2023 (</w:t>
      </w:r>
      <w:proofErr w:type="spellStart"/>
      <w:r w:rsidR="005D6798" w:rsidRPr="002A094B">
        <w:rPr>
          <w:sz w:val="16"/>
          <w:szCs w:val="16"/>
        </w:rPr>
        <w:t>Cth</w:t>
      </w:r>
      <w:proofErr w:type="spellEnd"/>
      <w:r w:rsidR="005D6798" w:rsidRPr="002A094B">
        <w:rPr>
          <w:sz w:val="16"/>
          <w:szCs w:val="16"/>
        </w:rPr>
        <w:t xml:space="preserve">), Explanatory </w:t>
      </w:r>
      <w:r w:rsidR="00BB0A0B" w:rsidRPr="002A094B">
        <w:rPr>
          <w:sz w:val="16"/>
          <w:szCs w:val="16"/>
        </w:rPr>
        <w:t>M</w:t>
      </w:r>
      <w:r w:rsidR="005D6798" w:rsidRPr="002A094B">
        <w:rPr>
          <w:sz w:val="16"/>
          <w:szCs w:val="16"/>
        </w:rPr>
        <w:t>emorandum</w:t>
      </w:r>
      <w:r w:rsidR="00281D84" w:rsidRPr="002A094B">
        <w:rPr>
          <w:sz w:val="16"/>
          <w:szCs w:val="16"/>
        </w:rPr>
        <w:t>,</w:t>
      </w:r>
      <w:r w:rsidR="005D6798" w:rsidRPr="002A094B">
        <w:rPr>
          <w:sz w:val="16"/>
          <w:szCs w:val="16"/>
        </w:rPr>
        <w:t xml:space="preserve"> [157]</w:t>
      </w:r>
      <w:r w:rsidR="00816F5F" w:rsidRPr="002A094B">
        <w:rPr>
          <w:sz w:val="16"/>
          <w:szCs w:val="16"/>
        </w:rPr>
        <w:t>.</w:t>
      </w:r>
      <w:r w:rsidR="005D6798" w:rsidRPr="002A094B">
        <w:rPr>
          <w:sz w:val="16"/>
          <w:szCs w:val="16"/>
        </w:rPr>
        <w:t xml:space="preserve"> </w:t>
      </w:r>
    </w:p>
  </w:footnote>
  <w:footnote w:id="12">
    <w:p w14:paraId="70D10623" w14:textId="44C4B3CC" w:rsidR="003C2CF2" w:rsidRPr="002A094B" w:rsidRDefault="003C2CF2" w:rsidP="003C2CF2">
      <w:pPr>
        <w:pStyle w:val="FootnoteText"/>
        <w:rPr>
          <w:sz w:val="16"/>
          <w:szCs w:val="16"/>
        </w:rPr>
      </w:pPr>
      <w:r w:rsidRPr="002A094B">
        <w:rPr>
          <w:rStyle w:val="FootnoteReference"/>
          <w:sz w:val="16"/>
          <w:szCs w:val="16"/>
        </w:rPr>
        <w:footnoteRef/>
      </w:r>
      <w:r w:rsidRPr="002A094B">
        <w:rPr>
          <w:sz w:val="16"/>
          <w:szCs w:val="16"/>
        </w:rPr>
        <w:t xml:space="preserve"> </w:t>
      </w:r>
      <w:r w:rsidR="00816F5F" w:rsidRPr="002A094B">
        <w:rPr>
          <w:sz w:val="16"/>
          <w:szCs w:val="16"/>
        </w:rPr>
        <w:t xml:space="preserve">Committee on the Rights of Persons with Disabilities (2014), </w:t>
      </w:r>
      <w:r w:rsidRPr="002A094B">
        <w:rPr>
          <w:i/>
          <w:iCs/>
          <w:sz w:val="16"/>
          <w:szCs w:val="16"/>
        </w:rPr>
        <w:t>General Comment No.1</w:t>
      </w:r>
      <w:r w:rsidR="00816F5F" w:rsidRPr="002A094B">
        <w:rPr>
          <w:i/>
          <w:iCs/>
          <w:sz w:val="16"/>
          <w:szCs w:val="16"/>
        </w:rPr>
        <w:t>; Article 12: Equal recognition before the law</w:t>
      </w:r>
      <w:r w:rsidR="00816F5F" w:rsidRPr="002A094B">
        <w:rPr>
          <w:sz w:val="16"/>
          <w:szCs w:val="16"/>
        </w:rPr>
        <w:t>, CRPD/C/GC/1.</w:t>
      </w:r>
    </w:p>
  </w:footnote>
  <w:footnote w:id="13">
    <w:p w14:paraId="40B60E2D" w14:textId="77777777" w:rsidR="00573142" w:rsidRPr="002A094B" w:rsidRDefault="00573142" w:rsidP="00573142">
      <w:pPr>
        <w:pStyle w:val="FootnoteText"/>
        <w:rPr>
          <w:sz w:val="16"/>
          <w:szCs w:val="16"/>
        </w:rPr>
      </w:pPr>
      <w:r w:rsidRPr="002A094B">
        <w:rPr>
          <w:rStyle w:val="FootnoteReference"/>
          <w:sz w:val="16"/>
          <w:szCs w:val="16"/>
        </w:rPr>
        <w:footnoteRef/>
      </w:r>
      <w:r w:rsidRPr="002A094B">
        <w:rPr>
          <w:sz w:val="16"/>
          <w:szCs w:val="16"/>
        </w:rPr>
        <w:t xml:space="preserve"> Committee on the Rights of Persons with Disabilities (2014), </w:t>
      </w:r>
      <w:r w:rsidRPr="002A094B">
        <w:rPr>
          <w:i/>
          <w:iCs/>
          <w:sz w:val="16"/>
          <w:szCs w:val="16"/>
        </w:rPr>
        <w:t>General Comment No.1; Article 12: Equal recognition before the law</w:t>
      </w:r>
      <w:r w:rsidRPr="002A094B">
        <w:rPr>
          <w:sz w:val="16"/>
          <w:szCs w:val="16"/>
        </w:rPr>
        <w:t>, CRPD/C/GC/1, [27].</w:t>
      </w:r>
    </w:p>
  </w:footnote>
  <w:footnote w:id="14">
    <w:p w14:paraId="3DCF36AC" w14:textId="7B29D5D3" w:rsidR="003C2CF2" w:rsidRPr="002A094B" w:rsidRDefault="003C2CF2" w:rsidP="003C2CF2">
      <w:pPr>
        <w:pStyle w:val="FootnoteText"/>
        <w:rPr>
          <w:sz w:val="16"/>
          <w:szCs w:val="16"/>
        </w:rPr>
      </w:pPr>
      <w:r w:rsidRPr="002A094B">
        <w:rPr>
          <w:rStyle w:val="FootnoteReference"/>
          <w:sz w:val="16"/>
          <w:szCs w:val="16"/>
        </w:rPr>
        <w:footnoteRef/>
      </w:r>
      <w:r w:rsidRPr="002A094B">
        <w:rPr>
          <w:sz w:val="16"/>
          <w:szCs w:val="16"/>
        </w:rPr>
        <w:t xml:space="preserve"> </w:t>
      </w:r>
      <w:r w:rsidR="005D6798" w:rsidRPr="002A094B">
        <w:rPr>
          <w:sz w:val="16"/>
          <w:szCs w:val="16"/>
        </w:rPr>
        <w:t>Administrative Review Tribunal Bill 2023 (</w:t>
      </w:r>
      <w:proofErr w:type="spellStart"/>
      <w:r w:rsidR="005D6798" w:rsidRPr="002A094B">
        <w:rPr>
          <w:sz w:val="16"/>
          <w:szCs w:val="16"/>
        </w:rPr>
        <w:t>Cth</w:t>
      </w:r>
      <w:proofErr w:type="spellEnd"/>
      <w:r w:rsidR="005D6798" w:rsidRPr="002A094B">
        <w:rPr>
          <w:sz w:val="16"/>
          <w:szCs w:val="16"/>
        </w:rPr>
        <w:t xml:space="preserve">), Explanatory </w:t>
      </w:r>
      <w:r w:rsidR="00BB0A0B" w:rsidRPr="002A094B">
        <w:rPr>
          <w:sz w:val="16"/>
          <w:szCs w:val="16"/>
        </w:rPr>
        <w:t>M</w:t>
      </w:r>
      <w:r w:rsidR="005D6798" w:rsidRPr="002A094B">
        <w:rPr>
          <w:sz w:val="16"/>
          <w:szCs w:val="16"/>
        </w:rPr>
        <w:t>emorandum</w:t>
      </w:r>
      <w:r w:rsidR="00281D84" w:rsidRPr="002A094B">
        <w:rPr>
          <w:sz w:val="16"/>
          <w:szCs w:val="16"/>
        </w:rPr>
        <w:t>,</w:t>
      </w:r>
      <w:r w:rsidR="005D6798" w:rsidRPr="002A094B">
        <w:rPr>
          <w:sz w:val="16"/>
          <w:szCs w:val="16"/>
        </w:rPr>
        <w:t xml:space="preserve"> </w:t>
      </w:r>
      <w:r w:rsidRPr="002A094B">
        <w:rPr>
          <w:sz w:val="16"/>
          <w:szCs w:val="16"/>
        </w:rPr>
        <w:t>[501]</w:t>
      </w:r>
      <w:r w:rsidR="00816F5F" w:rsidRPr="002A094B">
        <w:rPr>
          <w:sz w:val="16"/>
          <w:szCs w:val="16"/>
        </w:rPr>
        <w:t>.</w:t>
      </w:r>
    </w:p>
  </w:footnote>
  <w:footnote w:id="15">
    <w:p w14:paraId="7D1DEE1A" w14:textId="7AF8C498" w:rsidR="003C2CF2" w:rsidRPr="00BB0A0B" w:rsidRDefault="003C2CF2" w:rsidP="003C2CF2">
      <w:pPr>
        <w:pStyle w:val="FootnoteText"/>
        <w:rPr>
          <w:b/>
          <w:sz w:val="16"/>
          <w:szCs w:val="16"/>
        </w:rPr>
      </w:pPr>
      <w:r w:rsidRPr="002A094B">
        <w:rPr>
          <w:rStyle w:val="FootnoteReference"/>
          <w:sz w:val="16"/>
          <w:szCs w:val="16"/>
        </w:rPr>
        <w:footnoteRef/>
      </w:r>
      <w:r w:rsidRPr="002A094B">
        <w:rPr>
          <w:sz w:val="16"/>
          <w:szCs w:val="16"/>
        </w:rPr>
        <w:t xml:space="preserve"> </w:t>
      </w:r>
      <w:r w:rsidR="004C16E2" w:rsidRPr="002A094B">
        <w:rPr>
          <w:sz w:val="16"/>
          <w:szCs w:val="16"/>
        </w:rPr>
        <w:t xml:space="preserve">People with Disability Australia. </w:t>
      </w:r>
      <w:hyperlink r:id="rId1" w:history="1">
        <w:r w:rsidR="00594468" w:rsidRPr="002A094B">
          <w:rPr>
            <w:rStyle w:val="Hyperlink"/>
            <w:b w:val="0"/>
            <w:bCs/>
            <w:i/>
            <w:iCs/>
            <w:sz w:val="16"/>
            <w:szCs w:val="16"/>
          </w:rPr>
          <w:t>Submission to Commonwealth Attorney-General</w:t>
        </w:r>
        <w:r w:rsidR="00A16B81" w:rsidRPr="002A094B">
          <w:rPr>
            <w:rStyle w:val="Hyperlink"/>
            <w:b w:val="0"/>
            <w:bCs/>
            <w:i/>
            <w:iCs/>
            <w:sz w:val="16"/>
            <w:szCs w:val="16"/>
          </w:rPr>
          <w:t xml:space="preserve"> </w:t>
        </w:r>
        <w:r w:rsidR="00594468" w:rsidRPr="002A094B">
          <w:rPr>
            <w:rStyle w:val="Hyperlink"/>
            <w:b w:val="0"/>
            <w:bCs/>
            <w:i/>
            <w:iCs/>
            <w:sz w:val="16"/>
            <w:szCs w:val="16"/>
          </w:rPr>
          <w:t>Department</w:t>
        </w:r>
        <w:r w:rsidR="00A16B81" w:rsidRPr="002A094B">
          <w:rPr>
            <w:rStyle w:val="Hyperlink"/>
            <w:b w:val="0"/>
            <w:bCs/>
            <w:i/>
            <w:iCs/>
            <w:sz w:val="16"/>
            <w:szCs w:val="16"/>
          </w:rPr>
          <w:t>s Administrative Review Reform Issues Paper</w:t>
        </w:r>
      </w:hyperlink>
      <w:r w:rsidR="00A16B81" w:rsidRPr="002A094B">
        <w:rPr>
          <w:sz w:val="16"/>
          <w:szCs w:val="16"/>
        </w:rPr>
        <w:t xml:space="preserve"> (11 May 2023)</w:t>
      </w:r>
      <w:r w:rsidR="00A167AF" w:rsidRPr="002A094B">
        <w:rPr>
          <w:sz w:val="16"/>
          <w:szCs w:val="16"/>
        </w:rPr>
        <w:t>.</w:t>
      </w:r>
      <w:r w:rsidR="00A167AF" w:rsidRPr="00BB0A0B">
        <w:rPr>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0FC5D" w14:textId="77777777" w:rsidR="00665E6E" w:rsidRDefault="00665E6E" w:rsidP="0035331A">
    <w:pPr>
      <w:pStyle w:val="Header"/>
    </w:pPr>
    <w:r>
      <w:rPr>
        <w:noProof/>
        <w:lang w:eastAsia="en-AU"/>
      </w:rPr>
      <w:drawing>
        <wp:anchor distT="0" distB="0" distL="114300" distR="114300" simplePos="0" relativeHeight="251660288" behindDoc="0" locked="1" layoutInCell="1" allowOverlap="1" wp14:anchorId="3FF2B7A7" wp14:editId="5D7C5C8E">
          <wp:simplePos x="0" y="0"/>
          <wp:positionH relativeFrom="page">
            <wp:posOffset>6566535</wp:posOffset>
          </wp:positionH>
          <wp:positionV relativeFrom="page">
            <wp:posOffset>9683115</wp:posOffset>
          </wp:positionV>
          <wp:extent cx="702945" cy="746760"/>
          <wp:effectExtent l="0" t="0" r="1905" b="0"/>
          <wp:wrapNone/>
          <wp:docPr id="20" name="Picture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02945" cy="74676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C81A3" w14:textId="77777777" w:rsidR="00162100" w:rsidRPr="00162100" w:rsidRDefault="0057465D" w:rsidP="0035331A">
    <w:pPr>
      <w:pStyle w:val="Header"/>
      <w:rPr>
        <w:sz w:val="10"/>
        <w:szCs w:val="10"/>
      </w:rPr>
    </w:pPr>
    <w:r>
      <w:ptab w:relativeTo="margin" w:alignment="right" w:leader="none"/>
    </w:r>
  </w:p>
  <w:p w14:paraId="1E3628ED" w14:textId="77777777" w:rsidR="009122C2" w:rsidRPr="0035331A" w:rsidRDefault="009122C2" w:rsidP="0035331A">
    <w:pPr>
      <w:pStyle w:val="Header"/>
      <w:rPr>
        <w:b w:val="0"/>
        <w:bCs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BCE297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28FB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CCCA7B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6B228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F3EF13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4BE94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A67B5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EB41C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8CC908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4C0FD9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121F17"/>
    <w:multiLevelType w:val="multilevel"/>
    <w:tmpl w:val="C0063F0E"/>
    <w:name w:val="PWDA_Numbered"/>
    <w:styleLink w:val="PWDANumbered"/>
    <w:lvl w:ilvl="0">
      <w:start w:val="1"/>
      <w:numFmt w:val="decimal"/>
      <w:lvlText w:val="%1."/>
      <w:lvlJc w:val="left"/>
      <w:pPr>
        <w:ind w:left="454" w:hanging="454"/>
      </w:pPr>
      <w:rPr>
        <w:rFonts w:hint="default"/>
      </w:rPr>
    </w:lvl>
    <w:lvl w:ilvl="1">
      <w:start w:val="1"/>
      <w:numFmt w:val="lowerLetter"/>
      <w:lvlText w:val="%2."/>
      <w:lvlJc w:val="left"/>
      <w:pPr>
        <w:ind w:left="908" w:hanging="454"/>
      </w:pPr>
      <w:rPr>
        <w:rFonts w:hint="default"/>
      </w:rPr>
    </w:lvl>
    <w:lvl w:ilvl="2">
      <w:start w:val="1"/>
      <w:numFmt w:val="lowerRoman"/>
      <w:lvlText w:val="%3."/>
      <w:lvlJc w:val="left"/>
      <w:pPr>
        <w:ind w:left="1362" w:hanging="454"/>
      </w:pPr>
      <w:rPr>
        <w:rFonts w:hint="default"/>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left"/>
      <w:pPr>
        <w:ind w:left="4086" w:hanging="454"/>
      </w:pPr>
      <w:rPr>
        <w:rFonts w:hint="default"/>
      </w:rPr>
    </w:lvl>
  </w:abstractNum>
  <w:abstractNum w:abstractNumId="11" w15:restartNumberingAfterBreak="0">
    <w:nsid w:val="136B26DF"/>
    <w:multiLevelType w:val="hybridMultilevel"/>
    <w:tmpl w:val="A1AE03B6"/>
    <w:lvl w:ilvl="0" w:tplc="FBF2F608">
      <w:start w:val="1"/>
      <w:numFmt w:val="bullet"/>
      <w:pStyle w:val="List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17AD6C89"/>
    <w:multiLevelType w:val="hybridMultilevel"/>
    <w:tmpl w:val="83ACF2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B873497"/>
    <w:multiLevelType w:val="multilevel"/>
    <w:tmpl w:val="26A2851A"/>
    <w:name w:val="PWDA_Bullets2"/>
    <w:numStyleLink w:val="PWDABullets"/>
  </w:abstractNum>
  <w:abstractNum w:abstractNumId="14" w15:restartNumberingAfterBreak="0">
    <w:nsid w:val="24C26EDE"/>
    <w:multiLevelType w:val="multilevel"/>
    <w:tmpl w:val="26A2851A"/>
    <w:name w:val="PWDA_Bullets"/>
    <w:styleLink w:val="PWDABullets"/>
    <w:lvl w:ilvl="0">
      <w:start w:val="1"/>
      <w:numFmt w:val="bullet"/>
      <w:lvlText w:val=""/>
      <w:lvlJc w:val="left"/>
      <w:pPr>
        <w:ind w:left="454" w:hanging="454"/>
      </w:pPr>
      <w:rPr>
        <w:rFonts w:ascii="Symbol" w:hAnsi="Symbol" w:hint="default"/>
        <w:color w:val="005496" w:themeColor="accent1"/>
      </w:rPr>
    </w:lvl>
    <w:lvl w:ilvl="1">
      <w:start w:val="1"/>
      <w:numFmt w:val="bullet"/>
      <w:lvlText w:val=""/>
      <w:lvlJc w:val="left"/>
      <w:pPr>
        <w:ind w:left="908" w:hanging="454"/>
      </w:pPr>
      <w:rPr>
        <w:rFonts w:ascii="Symbol" w:hAnsi="Symbol" w:hint="default"/>
        <w:color w:val="005496" w:themeColor="accent1"/>
      </w:rPr>
    </w:lvl>
    <w:lvl w:ilvl="2">
      <w:start w:val="1"/>
      <w:numFmt w:val="bullet"/>
      <w:lvlText w:val=""/>
      <w:lvlJc w:val="left"/>
      <w:pPr>
        <w:ind w:left="1362" w:hanging="454"/>
      </w:pPr>
      <w:rPr>
        <w:rFonts w:ascii="Symbol" w:hAnsi="Symbol" w:hint="default"/>
        <w:color w:val="005496" w:themeColor="accent1"/>
      </w:rPr>
    </w:lvl>
    <w:lvl w:ilvl="3">
      <w:start w:val="1"/>
      <w:numFmt w:val="bullet"/>
      <w:lvlText w:val=""/>
      <w:lvlJc w:val="left"/>
      <w:pPr>
        <w:ind w:left="1816" w:hanging="454"/>
      </w:pPr>
      <w:rPr>
        <w:rFonts w:ascii="Symbol" w:hAnsi="Symbol" w:hint="default"/>
        <w:color w:val="005496" w:themeColor="accent1"/>
      </w:rPr>
    </w:lvl>
    <w:lvl w:ilvl="4">
      <w:start w:val="1"/>
      <w:numFmt w:val="none"/>
      <w:lvlText w:val=""/>
      <w:lvlJc w:val="left"/>
      <w:pPr>
        <w:ind w:left="2270" w:hanging="454"/>
      </w:pPr>
      <w:rPr>
        <w:rFonts w:hint="default"/>
      </w:rPr>
    </w:lvl>
    <w:lvl w:ilvl="5">
      <w:start w:val="1"/>
      <w:numFmt w:val="none"/>
      <w:lvlText w:val=""/>
      <w:lvlJc w:val="left"/>
      <w:pPr>
        <w:ind w:left="2724" w:hanging="454"/>
      </w:pPr>
      <w:rPr>
        <w:rFonts w:hint="default"/>
      </w:rPr>
    </w:lvl>
    <w:lvl w:ilvl="6">
      <w:start w:val="1"/>
      <w:numFmt w:val="none"/>
      <w:lvlText w:val="%7"/>
      <w:lvlJc w:val="left"/>
      <w:pPr>
        <w:ind w:left="3178" w:hanging="454"/>
      </w:pPr>
      <w:rPr>
        <w:rFonts w:hint="default"/>
      </w:rPr>
    </w:lvl>
    <w:lvl w:ilvl="7">
      <w:start w:val="1"/>
      <w:numFmt w:val="none"/>
      <w:lvlText w:val="%8"/>
      <w:lvlJc w:val="left"/>
      <w:pPr>
        <w:ind w:left="3632" w:hanging="454"/>
      </w:pPr>
      <w:rPr>
        <w:rFonts w:hint="default"/>
      </w:rPr>
    </w:lvl>
    <w:lvl w:ilvl="8">
      <w:start w:val="1"/>
      <w:numFmt w:val="none"/>
      <w:lvlText w:val="%9"/>
      <w:lvlJc w:val="left"/>
      <w:pPr>
        <w:ind w:left="4086" w:hanging="454"/>
      </w:pPr>
      <w:rPr>
        <w:rFonts w:hint="default"/>
      </w:rPr>
    </w:lvl>
  </w:abstractNum>
  <w:abstractNum w:abstractNumId="15" w15:restartNumberingAfterBreak="0">
    <w:nsid w:val="437C1B9D"/>
    <w:multiLevelType w:val="hybridMultilevel"/>
    <w:tmpl w:val="BCEC4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84105B8"/>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612C1673"/>
    <w:multiLevelType w:val="hybridMultilevel"/>
    <w:tmpl w:val="FB48C07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7EE915DB"/>
    <w:multiLevelType w:val="hybridMultilevel"/>
    <w:tmpl w:val="A82AFAA6"/>
    <w:lvl w:ilvl="0" w:tplc="4A3AE642">
      <w:start w:val="1"/>
      <w:numFmt w:val="decimal"/>
      <w:pStyle w:val="ListParagraph"/>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265382516">
    <w:abstractNumId w:val="16"/>
  </w:num>
  <w:num w:numId="2" w16cid:durableId="517503221">
    <w:abstractNumId w:val="14"/>
  </w:num>
  <w:num w:numId="3" w16cid:durableId="14890378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85292769">
    <w:abstractNumId w:val="13"/>
  </w:num>
  <w:num w:numId="5" w16cid:durableId="420834805">
    <w:abstractNumId w:val="10"/>
  </w:num>
  <w:num w:numId="6" w16cid:durableId="9568991">
    <w:abstractNumId w:val="9"/>
  </w:num>
  <w:num w:numId="7" w16cid:durableId="759789539">
    <w:abstractNumId w:val="9"/>
  </w:num>
  <w:num w:numId="8" w16cid:durableId="358554860">
    <w:abstractNumId w:val="11"/>
  </w:num>
  <w:num w:numId="9" w16cid:durableId="1774082375">
    <w:abstractNumId w:val="11"/>
  </w:num>
  <w:num w:numId="10" w16cid:durableId="1561283157">
    <w:abstractNumId w:val="18"/>
  </w:num>
  <w:num w:numId="11" w16cid:durableId="1357199480">
    <w:abstractNumId w:val="7"/>
  </w:num>
  <w:num w:numId="12" w16cid:durableId="1766531488">
    <w:abstractNumId w:val="6"/>
  </w:num>
  <w:num w:numId="13" w16cid:durableId="217060908">
    <w:abstractNumId w:val="5"/>
  </w:num>
  <w:num w:numId="14" w16cid:durableId="301471587">
    <w:abstractNumId w:val="4"/>
  </w:num>
  <w:num w:numId="15" w16cid:durableId="596595108">
    <w:abstractNumId w:val="8"/>
  </w:num>
  <w:num w:numId="16" w16cid:durableId="2097742733">
    <w:abstractNumId w:val="3"/>
  </w:num>
  <w:num w:numId="17" w16cid:durableId="1648053527">
    <w:abstractNumId w:val="2"/>
  </w:num>
  <w:num w:numId="18" w16cid:durableId="1738895572">
    <w:abstractNumId w:val="1"/>
  </w:num>
  <w:num w:numId="19" w16cid:durableId="1080828821">
    <w:abstractNumId w:val="0"/>
  </w:num>
  <w:num w:numId="20" w16cid:durableId="1671565129">
    <w:abstractNumId w:val="12"/>
  </w:num>
  <w:num w:numId="21" w16cid:durableId="375087596">
    <w:abstractNumId w:val="15"/>
  </w:num>
  <w:num w:numId="22" w16cid:durableId="4796132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ocumentProtection w:edit="readOnly" w:formatting="1" w:enforcement="0"/>
  <w:styleLockTheme/>
  <w:styleLockQFSet/>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TA1NDc0MjEwNTcwMTFQ0lEKTi0uzszPAykwNKoFAPo7q7gtAAAA"/>
  </w:docVars>
  <w:rsids>
    <w:rsidRoot w:val="00A43A5A"/>
    <w:rsid w:val="00007484"/>
    <w:rsid w:val="00016449"/>
    <w:rsid w:val="00022451"/>
    <w:rsid w:val="0004322B"/>
    <w:rsid w:val="00056342"/>
    <w:rsid w:val="000643E2"/>
    <w:rsid w:val="00082979"/>
    <w:rsid w:val="00094647"/>
    <w:rsid w:val="000952BC"/>
    <w:rsid w:val="0009665D"/>
    <w:rsid w:val="000A2514"/>
    <w:rsid w:val="000A6856"/>
    <w:rsid w:val="000D49B3"/>
    <w:rsid w:val="000E1DD1"/>
    <w:rsid w:val="000E725E"/>
    <w:rsid w:val="001234CE"/>
    <w:rsid w:val="00124C62"/>
    <w:rsid w:val="00134AE2"/>
    <w:rsid w:val="0014468B"/>
    <w:rsid w:val="00162100"/>
    <w:rsid w:val="0016635C"/>
    <w:rsid w:val="0016690B"/>
    <w:rsid w:val="00172631"/>
    <w:rsid w:val="00175A7E"/>
    <w:rsid w:val="00177F6B"/>
    <w:rsid w:val="001A67EB"/>
    <w:rsid w:val="001B2388"/>
    <w:rsid w:val="001C5F15"/>
    <w:rsid w:val="001D72EB"/>
    <w:rsid w:val="001E4D5C"/>
    <w:rsid w:val="00210798"/>
    <w:rsid w:val="002123D8"/>
    <w:rsid w:val="002251BD"/>
    <w:rsid w:val="00225F42"/>
    <w:rsid w:val="00235A34"/>
    <w:rsid w:val="00241328"/>
    <w:rsid w:val="00247F9A"/>
    <w:rsid w:val="00257AED"/>
    <w:rsid w:val="0026482F"/>
    <w:rsid w:val="0027478B"/>
    <w:rsid w:val="00281D84"/>
    <w:rsid w:val="002913ED"/>
    <w:rsid w:val="00292C59"/>
    <w:rsid w:val="002939D1"/>
    <w:rsid w:val="002956B3"/>
    <w:rsid w:val="00296801"/>
    <w:rsid w:val="002A094B"/>
    <w:rsid w:val="002A6DD5"/>
    <w:rsid w:val="002B7443"/>
    <w:rsid w:val="002D493D"/>
    <w:rsid w:val="002E0D6A"/>
    <w:rsid w:val="002F569B"/>
    <w:rsid w:val="002F6A53"/>
    <w:rsid w:val="00310E3F"/>
    <w:rsid w:val="00323AE7"/>
    <w:rsid w:val="0033681D"/>
    <w:rsid w:val="00351A77"/>
    <w:rsid w:val="0035331A"/>
    <w:rsid w:val="00356592"/>
    <w:rsid w:val="00382057"/>
    <w:rsid w:val="00384D0A"/>
    <w:rsid w:val="00395455"/>
    <w:rsid w:val="003A7D8A"/>
    <w:rsid w:val="003C225A"/>
    <w:rsid w:val="003C2CF2"/>
    <w:rsid w:val="003E3F06"/>
    <w:rsid w:val="003F209F"/>
    <w:rsid w:val="00411002"/>
    <w:rsid w:val="00411AD4"/>
    <w:rsid w:val="00416F74"/>
    <w:rsid w:val="00417A38"/>
    <w:rsid w:val="00427012"/>
    <w:rsid w:val="0046384C"/>
    <w:rsid w:val="00467598"/>
    <w:rsid w:val="004770E2"/>
    <w:rsid w:val="0048175C"/>
    <w:rsid w:val="00485D8C"/>
    <w:rsid w:val="00490F04"/>
    <w:rsid w:val="0049109A"/>
    <w:rsid w:val="004957AF"/>
    <w:rsid w:val="004A0C49"/>
    <w:rsid w:val="004B15FD"/>
    <w:rsid w:val="004B78DF"/>
    <w:rsid w:val="004C16E2"/>
    <w:rsid w:val="004C1729"/>
    <w:rsid w:val="004D2CDE"/>
    <w:rsid w:val="004E0558"/>
    <w:rsid w:val="004E27DA"/>
    <w:rsid w:val="005046CD"/>
    <w:rsid w:val="00504DE6"/>
    <w:rsid w:val="00544CB9"/>
    <w:rsid w:val="00554BAD"/>
    <w:rsid w:val="00557A6C"/>
    <w:rsid w:val="00560251"/>
    <w:rsid w:val="005706AF"/>
    <w:rsid w:val="00571F7F"/>
    <w:rsid w:val="00573142"/>
    <w:rsid w:val="0057465D"/>
    <w:rsid w:val="00575615"/>
    <w:rsid w:val="00584995"/>
    <w:rsid w:val="005913C7"/>
    <w:rsid w:val="00592D37"/>
    <w:rsid w:val="00594468"/>
    <w:rsid w:val="00596CCA"/>
    <w:rsid w:val="005C3A8B"/>
    <w:rsid w:val="005D6798"/>
    <w:rsid w:val="005E4EBA"/>
    <w:rsid w:val="005F3AF7"/>
    <w:rsid w:val="005F5CBD"/>
    <w:rsid w:val="005F630B"/>
    <w:rsid w:val="00601A41"/>
    <w:rsid w:val="0061482E"/>
    <w:rsid w:val="00622817"/>
    <w:rsid w:val="00626901"/>
    <w:rsid w:val="00637733"/>
    <w:rsid w:val="00642BDF"/>
    <w:rsid w:val="00653AA1"/>
    <w:rsid w:val="00660FB3"/>
    <w:rsid w:val="00665E6E"/>
    <w:rsid w:val="006733DA"/>
    <w:rsid w:val="006903CC"/>
    <w:rsid w:val="00696E38"/>
    <w:rsid w:val="006A0333"/>
    <w:rsid w:val="006A5B1D"/>
    <w:rsid w:val="006A6F57"/>
    <w:rsid w:val="006B4B67"/>
    <w:rsid w:val="006C40E0"/>
    <w:rsid w:val="006C4D8E"/>
    <w:rsid w:val="006D6E93"/>
    <w:rsid w:val="006F0A74"/>
    <w:rsid w:val="0070174E"/>
    <w:rsid w:val="0070255E"/>
    <w:rsid w:val="00711FC5"/>
    <w:rsid w:val="00720921"/>
    <w:rsid w:val="00737AF5"/>
    <w:rsid w:val="0074194B"/>
    <w:rsid w:val="00746425"/>
    <w:rsid w:val="00751F64"/>
    <w:rsid w:val="00771157"/>
    <w:rsid w:val="007744FB"/>
    <w:rsid w:val="007753B5"/>
    <w:rsid w:val="007815AD"/>
    <w:rsid w:val="00796A86"/>
    <w:rsid w:val="007B34FD"/>
    <w:rsid w:val="007C0DB9"/>
    <w:rsid w:val="007C2375"/>
    <w:rsid w:val="007C2C0B"/>
    <w:rsid w:val="007E68B5"/>
    <w:rsid w:val="007F3EAE"/>
    <w:rsid w:val="007F4245"/>
    <w:rsid w:val="007F7D2F"/>
    <w:rsid w:val="00810253"/>
    <w:rsid w:val="008129DB"/>
    <w:rsid w:val="008132F0"/>
    <w:rsid w:val="00816F5F"/>
    <w:rsid w:val="008171A9"/>
    <w:rsid w:val="00820C9C"/>
    <w:rsid w:val="00851B78"/>
    <w:rsid w:val="00860DCD"/>
    <w:rsid w:val="0086598F"/>
    <w:rsid w:val="00867F2F"/>
    <w:rsid w:val="00874366"/>
    <w:rsid w:val="0088658F"/>
    <w:rsid w:val="008926A1"/>
    <w:rsid w:val="00894322"/>
    <w:rsid w:val="008948F1"/>
    <w:rsid w:val="0089591F"/>
    <w:rsid w:val="008B477C"/>
    <w:rsid w:val="008B6191"/>
    <w:rsid w:val="008C30C7"/>
    <w:rsid w:val="008D7962"/>
    <w:rsid w:val="008E15A5"/>
    <w:rsid w:val="008E2092"/>
    <w:rsid w:val="008E2BF3"/>
    <w:rsid w:val="008E4408"/>
    <w:rsid w:val="008F1A31"/>
    <w:rsid w:val="009122C2"/>
    <w:rsid w:val="00920BBD"/>
    <w:rsid w:val="00932A37"/>
    <w:rsid w:val="0099361C"/>
    <w:rsid w:val="009955E8"/>
    <w:rsid w:val="009A27C1"/>
    <w:rsid w:val="009B78EE"/>
    <w:rsid w:val="009C5611"/>
    <w:rsid w:val="009D0BBB"/>
    <w:rsid w:val="009D5CD1"/>
    <w:rsid w:val="009E11F4"/>
    <w:rsid w:val="009E12F1"/>
    <w:rsid w:val="009F36B7"/>
    <w:rsid w:val="00A07E31"/>
    <w:rsid w:val="00A167AF"/>
    <w:rsid w:val="00A16B81"/>
    <w:rsid w:val="00A22C57"/>
    <w:rsid w:val="00A2575C"/>
    <w:rsid w:val="00A27EEA"/>
    <w:rsid w:val="00A3763C"/>
    <w:rsid w:val="00A37DEA"/>
    <w:rsid w:val="00A43A5A"/>
    <w:rsid w:val="00A6248E"/>
    <w:rsid w:val="00A67618"/>
    <w:rsid w:val="00A7766F"/>
    <w:rsid w:val="00A80850"/>
    <w:rsid w:val="00A95361"/>
    <w:rsid w:val="00A962D6"/>
    <w:rsid w:val="00AA310E"/>
    <w:rsid w:val="00AB055C"/>
    <w:rsid w:val="00AB41A2"/>
    <w:rsid w:val="00AC7290"/>
    <w:rsid w:val="00AD56D0"/>
    <w:rsid w:val="00AF0C23"/>
    <w:rsid w:val="00AF3053"/>
    <w:rsid w:val="00B008C9"/>
    <w:rsid w:val="00B00A9A"/>
    <w:rsid w:val="00B069B5"/>
    <w:rsid w:val="00B25C49"/>
    <w:rsid w:val="00B32054"/>
    <w:rsid w:val="00B70EB2"/>
    <w:rsid w:val="00B72848"/>
    <w:rsid w:val="00B72BFD"/>
    <w:rsid w:val="00B752B3"/>
    <w:rsid w:val="00B75DA3"/>
    <w:rsid w:val="00B8069E"/>
    <w:rsid w:val="00B91A0C"/>
    <w:rsid w:val="00BB0A0B"/>
    <w:rsid w:val="00BD698A"/>
    <w:rsid w:val="00BE22C8"/>
    <w:rsid w:val="00BF7059"/>
    <w:rsid w:val="00C02BFC"/>
    <w:rsid w:val="00C12590"/>
    <w:rsid w:val="00C13138"/>
    <w:rsid w:val="00C43A48"/>
    <w:rsid w:val="00C63E13"/>
    <w:rsid w:val="00C8427C"/>
    <w:rsid w:val="00C947A5"/>
    <w:rsid w:val="00CA48FC"/>
    <w:rsid w:val="00CA5CFC"/>
    <w:rsid w:val="00CB2E90"/>
    <w:rsid w:val="00CE5E55"/>
    <w:rsid w:val="00CF53F6"/>
    <w:rsid w:val="00D0131B"/>
    <w:rsid w:val="00D03463"/>
    <w:rsid w:val="00D05B5F"/>
    <w:rsid w:val="00D07E7D"/>
    <w:rsid w:val="00D129E5"/>
    <w:rsid w:val="00D13585"/>
    <w:rsid w:val="00D2193E"/>
    <w:rsid w:val="00D247E6"/>
    <w:rsid w:val="00D31A22"/>
    <w:rsid w:val="00D558E0"/>
    <w:rsid w:val="00D664A5"/>
    <w:rsid w:val="00D67E93"/>
    <w:rsid w:val="00D74141"/>
    <w:rsid w:val="00D753A7"/>
    <w:rsid w:val="00D8023A"/>
    <w:rsid w:val="00D84EA8"/>
    <w:rsid w:val="00DB3539"/>
    <w:rsid w:val="00DC078E"/>
    <w:rsid w:val="00DC31D5"/>
    <w:rsid w:val="00DC59AB"/>
    <w:rsid w:val="00DD2437"/>
    <w:rsid w:val="00DD3BA3"/>
    <w:rsid w:val="00DD61C1"/>
    <w:rsid w:val="00DE1E45"/>
    <w:rsid w:val="00DE3C79"/>
    <w:rsid w:val="00DE772E"/>
    <w:rsid w:val="00DF0552"/>
    <w:rsid w:val="00DF4A71"/>
    <w:rsid w:val="00E0176B"/>
    <w:rsid w:val="00E0326D"/>
    <w:rsid w:val="00E11A00"/>
    <w:rsid w:val="00E15C3D"/>
    <w:rsid w:val="00E25D41"/>
    <w:rsid w:val="00E26297"/>
    <w:rsid w:val="00E37839"/>
    <w:rsid w:val="00E56331"/>
    <w:rsid w:val="00E61E50"/>
    <w:rsid w:val="00E73CD3"/>
    <w:rsid w:val="00E8465D"/>
    <w:rsid w:val="00EA2A1C"/>
    <w:rsid w:val="00EA65D1"/>
    <w:rsid w:val="00EA7300"/>
    <w:rsid w:val="00EB701C"/>
    <w:rsid w:val="00ED25E4"/>
    <w:rsid w:val="00ED4A4E"/>
    <w:rsid w:val="00EE538F"/>
    <w:rsid w:val="00EE675C"/>
    <w:rsid w:val="00EF0526"/>
    <w:rsid w:val="00F01942"/>
    <w:rsid w:val="00F11608"/>
    <w:rsid w:val="00F1283C"/>
    <w:rsid w:val="00F16D2A"/>
    <w:rsid w:val="00F250C0"/>
    <w:rsid w:val="00F316CB"/>
    <w:rsid w:val="00F53974"/>
    <w:rsid w:val="00F55383"/>
    <w:rsid w:val="00FA33DB"/>
    <w:rsid w:val="00FA3E42"/>
    <w:rsid w:val="00FA427F"/>
    <w:rsid w:val="00FA50C2"/>
    <w:rsid w:val="00FC276C"/>
    <w:rsid w:val="00FD4C17"/>
    <w:rsid w:val="00FD7ADD"/>
    <w:rsid w:val="00FE1B6A"/>
    <w:rsid w:val="00FF0CC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B818FF"/>
  <w15:docId w15:val="{397C7DDE-F66B-9D4C-8EDC-F438B8E2A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pPr>
        <w:spacing w:after="120" w:line="280" w:lineRule="atLeast"/>
      </w:pPr>
    </w:pPrDefault>
  </w:docDefaults>
  <w:latentStyles w:defLockedState="0" w:defUIPriority="99" w:defSemiHidden="0" w:defUnhideWhenUsed="0" w:defQFormat="0" w:count="376">
    <w:lsdException w:name="Normal" w:uiPriority="0"/>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4" w:unhideWhenUsed="1" w:qFormat="1"/>
    <w:lsdException w:name="heading 6" w:semiHidden="1" w:uiPriority="4" w:unhideWhenUsed="1"/>
    <w:lsdException w:name="heading 7" w:semiHidden="1" w:uiPriority="4" w:unhideWhenUsed="1" w:qFormat="1"/>
    <w:lsdException w:name="heading 8" w:semiHidden="1" w:uiPriority="4" w:unhideWhenUsed="1" w:qFormat="1"/>
    <w:lsdException w:name="heading 9" w:semiHidden="1" w:uiPriority="4"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5"/>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rsid w:val="000E1DD1"/>
    <w:pPr>
      <w:spacing w:before="240" w:after="240" w:line="360" w:lineRule="auto"/>
    </w:pPr>
  </w:style>
  <w:style w:type="paragraph" w:styleId="Heading1">
    <w:name w:val="heading 1"/>
    <w:basedOn w:val="Normal"/>
    <w:next w:val="BodyText"/>
    <w:link w:val="Heading1Char"/>
    <w:uiPriority w:val="1"/>
    <w:qFormat/>
    <w:rsid w:val="008D7962"/>
    <w:pPr>
      <w:keepNext/>
      <w:keepLines/>
      <w:spacing w:after="360"/>
      <w:outlineLvl w:val="0"/>
    </w:pPr>
    <w:rPr>
      <w:rFonts w:ascii="VAG Rounded" w:eastAsiaTheme="majorEastAsia" w:hAnsi="VAG Rounded" w:cstheme="majorBidi"/>
      <w:b/>
      <w:color w:val="005496" w:themeColor="accent1"/>
      <w:spacing w:val="14"/>
      <w:sz w:val="40"/>
      <w:szCs w:val="32"/>
    </w:rPr>
  </w:style>
  <w:style w:type="paragraph" w:styleId="Heading2">
    <w:name w:val="heading 2"/>
    <w:basedOn w:val="Normal"/>
    <w:next w:val="Normal"/>
    <w:link w:val="Heading2Char"/>
    <w:uiPriority w:val="1"/>
    <w:qFormat/>
    <w:rsid w:val="00867F2F"/>
    <w:pPr>
      <w:keepNext/>
      <w:keepLines/>
      <w:spacing w:after="0"/>
      <w:outlineLvl w:val="1"/>
    </w:pPr>
    <w:rPr>
      <w:rFonts w:ascii="VAG Rounded" w:eastAsiaTheme="majorEastAsia" w:hAnsi="VAG Rounded" w:cstheme="majorBidi"/>
      <w:color w:val="005496" w:themeColor="accent1"/>
      <w:sz w:val="36"/>
      <w:szCs w:val="26"/>
    </w:rPr>
  </w:style>
  <w:style w:type="paragraph" w:styleId="Heading3">
    <w:name w:val="heading 3"/>
    <w:basedOn w:val="Normal"/>
    <w:next w:val="Normal"/>
    <w:link w:val="Heading3Char"/>
    <w:uiPriority w:val="1"/>
    <w:qFormat/>
    <w:rsid w:val="00867F2F"/>
    <w:pPr>
      <w:keepNext/>
      <w:keepLines/>
      <w:spacing w:before="0"/>
      <w:outlineLvl w:val="2"/>
    </w:pPr>
    <w:rPr>
      <w:rFonts w:ascii="VAG Rounded" w:eastAsiaTheme="majorEastAsia" w:hAnsi="VAG Rounded" w:cstheme="majorBidi"/>
      <w:color w:val="00884F" w:themeColor="accent2"/>
      <w:sz w:val="32"/>
      <w:szCs w:val="32"/>
    </w:rPr>
  </w:style>
  <w:style w:type="paragraph" w:styleId="Heading4">
    <w:name w:val="heading 4"/>
    <w:basedOn w:val="Normal"/>
    <w:next w:val="Normal"/>
    <w:link w:val="Heading4Char"/>
    <w:uiPriority w:val="1"/>
    <w:qFormat/>
    <w:rsid w:val="008D7962"/>
    <w:pPr>
      <w:keepNext/>
      <w:keepLines/>
      <w:outlineLvl w:val="3"/>
    </w:pPr>
    <w:rPr>
      <w:rFonts w:asciiTheme="majorHAnsi" w:eastAsiaTheme="majorEastAsia" w:hAnsiTheme="majorHAnsi" w:cstheme="majorBidi"/>
      <w:b/>
      <w:iCs/>
      <w:color w:val="005496" w:themeColor="accent1"/>
      <w:sz w:val="28"/>
    </w:rPr>
  </w:style>
  <w:style w:type="paragraph" w:styleId="Heading5">
    <w:name w:val="heading 5"/>
    <w:basedOn w:val="Normal"/>
    <w:next w:val="Normal"/>
    <w:link w:val="Heading5Char"/>
    <w:uiPriority w:val="1"/>
    <w:unhideWhenUsed/>
    <w:qFormat/>
    <w:rsid w:val="0016635C"/>
    <w:pPr>
      <w:keepNext/>
      <w:keepLines/>
      <w:spacing w:before="40" w:after="0"/>
      <w:outlineLvl w:val="4"/>
    </w:pPr>
    <w:rPr>
      <w:rFonts w:asciiTheme="majorHAnsi" w:eastAsiaTheme="majorEastAsia" w:hAnsiTheme="majorHAnsi" w:cstheme="majorBidi"/>
      <w:b/>
      <w:color w:val="005496"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558E0"/>
    <w:rPr>
      <w:rFonts w:ascii="VAG Rounded" w:eastAsiaTheme="majorEastAsia" w:hAnsi="VAG Rounded" w:cstheme="majorBidi"/>
      <w:b/>
      <w:color w:val="005496" w:themeColor="accent1"/>
      <w:spacing w:val="14"/>
      <w:sz w:val="40"/>
      <w:szCs w:val="32"/>
    </w:rPr>
  </w:style>
  <w:style w:type="paragraph" w:customStyle="1" w:styleId="PWDAContacts">
    <w:name w:val="PWDA Contacts"/>
    <w:uiPriority w:val="5"/>
    <w:qFormat/>
    <w:rsid w:val="002D493D"/>
    <w:pPr>
      <w:spacing w:before="80" w:after="0" w:line="360" w:lineRule="auto"/>
    </w:pPr>
  </w:style>
  <w:style w:type="character" w:customStyle="1" w:styleId="PWDAContactsHeading">
    <w:name w:val="PWDA Contacts Heading"/>
    <w:basedOn w:val="DefaultParagraphFont"/>
    <w:uiPriority w:val="5"/>
    <w:rsid w:val="001E4D5C"/>
    <w:rPr>
      <w:rFonts w:ascii="VAGblake" w:hAnsi="VAGblake"/>
      <w:b/>
      <w:color w:val="005496" w:themeColor="text2"/>
    </w:rPr>
  </w:style>
  <w:style w:type="paragraph" w:styleId="Header">
    <w:name w:val="header"/>
    <w:basedOn w:val="TableGap"/>
    <w:link w:val="HeaderChar"/>
    <w:uiPriority w:val="99"/>
    <w:unhideWhenUsed/>
    <w:rsid w:val="005F3AF7"/>
    <w:pPr>
      <w:spacing w:before="0" w:line="360" w:lineRule="auto"/>
    </w:pPr>
    <w:rPr>
      <w:rFonts w:cs="Arial"/>
      <w:b/>
      <w:bCs/>
      <w:color w:val="005496" w:themeColor="accent1"/>
      <w:sz w:val="24"/>
      <w:szCs w:val="48"/>
    </w:rPr>
  </w:style>
  <w:style w:type="character" w:customStyle="1" w:styleId="HeaderChar">
    <w:name w:val="Header Char"/>
    <w:basedOn w:val="DefaultParagraphFont"/>
    <w:link w:val="Header"/>
    <w:uiPriority w:val="99"/>
    <w:rsid w:val="005F3AF7"/>
    <w:rPr>
      <w:rFonts w:cs="Arial"/>
      <w:b/>
      <w:bCs/>
      <w:color w:val="005496" w:themeColor="accent1"/>
      <w:szCs w:val="48"/>
    </w:rPr>
  </w:style>
  <w:style w:type="paragraph" w:styleId="Footer">
    <w:name w:val="footer"/>
    <w:basedOn w:val="Normal"/>
    <w:link w:val="FooterChar"/>
    <w:uiPriority w:val="99"/>
    <w:unhideWhenUsed/>
    <w:rsid w:val="004B15FD"/>
    <w:pPr>
      <w:tabs>
        <w:tab w:val="center" w:pos="4680"/>
        <w:tab w:val="right" w:pos="9360"/>
      </w:tabs>
      <w:spacing w:after="0" w:line="240" w:lineRule="auto"/>
    </w:pPr>
    <w:rPr>
      <w:rFonts w:ascii="VAG Rounded" w:hAnsi="VAG Rounded"/>
      <w:color w:val="00884F" w:themeColor="accent2"/>
    </w:rPr>
  </w:style>
  <w:style w:type="character" w:customStyle="1" w:styleId="FooterChar">
    <w:name w:val="Footer Char"/>
    <w:basedOn w:val="DefaultParagraphFont"/>
    <w:link w:val="Footer"/>
    <w:uiPriority w:val="99"/>
    <w:rsid w:val="004B15FD"/>
    <w:rPr>
      <w:rFonts w:ascii="VAG Rounded" w:hAnsi="VAG Rounded"/>
      <w:color w:val="00884F" w:themeColor="accent2"/>
    </w:rPr>
  </w:style>
  <w:style w:type="paragraph" w:styleId="TOC1">
    <w:name w:val="toc 1"/>
    <w:basedOn w:val="Normal"/>
    <w:next w:val="Normal"/>
    <w:autoRedefine/>
    <w:uiPriority w:val="39"/>
    <w:rsid w:val="0070255E"/>
    <w:pPr>
      <w:pBdr>
        <w:bottom w:val="single" w:sz="4" w:space="3" w:color="auto"/>
        <w:between w:val="single" w:sz="4" w:space="3" w:color="auto"/>
      </w:pBdr>
      <w:tabs>
        <w:tab w:val="right" w:pos="9628"/>
      </w:tabs>
      <w:spacing w:after="0"/>
    </w:pPr>
    <w:rPr>
      <w:noProof/>
    </w:rPr>
  </w:style>
  <w:style w:type="character" w:styleId="Hyperlink">
    <w:name w:val="Hyperlink"/>
    <w:basedOn w:val="DefaultParagraphFont"/>
    <w:uiPriority w:val="99"/>
    <w:unhideWhenUsed/>
    <w:qFormat/>
    <w:rsid w:val="00560251"/>
    <w:rPr>
      <w:b/>
      <w:i w:val="0"/>
      <w:color w:val="005496"/>
      <w:u w:val="none"/>
    </w:rPr>
  </w:style>
  <w:style w:type="paragraph" w:styleId="TOCHeading">
    <w:name w:val="TOC Heading"/>
    <w:basedOn w:val="Heading1"/>
    <w:next w:val="Normal"/>
    <w:uiPriority w:val="39"/>
    <w:qFormat/>
    <w:rsid w:val="008E2BF3"/>
    <w:pPr>
      <w:spacing w:after="240"/>
      <w:outlineLvl w:val="9"/>
    </w:pPr>
    <w:rPr>
      <w:lang w:val="en-US"/>
    </w:rPr>
  </w:style>
  <w:style w:type="character" w:customStyle="1" w:styleId="Heading2Char">
    <w:name w:val="Heading 2 Char"/>
    <w:basedOn w:val="DefaultParagraphFont"/>
    <w:link w:val="Heading2"/>
    <w:uiPriority w:val="1"/>
    <w:rsid w:val="00867F2F"/>
    <w:rPr>
      <w:rFonts w:ascii="VAG Rounded" w:eastAsiaTheme="majorEastAsia" w:hAnsi="VAG Rounded" w:cstheme="majorBidi"/>
      <w:color w:val="005496" w:themeColor="accent1"/>
      <w:sz w:val="36"/>
      <w:szCs w:val="26"/>
    </w:rPr>
  </w:style>
  <w:style w:type="character" w:customStyle="1" w:styleId="Heading3Char">
    <w:name w:val="Heading 3 Char"/>
    <w:basedOn w:val="DefaultParagraphFont"/>
    <w:link w:val="Heading3"/>
    <w:uiPriority w:val="1"/>
    <w:rsid w:val="00867F2F"/>
    <w:rPr>
      <w:rFonts w:ascii="VAG Rounded" w:eastAsiaTheme="majorEastAsia" w:hAnsi="VAG Rounded" w:cstheme="majorBidi"/>
      <w:color w:val="00884F" w:themeColor="accent2"/>
      <w:sz w:val="32"/>
      <w:szCs w:val="32"/>
    </w:rPr>
  </w:style>
  <w:style w:type="paragraph" w:customStyle="1" w:styleId="TableGap">
    <w:name w:val="Table Gap"/>
    <w:basedOn w:val="Normal"/>
    <w:uiPriority w:val="5"/>
    <w:rsid w:val="001A67EB"/>
    <w:pPr>
      <w:spacing w:after="0" w:line="240" w:lineRule="auto"/>
    </w:pPr>
    <w:rPr>
      <w:sz w:val="6"/>
    </w:rPr>
  </w:style>
  <w:style w:type="paragraph" w:customStyle="1" w:styleId="Bullet1">
    <w:name w:val="Bullet 1"/>
    <w:basedOn w:val="Normal"/>
    <w:uiPriority w:val="1"/>
    <w:semiHidden/>
    <w:qFormat/>
    <w:rsid w:val="001234CE"/>
  </w:style>
  <w:style w:type="paragraph" w:styleId="ListParagraph">
    <w:name w:val="List Paragraph"/>
    <w:aliases w:val="Numbered List"/>
    <w:basedOn w:val="Normal"/>
    <w:link w:val="ListParagraphChar"/>
    <w:uiPriority w:val="34"/>
    <w:qFormat/>
    <w:rsid w:val="0086598F"/>
    <w:pPr>
      <w:numPr>
        <w:numId w:val="10"/>
      </w:numPr>
    </w:pPr>
  </w:style>
  <w:style w:type="numbering" w:customStyle="1" w:styleId="PWDABullets">
    <w:name w:val="PWDA_Bullets"/>
    <w:uiPriority w:val="99"/>
    <w:rsid w:val="001234CE"/>
    <w:pPr>
      <w:numPr>
        <w:numId w:val="2"/>
      </w:numPr>
    </w:pPr>
  </w:style>
  <w:style w:type="paragraph" w:customStyle="1" w:styleId="NumberedMultiList">
    <w:name w:val="Numbered Multi List"/>
    <w:basedOn w:val="Normal"/>
    <w:uiPriority w:val="1"/>
    <w:semiHidden/>
    <w:qFormat/>
    <w:rsid w:val="00C02BFC"/>
  </w:style>
  <w:style w:type="numbering" w:customStyle="1" w:styleId="PWDANumbered">
    <w:name w:val="PWDA_Numbered"/>
    <w:uiPriority w:val="99"/>
    <w:rsid w:val="00C02BFC"/>
    <w:pPr>
      <w:numPr>
        <w:numId w:val="5"/>
      </w:numPr>
    </w:pPr>
  </w:style>
  <w:style w:type="character" w:customStyle="1" w:styleId="UnresolvedMention1">
    <w:name w:val="Unresolved Mention1"/>
    <w:basedOn w:val="DefaultParagraphFont"/>
    <w:uiPriority w:val="99"/>
    <w:semiHidden/>
    <w:unhideWhenUsed/>
    <w:rsid w:val="00C02BFC"/>
    <w:rPr>
      <w:color w:val="808080"/>
      <w:shd w:val="clear" w:color="auto" w:fill="E6E6E6"/>
    </w:rPr>
  </w:style>
  <w:style w:type="table" w:styleId="TableGrid">
    <w:name w:val="Table Grid"/>
    <w:basedOn w:val="TableNormal"/>
    <w:uiPriority w:val="39"/>
    <w:rsid w:val="008943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
    <w:name w:val="Grid Table 5 Dark - Accent 11"/>
    <w:basedOn w:val="TableNormal"/>
    <w:uiPriority w:val="50"/>
    <w:rsid w:val="00CA48F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7DF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5496"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5496"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5496"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5496" w:themeFill="accent1"/>
      </w:tcPr>
    </w:tblStylePr>
    <w:tblStylePr w:type="band1Vert">
      <w:tblPr/>
      <w:tcPr>
        <w:shd w:val="clear" w:color="auto" w:fill="6FBFFF" w:themeFill="accent1" w:themeFillTint="66"/>
      </w:tcPr>
    </w:tblStylePr>
    <w:tblStylePr w:type="band1Horz">
      <w:tblPr/>
      <w:tcPr>
        <w:shd w:val="clear" w:color="auto" w:fill="6FBFFF" w:themeFill="accent1" w:themeFillTint="66"/>
      </w:tcPr>
    </w:tblStylePr>
  </w:style>
  <w:style w:type="table" w:customStyle="1" w:styleId="GridTable4-Accent11">
    <w:name w:val="Grid Table 4 - Accent 11"/>
    <w:basedOn w:val="TableNormal"/>
    <w:uiPriority w:val="49"/>
    <w:rsid w:val="00CA48FC"/>
    <w:pPr>
      <w:spacing w:after="0" w:line="240" w:lineRule="auto"/>
    </w:pPr>
    <w:tblPr>
      <w:tblStyleRowBandSize w:val="1"/>
      <w:tblStyleColBandSize w:val="1"/>
      <w:tblBorders>
        <w:top w:val="single" w:sz="4" w:space="0" w:color="279FFF" w:themeColor="accent1" w:themeTint="99"/>
        <w:left w:val="single" w:sz="4" w:space="0" w:color="279FFF" w:themeColor="accent1" w:themeTint="99"/>
        <w:bottom w:val="single" w:sz="4" w:space="0" w:color="279FFF" w:themeColor="accent1" w:themeTint="99"/>
        <w:right w:val="single" w:sz="4" w:space="0" w:color="279FFF" w:themeColor="accent1" w:themeTint="99"/>
        <w:insideH w:val="single" w:sz="4" w:space="0" w:color="279FFF" w:themeColor="accent1" w:themeTint="99"/>
        <w:insideV w:val="single" w:sz="4" w:space="0" w:color="279FFF" w:themeColor="accent1" w:themeTint="99"/>
      </w:tblBorders>
    </w:tblPr>
    <w:tblStylePr w:type="firstRow">
      <w:rPr>
        <w:b/>
        <w:bCs/>
        <w:color w:val="FFFFFF" w:themeColor="background1"/>
      </w:rPr>
      <w:tblPr/>
      <w:tcPr>
        <w:tcBorders>
          <w:top w:val="single" w:sz="4" w:space="0" w:color="005496" w:themeColor="accent1"/>
          <w:left w:val="single" w:sz="4" w:space="0" w:color="005496" w:themeColor="accent1"/>
          <w:bottom w:val="single" w:sz="4" w:space="0" w:color="005496" w:themeColor="accent1"/>
          <w:right w:val="single" w:sz="4" w:space="0" w:color="005496" w:themeColor="accent1"/>
          <w:insideH w:val="nil"/>
          <w:insideV w:val="nil"/>
        </w:tcBorders>
        <w:shd w:val="clear" w:color="auto" w:fill="005496" w:themeFill="accent1"/>
      </w:tcPr>
    </w:tblStylePr>
    <w:tblStylePr w:type="lastRow">
      <w:rPr>
        <w:b/>
        <w:bCs/>
      </w:rPr>
      <w:tblPr/>
      <w:tcPr>
        <w:tcBorders>
          <w:top w:val="double" w:sz="4" w:space="0" w:color="005496" w:themeColor="accent1"/>
        </w:tcBorders>
      </w:tcPr>
    </w:tblStylePr>
    <w:tblStylePr w:type="firstCol">
      <w:rPr>
        <w:b/>
        <w:bCs/>
      </w:rPr>
    </w:tblStylePr>
    <w:tblStylePr w:type="lastCol">
      <w:rPr>
        <w:b/>
        <w:bCs/>
      </w:rPr>
    </w:tblStylePr>
    <w:tblStylePr w:type="band1Vert">
      <w:tblPr/>
      <w:tcPr>
        <w:shd w:val="clear" w:color="auto" w:fill="B7DFFF" w:themeFill="accent1" w:themeFillTint="33"/>
      </w:tcPr>
    </w:tblStylePr>
    <w:tblStylePr w:type="band1Horz">
      <w:tblPr/>
      <w:tcPr>
        <w:shd w:val="clear" w:color="auto" w:fill="B7DFFF" w:themeFill="accent1" w:themeFillTint="33"/>
      </w:tcPr>
    </w:tblStylePr>
  </w:style>
  <w:style w:type="paragraph" w:styleId="Title">
    <w:name w:val="Title"/>
    <w:basedOn w:val="Normal"/>
    <w:next w:val="Normal"/>
    <w:link w:val="TitleChar"/>
    <w:uiPriority w:val="4"/>
    <w:semiHidden/>
    <w:rsid w:val="000952BC"/>
    <w:pPr>
      <w:spacing w:after="0" w:line="1080" w:lineRule="atLeast"/>
      <w:contextualSpacing/>
    </w:pPr>
    <w:rPr>
      <w:rFonts w:asciiTheme="majorHAnsi" w:eastAsiaTheme="majorEastAsia" w:hAnsiTheme="majorHAnsi" w:cstheme="majorBidi"/>
      <w:color w:val="FFFFFF" w:themeColor="background1"/>
      <w:spacing w:val="-10"/>
      <w:kern w:val="28"/>
      <w:sz w:val="108"/>
      <w:szCs w:val="56"/>
    </w:rPr>
  </w:style>
  <w:style w:type="character" w:customStyle="1" w:styleId="TitleChar">
    <w:name w:val="Title Char"/>
    <w:basedOn w:val="DefaultParagraphFont"/>
    <w:link w:val="Title"/>
    <w:uiPriority w:val="4"/>
    <w:semiHidden/>
    <w:rsid w:val="00D558E0"/>
    <w:rPr>
      <w:rFonts w:asciiTheme="majorHAnsi" w:eastAsiaTheme="majorEastAsia" w:hAnsiTheme="majorHAnsi" w:cstheme="majorBidi"/>
      <w:color w:val="FFFFFF" w:themeColor="background1"/>
      <w:spacing w:val="-10"/>
      <w:kern w:val="28"/>
      <w:sz w:val="108"/>
      <w:szCs w:val="56"/>
    </w:rPr>
  </w:style>
  <w:style w:type="paragraph" w:customStyle="1" w:styleId="TitleDate">
    <w:name w:val="Title Date"/>
    <w:uiPriority w:val="4"/>
    <w:rsid w:val="000952BC"/>
    <w:pPr>
      <w:spacing w:after="0" w:line="240" w:lineRule="auto"/>
    </w:pPr>
    <w:rPr>
      <w:caps/>
      <w:color w:val="FFFFFF" w:themeColor="background1"/>
      <w:sz w:val="38"/>
    </w:rPr>
  </w:style>
  <w:style w:type="character" w:customStyle="1" w:styleId="Heading4Char">
    <w:name w:val="Heading 4 Char"/>
    <w:basedOn w:val="DefaultParagraphFont"/>
    <w:link w:val="Heading4"/>
    <w:uiPriority w:val="1"/>
    <w:rsid w:val="00D558E0"/>
    <w:rPr>
      <w:rFonts w:asciiTheme="majorHAnsi" w:eastAsiaTheme="majorEastAsia" w:hAnsiTheme="majorHAnsi" w:cstheme="majorBidi"/>
      <w:b/>
      <w:iCs/>
      <w:color w:val="005496" w:themeColor="accent1"/>
      <w:sz w:val="28"/>
    </w:rPr>
  </w:style>
  <w:style w:type="paragraph" w:styleId="Caption">
    <w:name w:val="caption"/>
    <w:basedOn w:val="Normal"/>
    <w:next w:val="Normal"/>
    <w:uiPriority w:val="35"/>
    <w:unhideWhenUsed/>
    <w:qFormat/>
    <w:rsid w:val="002956B3"/>
    <w:pPr>
      <w:keepNext/>
      <w:spacing w:after="200" w:line="240" w:lineRule="auto"/>
    </w:pPr>
    <w:rPr>
      <w:iCs/>
      <w:color w:val="005496" w:themeColor="text2"/>
      <w:szCs w:val="18"/>
    </w:rPr>
  </w:style>
  <w:style w:type="paragraph" w:customStyle="1" w:styleId="AddressBlockdate">
    <w:name w:val="Address Block &amp; date"/>
    <w:basedOn w:val="Normal"/>
    <w:uiPriority w:val="3"/>
    <w:qFormat/>
    <w:rsid w:val="00696E38"/>
    <w:pPr>
      <w:spacing w:before="0" w:after="0"/>
      <w:contextualSpacing/>
    </w:pPr>
    <w:rPr>
      <w:b/>
    </w:rPr>
  </w:style>
  <w:style w:type="paragraph" w:customStyle="1" w:styleId="BasicParagraph">
    <w:name w:val="[Basic Paragraph]"/>
    <w:basedOn w:val="Normal"/>
    <w:uiPriority w:val="99"/>
    <w:rsid w:val="002A6DD5"/>
    <w:pPr>
      <w:autoSpaceDE w:val="0"/>
      <w:autoSpaceDN w:val="0"/>
      <w:adjustRightInd w:val="0"/>
      <w:spacing w:after="0" w:line="288" w:lineRule="auto"/>
      <w:textAlignment w:val="center"/>
    </w:pPr>
    <w:rPr>
      <w:rFonts w:ascii="MinionPro-Regular" w:hAnsi="MinionPro-Regular" w:cs="MinionPro-Regular"/>
      <w:color w:val="000000"/>
      <w:lang w:val="en-US"/>
    </w:rPr>
  </w:style>
  <w:style w:type="character" w:styleId="UnresolvedMention">
    <w:name w:val="Unresolved Mention"/>
    <w:basedOn w:val="DefaultParagraphFont"/>
    <w:uiPriority w:val="99"/>
    <w:semiHidden/>
    <w:unhideWhenUsed/>
    <w:rsid w:val="00B32054"/>
    <w:rPr>
      <w:color w:val="605E5C"/>
      <w:shd w:val="clear" w:color="auto" w:fill="E1DFDD"/>
    </w:rPr>
  </w:style>
  <w:style w:type="paragraph" w:styleId="BodyText">
    <w:name w:val="Body Text"/>
    <w:basedOn w:val="Normal"/>
    <w:link w:val="BodyTextChar"/>
    <w:qFormat/>
    <w:rsid w:val="002D493D"/>
  </w:style>
  <w:style w:type="character" w:customStyle="1" w:styleId="BodyTextChar">
    <w:name w:val="Body Text Char"/>
    <w:basedOn w:val="DefaultParagraphFont"/>
    <w:link w:val="BodyText"/>
    <w:rsid w:val="002D493D"/>
  </w:style>
  <w:style w:type="paragraph" w:styleId="ListBullet">
    <w:name w:val="List Bullet"/>
    <w:aliases w:val="Bullet List"/>
    <w:basedOn w:val="Normal"/>
    <w:uiPriority w:val="2"/>
    <w:qFormat/>
    <w:rsid w:val="0086598F"/>
    <w:pPr>
      <w:numPr>
        <w:numId w:val="9"/>
      </w:numPr>
    </w:pPr>
  </w:style>
  <w:style w:type="character" w:customStyle="1" w:styleId="ListParagraphChar">
    <w:name w:val="List Paragraph Char"/>
    <w:aliases w:val="Numbered List Char"/>
    <w:link w:val="ListParagraph"/>
    <w:uiPriority w:val="1"/>
    <w:qFormat/>
    <w:rsid w:val="0086598F"/>
  </w:style>
  <w:style w:type="character" w:styleId="EndnoteReference">
    <w:name w:val="endnote reference"/>
    <w:basedOn w:val="DefaultParagraphFont"/>
    <w:uiPriority w:val="99"/>
    <w:unhideWhenUsed/>
    <w:rsid w:val="002956B3"/>
    <w:rPr>
      <w:rFonts w:asciiTheme="minorHAnsi" w:hAnsiTheme="minorHAnsi"/>
      <w:b/>
      <w:sz w:val="24"/>
      <w:vertAlign w:val="superscript"/>
    </w:rPr>
  </w:style>
  <w:style w:type="paragraph" w:styleId="EndnoteText">
    <w:name w:val="endnote text"/>
    <w:basedOn w:val="Normal"/>
    <w:link w:val="EndnoteTextChar"/>
    <w:uiPriority w:val="99"/>
    <w:unhideWhenUsed/>
    <w:rsid w:val="002956B3"/>
    <w:pPr>
      <w:spacing w:after="0" w:line="240" w:lineRule="auto"/>
    </w:pPr>
    <w:rPr>
      <w:szCs w:val="20"/>
    </w:rPr>
  </w:style>
  <w:style w:type="character" w:customStyle="1" w:styleId="EndnoteTextChar">
    <w:name w:val="Endnote Text Char"/>
    <w:basedOn w:val="DefaultParagraphFont"/>
    <w:link w:val="EndnoteText"/>
    <w:uiPriority w:val="99"/>
    <w:rsid w:val="002956B3"/>
    <w:rPr>
      <w:szCs w:val="20"/>
    </w:rPr>
  </w:style>
  <w:style w:type="character" w:styleId="FootnoteReference">
    <w:name w:val="footnote reference"/>
    <w:basedOn w:val="DefaultParagraphFont"/>
    <w:uiPriority w:val="99"/>
    <w:semiHidden/>
    <w:unhideWhenUsed/>
    <w:rsid w:val="008171A9"/>
    <w:rPr>
      <w:vertAlign w:val="superscript"/>
    </w:rPr>
  </w:style>
  <w:style w:type="character" w:styleId="PlaceholderText">
    <w:name w:val="Placeholder Text"/>
    <w:basedOn w:val="DefaultParagraphFont"/>
    <w:uiPriority w:val="99"/>
    <w:semiHidden/>
    <w:rsid w:val="00DF4A71"/>
    <w:rPr>
      <w:color w:val="808080"/>
    </w:rPr>
  </w:style>
  <w:style w:type="character" w:customStyle="1" w:styleId="Heading5Char">
    <w:name w:val="Heading 5 Char"/>
    <w:basedOn w:val="DefaultParagraphFont"/>
    <w:link w:val="Heading5"/>
    <w:uiPriority w:val="1"/>
    <w:rsid w:val="00D558E0"/>
    <w:rPr>
      <w:rFonts w:asciiTheme="majorHAnsi" w:eastAsiaTheme="majorEastAsia" w:hAnsiTheme="majorHAnsi" w:cstheme="majorBidi"/>
      <w:b/>
      <w:color w:val="005496" w:themeColor="text2"/>
    </w:rPr>
  </w:style>
  <w:style w:type="character" w:styleId="SubtleEmphasis">
    <w:name w:val="Subtle Emphasis"/>
    <w:basedOn w:val="DefaultParagraphFont"/>
    <w:uiPriority w:val="19"/>
    <w:qFormat/>
    <w:rsid w:val="002D493D"/>
    <w:rPr>
      <w:rFonts w:asciiTheme="minorHAnsi" w:hAnsiTheme="minorHAnsi"/>
      <w:i w:val="0"/>
      <w:iCs/>
      <w:color w:val="005496" w:themeColor="text2"/>
    </w:rPr>
  </w:style>
  <w:style w:type="character" w:styleId="Emphasis">
    <w:name w:val="Emphasis"/>
    <w:basedOn w:val="DefaultParagraphFont"/>
    <w:uiPriority w:val="20"/>
    <w:qFormat/>
    <w:rsid w:val="002D493D"/>
    <w:rPr>
      <w:rFonts w:asciiTheme="minorHAnsi" w:hAnsiTheme="minorHAnsi"/>
      <w:b w:val="0"/>
      <w:i w:val="0"/>
      <w:iCs/>
      <w:color w:val="005496" w:themeColor="text2"/>
      <w:sz w:val="24"/>
    </w:rPr>
  </w:style>
  <w:style w:type="paragraph" w:customStyle="1" w:styleId="Breakoutbox">
    <w:name w:val="Breakout box"/>
    <w:basedOn w:val="BodyText"/>
    <w:uiPriority w:val="99"/>
    <w:rsid w:val="002D493D"/>
    <w:pPr>
      <w:pBdr>
        <w:top w:val="single" w:sz="8" w:space="5" w:color="005496" w:themeColor="text2"/>
        <w:bottom w:val="single" w:sz="8" w:space="5" w:color="005496" w:themeColor="text2"/>
      </w:pBdr>
    </w:pPr>
    <w:rPr>
      <w:color w:val="005496" w:themeColor="text2"/>
    </w:rPr>
  </w:style>
  <w:style w:type="paragraph" w:styleId="IntenseQuote">
    <w:name w:val="Intense Quote"/>
    <w:basedOn w:val="Normal"/>
    <w:next w:val="Normal"/>
    <w:link w:val="IntenseQuoteChar"/>
    <w:uiPriority w:val="30"/>
    <w:qFormat/>
    <w:rsid w:val="002956B3"/>
    <w:pPr>
      <w:pBdr>
        <w:top w:val="single" w:sz="4" w:space="10" w:color="005496" w:themeColor="accent1"/>
        <w:bottom w:val="single" w:sz="4" w:space="10" w:color="005496" w:themeColor="accent1"/>
      </w:pBdr>
      <w:spacing w:before="360" w:after="360"/>
      <w:ind w:left="851" w:right="851"/>
    </w:pPr>
    <w:rPr>
      <w:iCs/>
      <w:color w:val="005496" w:themeColor="accent1"/>
    </w:rPr>
  </w:style>
  <w:style w:type="character" w:customStyle="1" w:styleId="IntenseQuoteChar">
    <w:name w:val="Intense Quote Char"/>
    <w:basedOn w:val="DefaultParagraphFont"/>
    <w:link w:val="IntenseQuote"/>
    <w:uiPriority w:val="30"/>
    <w:rsid w:val="002956B3"/>
    <w:rPr>
      <w:iCs/>
      <w:color w:val="005496" w:themeColor="accent1"/>
    </w:rPr>
  </w:style>
  <w:style w:type="character" w:styleId="Strong">
    <w:name w:val="Strong"/>
    <w:basedOn w:val="DefaultParagraphFont"/>
    <w:uiPriority w:val="22"/>
    <w:qFormat/>
    <w:rsid w:val="002956B3"/>
    <w:rPr>
      <w:rFonts w:asciiTheme="minorHAnsi" w:hAnsiTheme="minorHAnsi"/>
      <w:b/>
      <w:bCs/>
      <w:color w:val="005496" w:themeColor="text2"/>
      <w:sz w:val="28"/>
    </w:rPr>
  </w:style>
  <w:style w:type="paragraph" w:styleId="Quote">
    <w:name w:val="Quote"/>
    <w:basedOn w:val="Normal"/>
    <w:next w:val="Normal"/>
    <w:link w:val="QuoteChar"/>
    <w:uiPriority w:val="29"/>
    <w:qFormat/>
    <w:rsid w:val="002956B3"/>
    <w:pPr>
      <w:spacing w:before="200" w:after="160"/>
      <w:ind w:left="864" w:right="864"/>
      <w:jc w:val="center"/>
    </w:pPr>
    <w:rPr>
      <w:iCs/>
      <w:color w:val="005496" w:themeColor="text2"/>
    </w:rPr>
  </w:style>
  <w:style w:type="character" w:customStyle="1" w:styleId="QuoteChar">
    <w:name w:val="Quote Char"/>
    <w:basedOn w:val="DefaultParagraphFont"/>
    <w:link w:val="Quote"/>
    <w:uiPriority w:val="29"/>
    <w:rsid w:val="002956B3"/>
    <w:rPr>
      <w:iCs/>
      <w:color w:val="005496" w:themeColor="text2"/>
    </w:rPr>
  </w:style>
  <w:style w:type="character" w:styleId="BookTitle">
    <w:name w:val="Book Title"/>
    <w:basedOn w:val="DefaultParagraphFont"/>
    <w:uiPriority w:val="33"/>
    <w:qFormat/>
    <w:rsid w:val="002956B3"/>
    <w:rPr>
      <w:b/>
      <w:bCs/>
      <w:i w:val="0"/>
      <w:iCs/>
      <w:spacing w:val="5"/>
    </w:rPr>
  </w:style>
  <w:style w:type="paragraph" w:customStyle="1" w:styleId="recipientaddress">
    <w:name w:val="recipient address"/>
    <w:basedOn w:val="AddressBlockdate"/>
    <w:uiPriority w:val="99"/>
    <w:qFormat/>
    <w:rsid w:val="00310E3F"/>
    <w:pPr>
      <w:spacing w:before="240" w:after="240"/>
      <w:contextualSpacing w:val="0"/>
    </w:pPr>
    <w:rPr>
      <w:b w:val="0"/>
    </w:rPr>
  </w:style>
  <w:style w:type="paragraph" w:styleId="FootnoteText">
    <w:name w:val="footnote text"/>
    <w:basedOn w:val="Normal"/>
    <w:link w:val="FootnoteTextChar"/>
    <w:uiPriority w:val="99"/>
    <w:semiHidden/>
    <w:unhideWhenUsed/>
    <w:rsid w:val="003C2CF2"/>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3C2CF2"/>
    <w:rPr>
      <w:sz w:val="20"/>
      <w:szCs w:val="20"/>
    </w:rPr>
  </w:style>
  <w:style w:type="character" w:styleId="CommentReference">
    <w:name w:val="annotation reference"/>
    <w:basedOn w:val="DefaultParagraphFont"/>
    <w:uiPriority w:val="99"/>
    <w:semiHidden/>
    <w:unhideWhenUsed/>
    <w:rsid w:val="003C2CF2"/>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FollowedHyperlink">
    <w:name w:val="FollowedHyperlink"/>
    <w:basedOn w:val="DefaultParagraphFont"/>
    <w:uiPriority w:val="99"/>
    <w:semiHidden/>
    <w:unhideWhenUsed/>
    <w:rsid w:val="00CA5CFC"/>
    <w:rPr>
      <w:color w:val="005496" w:themeColor="followedHyperlink"/>
      <w:u w:val="single"/>
    </w:rPr>
  </w:style>
  <w:style w:type="paragraph" w:styleId="Revision">
    <w:name w:val="Revision"/>
    <w:hidden/>
    <w:uiPriority w:val="99"/>
    <w:semiHidden/>
    <w:rsid w:val="008926A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187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mailto:spla.reps@aph.gov.au" TargetMode="External"/><Relationship Id="rId3" Type="http://schemas.openxmlformats.org/officeDocument/2006/relationships/customXml" Target="../customXml/item3.xml"/><Relationship Id="rId21" Type="http://schemas.openxmlformats.org/officeDocument/2006/relationships/hyperlink" Target="https://www.ohchr.org/en/documents/general-comments-and-recommendations/general-comment-no-1-article-12-equal-recognition-1"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pwd.org.au/"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pwd@pwd.org.au" TargetMode="External"/><Relationship Id="rId20" Type="http://schemas.openxmlformats.org/officeDocument/2006/relationships/hyperlink" Target="https://www.un.org/development/desa/disabilities/convention-on-the-rights-of-Persons-with-disabilities.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hyperlink" Target="mailto:giancarlod@pwd.org.au" TargetMode="External"/><Relationship Id="rId10" Type="http://schemas.openxmlformats.org/officeDocument/2006/relationships/endnotes" Target="endnotes.xml"/><Relationship Id="rId19" Type="http://schemas.openxmlformats.org/officeDocument/2006/relationships/hyperlink" Target="https://www.aph.gov.au/Parliamentary_Business/Committees/House/Social_Policy_and_Legal_Affairs/ARTbillsInquir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pwd.org.au/submission-administrative-review-reform-issues-paper/"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pwd.org.au/submission-administrative-review-reform-issues-pape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PWDA">
      <a:dk1>
        <a:sysClr val="windowText" lastClr="000000"/>
      </a:dk1>
      <a:lt1>
        <a:sysClr val="window" lastClr="FFFFFF"/>
      </a:lt1>
      <a:dk2>
        <a:srgbClr val="005496"/>
      </a:dk2>
      <a:lt2>
        <a:srgbClr val="EEEBEA"/>
      </a:lt2>
      <a:accent1>
        <a:srgbClr val="005496"/>
      </a:accent1>
      <a:accent2>
        <a:srgbClr val="00884F"/>
      </a:accent2>
      <a:accent3>
        <a:srgbClr val="00BDF2"/>
      </a:accent3>
      <a:accent4>
        <a:srgbClr val="67C18C"/>
      </a:accent4>
      <a:accent5>
        <a:srgbClr val="EEEBEA"/>
      </a:accent5>
      <a:accent6>
        <a:srgbClr val="000000"/>
      </a:accent6>
      <a:hlink>
        <a:srgbClr val="FFFFFF"/>
      </a:hlink>
      <a:folHlink>
        <a:srgbClr val="0054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42E8EBBB996DB47A337624F94F1FFC7" ma:contentTypeVersion="15" ma:contentTypeDescription="Create a new document." ma:contentTypeScope="" ma:versionID="585fcba33eac6ef75a698b4fd3e180b2">
  <xsd:schema xmlns:xsd="http://www.w3.org/2001/XMLSchema" xmlns:xs="http://www.w3.org/2001/XMLSchema" xmlns:p="http://schemas.microsoft.com/office/2006/metadata/properties" xmlns:ns2="556efc0a-87e0-423d-a808-41f60acde31c" xmlns:ns3="02726c10-34f2-49b5-8ce6-b6efaf8f9534" targetNamespace="http://schemas.microsoft.com/office/2006/metadata/properties" ma:root="true" ma:fieldsID="571cdbb5a9267b8b6f59149a7eac45cd" ns2:_="" ns3:_="">
    <xsd:import namespace="556efc0a-87e0-423d-a808-41f60acde31c"/>
    <xsd:import namespace="02726c10-34f2-49b5-8ce6-b6efaf8f9534"/>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lcf76f155ced4ddcb4097134ff3c332f" minOccurs="0"/>
                <xsd:element ref="ns3:TaxCatchAll"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6efc0a-87e0-423d-a808-41f60acde3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119d012c-5cc6-4b8c-ac46-f71aa3c528ee" ma:termSetId="09814cd3-568e-fe90-9814-8d621ff8fb84" ma:anchorId="fba54fb3-c3e1-fe81-a776-ca4b69148c4d" ma:open="true" ma:isKeyword="false">
      <xsd:complexType>
        <xsd:sequence>
          <xsd:element ref="pc:Terms" minOccurs="0" maxOccurs="1"/>
        </xsd:sequence>
      </xsd:complex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2726c10-34f2-49b5-8ce6-b6efaf8f9534"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3934ce3a-5e91-4c3e-a547-d26872c14688}" ma:internalName="TaxCatchAll" ma:showField="CatchAllData" ma:web="02726c10-34f2-49b5-8ce6-b6efaf8f9534">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56efc0a-87e0-423d-a808-41f60acde31c">
      <Terms xmlns="http://schemas.microsoft.com/office/infopath/2007/PartnerControls"/>
    </lcf76f155ced4ddcb4097134ff3c332f>
    <TaxCatchAll xmlns="02726c10-34f2-49b5-8ce6-b6efaf8f953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A32A7F-5BC3-4D2F-9440-3AD7AB0790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6efc0a-87e0-423d-a808-41f60acde31c"/>
    <ds:schemaRef ds:uri="02726c10-34f2-49b5-8ce6-b6efaf8f95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BBC073-6C00-4D53-A259-0A132DAFFD2C}">
  <ds:schemaRefs>
    <ds:schemaRef ds:uri="http://schemas.microsoft.com/office/2006/metadata/properties"/>
    <ds:schemaRef ds:uri="http://schemas.microsoft.com/office/infopath/2007/PartnerControls"/>
    <ds:schemaRef ds:uri="556efc0a-87e0-423d-a808-41f60acde31c"/>
    <ds:schemaRef ds:uri="02726c10-34f2-49b5-8ce6-b6efaf8f9534"/>
  </ds:schemaRefs>
</ds:datastoreItem>
</file>

<file path=customXml/itemProps3.xml><?xml version="1.0" encoding="utf-8"?>
<ds:datastoreItem xmlns:ds="http://schemas.openxmlformats.org/officeDocument/2006/customXml" ds:itemID="{6FAF85A6-564C-4D10-AB33-854105CFBB71}">
  <ds:schemaRefs>
    <ds:schemaRef ds:uri="http://schemas.microsoft.com/sharepoint/v3/contenttype/forms"/>
  </ds:schemaRefs>
</ds:datastoreItem>
</file>

<file path=customXml/itemProps4.xml><?xml version="1.0" encoding="utf-8"?>
<ds:datastoreItem xmlns:ds="http://schemas.openxmlformats.org/officeDocument/2006/customXml" ds:itemID="{7257B893-FE60-46F6-AEBC-A1C7E8C9D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2013</Words>
  <Characters>11236</Characters>
  <Application>Microsoft Office Word</Application>
  <DocSecurity>0</DocSecurity>
  <Lines>197</Lines>
  <Paragraphs>69</Paragraphs>
  <ScaleCrop>false</ScaleCrop>
  <HeadingPairs>
    <vt:vector size="2" baseType="variant">
      <vt:variant>
        <vt:lpstr>Title</vt:lpstr>
      </vt:variant>
      <vt:variant>
        <vt:i4>1</vt:i4>
      </vt:variant>
    </vt:vector>
  </HeadingPairs>
  <TitlesOfParts>
    <vt:vector size="1" baseType="lpstr">
      <vt:lpstr/>
    </vt:vector>
  </TitlesOfParts>
  <Company>People with Disability Australia Incorporated</Company>
  <LinksUpToDate>false</LinksUpToDate>
  <CharactersWithSpaces>13180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 Ira</dc:creator>
  <cp:lastModifiedBy>Tracie Junghans</cp:lastModifiedBy>
  <cp:revision>2</cp:revision>
  <cp:lastPrinted>2018-04-09T10:08:00Z</cp:lastPrinted>
  <dcterms:created xsi:type="dcterms:W3CDTF">2024-02-06T01:59:00Z</dcterms:created>
  <dcterms:modified xsi:type="dcterms:W3CDTF">2024-02-06T01:59:00Z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0x010100442E8EBBB996DB47A337624F94F1FFC7</vt:lpwstr>
  </property>
  <property fmtid="{D5CDD505-2E9C-101B-9397-08002B2CF9AE}" pid="3" name="Order">
    <vt:r8>523200</vt:r8>
  </property>
  <property fmtid="{D5CDD505-2E9C-101B-9397-08002B2CF9AE}" pid="4" name="MediaServiceImageTags">
    <vt:lpwstr/>
  </property>
</Properties>
</file>