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1CE8" w14:textId="2755A169" w:rsidR="00A8402B" w:rsidRDefault="00A8402B" w:rsidP="003C6226">
      <w:pPr>
        <w:jc w:val="center"/>
        <w:rPr>
          <w:b/>
          <w:bCs/>
        </w:rPr>
      </w:pPr>
      <w:r>
        <w:rPr>
          <w:b/>
          <w:bCs/>
        </w:rPr>
        <w:t>PWDA draft responses to the</w:t>
      </w:r>
      <w:r w:rsidR="006E5531" w:rsidRPr="006E5531">
        <w:rPr>
          <w:b/>
          <w:bCs/>
        </w:rPr>
        <w:t xml:space="preserve"> Administrative Review Tribunal Rules 2024</w:t>
      </w:r>
      <w:r>
        <w:rPr>
          <w:b/>
          <w:bCs/>
        </w:rPr>
        <w:t xml:space="preserve"> web-survey</w:t>
      </w:r>
    </w:p>
    <w:p w14:paraId="6AC2AB1D" w14:textId="77777777" w:rsidR="003C6226" w:rsidRPr="003C6226" w:rsidRDefault="003C6226" w:rsidP="003C6226">
      <w:pPr>
        <w:jc w:val="center"/>
        <w:rPr>
          <w:b/>
          <w:bCs/>
        </w:rPr>
      </w:pPr>
    </w:p>
    <w:p w14:paraId="737F3E6B" w14:textId="77777777" w:rsidR="00A8402B" w:rsidRDefault="00A8402B" w:rsidP="006E5531">
      <w:pPr>
        <w:rPr>
          <w:b/>
          <w:bCs/>
        </w:rPr>
      </w:pPr>
      <w:r>
        <w:rPr>
          <w:b/>
          <w:bCs/>
        </w:rPr>
        <w:t>Instructions from web-survey form</w:t>
      </w:r>
    </w:p>
    <w:p w14:paraId="22DFA7DF" w14:textId="7352CAAF" w:rsidR="003C6226" w:rsidRPr="00D65773" w:rsidRDefault="003178C8" w:rsidP="006E5531">
      <w:r>
        <w:t xml:space="preserve"> </w:t>
      </w:r>
      <w:r w:rsidR="006E5531">
        <w:t>“</w:t>
      </w:r>
      <w:r w:rsidR="006E5531" w:rsidRPr="006E5531">
        <w:t>With reference to the attached Exposure Draft of the Administrative Review Tribunal Rules 2024 and accompanying Consultation Paper, please include any comments on the proposed drafting of any of the 6 (six) areas of the rules set out below. You may comment on all areas, or only those which are of particular interest to you.</w:t>
      </w:r>
      <w:r w:rsidR="006E5531">
        <w:t>”</w:t>
      </w:r>
    </w:p>
    <w:p w14:paraId="110843BF" w14:textId="7EAB0FFE" w:rsidR="006E5531" w:rsidRPr="00BE0234" w:rsidRDefault="005B5AF6" w:rsidP="00BE0234">
      <w:pPr>
        <w:pStyle w:val="ListParagraph"/>
        <w:numPr>
          <w:ilvl w:val="0"/>
          <w:numId w:val="2"/>
        </w:numPr>
        <w:rPr>
          <w:b/>
          <w:bCs/>
        </w:rPr>
      </w:pPr>
      <w:r w:rsidRPr="00BE0234">
        <w:rPr>
          <w:b/>
          <w:bCs/>
        </w:rPr>
        <w:t xml:space="preserve">What are your views on the proposed drafting of the Administrative Review Tribunal Rules 2024 relating </w:t>
      </w:r>
      <w:r w:rsidRPr="009228D3">
        <w:rPr>
          <w:b/>
          <w:bCs/>
        </w:rPr>
        <w:t>to timeframes to</w:t>
      </w:r>
      <w:r w:rsidRPr="00BE0234">
        <w:rPr>
          <w:b/>
          <w:bCs/>
        </w:rPr>
        <w:t xml:space="preserve"> apply for review?</w:t>
      </w:r>
    </w:p>
    <w:p w14:paraId="79DC619F" w14:textId="1C528488" w:rsidR="005C6B62" w:rsidRDefault="005C6B62" w:rsidP="007E7ACB">
      <w:r>
        <w:t xml:space="preserve">People with Disability Australia’s </w:t>
      </w:r>
      <w:r w:rsidR="0021724A">
        <w:t xml:space="preserve">(PWDA) </w:t>
      </w:r>
      <w:r>
        <w:t xml:space="preserve">individual advocates report that </w:t>
      </w:r>
      <w:r w:rsidR="007D31A3">
        <w:t xml:space="preserve">the 28 day timeframe is </w:t>
      </w:r>
      <w:r w:rsidR="0021724A">
        <w:t xml:space="preserve">grossly </w:t>
      </w:r>
      <w:r w:rsidR="007D31A3">
        <w:t xml:space="preserve">inadequate and must be extended to </w:t>
      </w:r>
      <w:r w:rsidR="007D31A3" w:rsidRPr="004F1299">
        <w:t xml:space="preserve">90 days in section </w:t>
      </w:r>
      <w:r w:rsidR="004F1299" w:rsidRPr="004F1299">
        <w:t>5</w:t>
      </w:r>
      <w:r w:rsidR="007D31A3" w:rsidRPr="004F1299">
        <w:t xml:space="preserve"> and </w:t>
      </w:r>
      <w:r w:rsidR="004F1299" w:rsidRPr="004F1299">
        <w:t>6 of the Rules</w:t>
      </w:r>
      <w:r w:rsidR="003C6226">
        <w:t>.</w:t>
      </w:r>
      <w:r w:rsidR="00C343D7">
        <w:t xml:space="preserve"> </w:t>
      </w:r>
      <w:r w:rsidR="001037FF">
        <w:t>The reasons for this position were highlighted during our consultation with the Attorney-General</w:t>
      </w:r>
      <w:r w:rsidR="0033069C">
        <w:t>’s</w:t>
      </w:r>
      <w:r w:rsidR="001037FF">
        <w:t xml:space="preserve"> Department on 2 August 2024, and include:</w:t>
      </w:r>
    </w:p>
    <w:p w14:paraId="1200A1DA" w14:textId="47A83C44" w:rsidR="00EC383C" w:rsidRDefault="00EC383C" w:rsidP="00EC383C">
      <w:pPr>
        <w:pStyle w:val="ListParagraph"/>
        <w:numPr>
          <w:ilvl w:val="0"/>
          <w:numId w:val="4"/>
        </w:numPr>
      </w:pPr>
      <w:r>
        <w:t>PWDA’s clients are often in a state of panic when they receive their decision notice and need time to process and understand legalistic information</w:t>
      </w:r>
    </w:p>
    <w:p w14:paraId="3726D89D" w14:textId="6D164758" w:rsidR="00EC383C" w:rsidRDefault="00EC383C" w:rsidP="00EC383C">
      <w:pPr>
        <w:pStyle w:val="ListParagraph"/>
        <w:numPr>
          <w:ilvl w:val="0"/>
          <w:numId w:val="4"/>
        </w:numPr>
      </w:pPr>
      <w:r>
        <w:t>People with disability need time to seek individual advocacy, which</w:t>
      </w:r>
      <w:r w:rsidR="00536F45">
        <w:t xml:space="preserve"> is underfunded and subject to wait-times</w:t>
      </w:r>
    </w:p>
    <w:p w14:paraId="782709D3" w14:textId="6CDFF719" w:rsidR="00536F45" w:rsidRDefault="00536F45" w:rsidP="00CE0F09">
      <w:pPr>
        <w:pStyle w:val="ListParagraph"/>
        <w:numPr>
          <w:ilvl w:val="0"/>
          <w:numId w:val="4"/>
        </w:numPr>
      </w:pPr>
      <w:r>
        <w:t xml:space="preserve">The 28 day time frame exacerbates the stress and pressure that our clients are already feeling, particularly for people with intellectual and/or psychosocial disability </w:t>
      </w:r>
    </w:p>
    <w:p w14:paraId="47D1E1F4" w14:textId="56383EA9" w:rsidR="00C369A3" w:rsidRDefault="0029530E" w:rsidP="00120392">
      <w:r>
        <w:t>As discussed</w:t>
      </w:r>
      <w:r w:rsidR="00556BDB">
        <w:t xml:space="preserve"> during the online consultation</w:t>
      </w:r>
      <w:r>
        <w:t xml:space="preserve">, </w:t>
      </w:r>
      <w:r w:rsidR="00C61B5D">
        <w:t xml:space="preserve">the option to request an extension to the 28 day timeframe does not </w:t>
      </w:r>
      <w:r w:rsidR="0061331A">
        <w:t xml:space="preserve">adequately address </w:t>
      </w:r>
      <w:r w:rsidR="00C61B5D">
        <w:t xml:space="preserve">this problem. The 28 day timeframe has a ‘chilling’ effect, </w:t>
      </w:r>
      <w:r w:rsidR="00C95410">
        <w:t xml:space="preserve">causing people to abandon their appeal because they are unaware of their right to apply for an extension. </w:t>
      </w:r>
      <w:r w:rsidR="00C369A3">
        <w:t>Others may be aware of their right to apply for an extension, but lack access to the support needed to make an application and provide appropriate evidence.</w:t>
      </w:r>
    </w:p>
    <w:p w14:paraId="7617DE4B" w14:textId="3C33E933" w:rsidR="00665C17" w:rsidRDefault="00665C17" w:rsidP="00E745DF">
      <w:pPr>
        <w:tabs>
          <w:tab w:val="left" w:pos="6425"/>
        </w:tabs>
      </w:pPr>
      <w:r>
        <w:t xml:space="preserve">Section 18 of the </w:t>
      </w:r>
      <w:r>
        <w:rPr>
          <w:i/>
          <w:iCs/>
        </w:rPr>
        <w:t xml:space="preserve">Administrative Review Tribunal Act 2024 </w:t>
      </w:r>
      <w:r>
        <w:t xml:space="preserve">(Cth) </w:t>
      </w:r>
      <w:r w:rsidR="00653756">
        <w:t xml:space="preserve">(the Act) </w:t>
      </w:r>
      <w:r>
        <w:t>does not appear to limit the ability of the Attorney-General’s Department to specify a 90 day</w:t>
      </w:r>
      <w:r w:rsidR="00653756">
        <w:t xml:space="preserve"> application</w:t>
      </w:r>
      <w:r>
        <w:t xml:space="preserve"> timeframe</w:t>
      </w:r>
      <w:r w:rsidR="00653756">
        <w:t xml:space="preserve"> in the Rules</w:t>
      </w:r>
      <w:r>
        <w:t xml:space="preserve">. Section 18(3) </w:t>
      </w:r>
      <w:r w:rsidR="00653756">
        <w:t xml:space="preserve">of the Act </w:t>
      </w:r>
      <w:r>
        <w:t>states that the timeframe must be at least 28 days and Section 18(4)</w:t>
      </w:r>
      <w:r w:rsidR="00653756">
        <w:t xml:space="preserve"> of the Act</w:t>
      </w:r>
      <w:r>
        <w:t xml:space="preserve"> states that the Rules can prescribe different periods for different classes of application. </w:t>
      </w:r>
    </w:p>
    <w:p w14:paraId="135C183B" w14:textId="6BB9D6CD" w:rsidR="00683445" w:rsidRDefault="00683445" w:rsidP="00E745DF">
      <w:pPr>
        <w:tabs>
          <w:tab w:val="left" w:pos="6425"/>
        </w:tabs>
      </w:pPr>
      <w:r>
        <w:t>To</w:t>
      </w:r>
      <w:r w:rsidR="00BB599C">
        <w:t xml:space="preserve"> ensure that the Rules are consistent with</w:t>
      </w:r>
      <w:r>
        <w:t xml:space="preserve"> the Tribunal’s statutory objective</w:t>
      </w:r>
      <w:r w:rsidR="00B133F7">
        <w:t>s</w:t>
      </w:r>
      <w:r>
        <w:t xml:space="preserve"> to be ‘fair and just’</w:t>
      </w:r>
      <w:r w:rsidR="00B133F7">
        <w:t xml:space="preserve"> and ‘accessible and respons</w:t>
      </w:r>
      <w:r w:rsidR="00551EBC">
        <w:t>ive</w:t>
      </w:r>
      <w:r w:rsidR="00B133F7">
        <w:t xml:space="preserve"> to the diverse needs of parties to the proceedings’,</w:t>
      </w:r>
      <w:r w:rsidR="00596508">
        <w:t xml:space="preserve"> we recommend that:</w:t>
      </w:r>
    </w:p>
    <w:p w14:paraId="75844757" w14:textId="3D44C5E0" w:rsidR="00F5561F" w:rsidRPr="005042F1" w:rsidRDefault="00596508" w:rsidP="005042F1">
      <w:pPr>
        <w:tabs>
          <w:tab w:val="left" w:pos="6425"/>
        </w:tabs>
      </w:pPr>
      <w:r>
        <w:rPr>
          <w:b/>
          <w:bCs/>
        </w:rPr>
        <w:t xml:space="preserve">Recommendation 1: </w:t>
      </w:r>
      <w:r w:rsidR="00E1496C">
        <w:t>The Attorney-General’s Department amends S</w:t>
      </w:r>
      <w:r w:rsidR="004F1299">
        <w:t>ections 5 and 6</w:t>
      </w:r>
      <w:r>
        <w:t xml:space="preserve"> </w:t>
      </w:r>
      <w:r w:rsidR="004F1299">
        <w:t xml:space="preserve">of the draft Rules to </w:t>
      </w:r>
      <w:r w:rsidR="00881D25">
        <w:t xml:space="preserve">provide a 90 day timeframe for </w:t>
      </w:r>
      <w:r w:rsidR="00FB137E">
        <w:t xml:space="preserve">applying for a review in the NDIS division of the ART. </w:t>
      </w:r>
    </w:p>
    <w:p w14:paraId="2ACF1610" w14:textId="6C5EE935" w:rsidR="005B5AF6" w:rsidRPr="005042F1" w:rsidRDefault="005B5AF6" w:rsidP="00BE0234">
      <w:pPr>
        <w:pStyle w:val="ListParagraph"/>
        <w:numPr>
          <w:ilvl w:val="0"/>
          <w:numId w:val="2"/>
        </w:numPr>
        <w:rPr>
          <w:b/>
          <w:bCs/>
        </w:rPr>
      </w:pPr>
      <w:r w:rsidRPr="00BE0234">
        <w:rPr>
          <w:b/>
          <w:bCs/>
        </w:rPr>
        <w:t xml:space="preserve">What are your views on the proposed drafting of the Administrative Review Tribunal Rules 2024 </w:t>
      </w:r>
      <w:r w:rsidRPr="005042F1">
        <w:rPr>
          <w:b/>
          <w:bCs/>
        </w:rPr>
        <w:t>relating to election and participation notices?</w:t>
      </w:r>
    </w:p>
    <w:p w14:paraId="11ECDA43" w14:textId="677C5CEC" w:rsidR="00C674C9" w:rsidRDefault="00C674C9" w:rsidP="00E125AB">
      <w:pPr>
        <w:rPr>
          <w:iCs/>
        </w:rPr>
      </w:pPr>
      <w:r>
        <w:rPr>
          <w:iCs/>
        </w:rPr>
        <w:t xml:space="preserve">While PWDA does not have any specific comments about the provisions concerning </w:t>
      </w:r>
      <w:r w:rsidR="00691B8E">
        <w:rPr>
          <w:iCs/>
        </w:rPr>
        <w:t>election and participation notices</w:t>
      </w:r>
      <w:r>
        <w:rPr>
          <w:iCs/>
        </w:rPr>
        <w:t xml:space="preserve">, we do wish to raise the issue of the NDIA’s practice of sending lawyers, rather than NDIA decision-makers to case conferences.  Our advocates report that </w:t>
      </w:r>
      <w:r w:rsidR="004C71AE">
        <w:rPr>
          <w:iCs/>
        </w:rPr>
        <w:t xml:space="preserve">the NDIA commonly sends lawyers to case conferences without authority to make decisions. This delays </w:t>
      </w:r>
      <w:r w:rsidR="00A73F74">
        <w:rPr>
          <w:iCs/>
        </w:rPr>
        <w:t xml:space="preserve">and interferes with genuine efforts to resolve disputes in a timely matter. </w:t>
      </w:r>
    </w:p>
    <w:p w14:paraId="30A3EC96" w14:textId="5454AA23" w:rsidR="00A73F74" w:rsidRDefault="00A73F74" w:rsidP="00E125AB">
      <w:pPr>
        <w:rPr>
          <w:iCs/>
        </w:rPr>
      </w:pPr>
      <w:r>
        <w:rPr>
          <w:iCs/>
        </w:rPr>
        <w:lastRenderedPageBreak/>
        <w:t xml:space="preserve">We recommend that: </w:t>
      </w:r>
    </w:p>
    <w:p w14:paraId="78EF0024" w14:textId="147547C2" w:rsidR="005B5AF6" w:rsidRPr="00CB4165" w:rsidRDefault="00A73F74" w:rsidP="006E5531">
      <w:pPr>
        <w:rPr>
          <w:iCs/>
        </w:rPr>
      </w:pPr>
      <w:r>
        <w:rPr>
          <w:b/>
          <w:bCs/>
          <w:iCs/>
        </w:rPr>
        <w:t>Recommendation</w:t>
      </w:r>
      <w:r w:rsidR="00BE3EB8">
        <w:rPr>
          <w:b/>
          <w:bCs/>
          <w:iCs/>
        </w:rPr>
        <w:t xml:space="preserve"> 2</w:t>
      </w:r>
      <w:r>
        <w:rPr>
          <w:b/>
          <w:bCs/>
          <w:iCs/>
        </w:rPr>
        <w:t xml:space="preserve">: </w:t>
      </w:r>
      <w:r>
        <w:rPr>
          <w:iCs/>
        </w:rPr>
        <w:t xml:space="preserve">The Rules, practice directions or other authoritative documents direct </w:t>
      </w:r>
      <w:r w:rsidR="00512132">
        <w:rPr>
          <w:iCs/>
        </w:rPr>
        <w:t xml:space="preserve">that the representative attending on the decision-maker’s behalf has full authority to make decisions and cannot delay negotiations by reverting </w:t>
      </w:r>
      <w:r w:rsidR="001A67F0">
        <w:rPr>
          <w:iCs/>
        </w:rPr>
        <w:t xml:space="preserve">decisions </w:t>
      </w:r>
      <w:r w:rsidR="00512132">
        <w:rPr>
          <w:iCs/>
        </w:rPr>
        <w:t xml:space="preserve">back to the decision-maker. </w:t>
      </w:r>
    </w:p>
    <w:p w14:paraId="0F85AE46" w14:textId="38F8137E" w:rsidR="005B5AF6" w:rsidRPr="00BE0234" w:rsidRDefault="005B5AF6" w:rsidP="00BE0234">
      <w:pPr>
        <w:pStyle w:val="ListParagraph"/>
        <w:numPr>
          <w:ilvl w:val="0"/>
          <w:numId w:val="2"/>
        </w:numPr>
        <w:rPr>
          <w:b/>
          <w:bCs/>
        </w:rPr>
      </w:pPr>
      <w:r w:rsidRPr="00BE0234">
        <w:rPr>
          <w:b/>
          <w:bCs/>
        </w:rPr>
        <w:t xml:space="preserve">What are your views on the proposed drafting of the Administrative Review Tribunal Rules 2024 </w:t>
      </w:r>
      <w:r w:rsidRPr="0000387F">
        <w:rPr>
          <w:b/>
          <w:bCs/>
        </w:rPr>
        <w:t>relating to witness fees?</w:t>
      </w:r>
    </w:p>
    <w:p w14:paraId="0B359753" w14:textId="788B4048" w:rsidR="00D552F5" w:rsidRPr="00E12071" w:rsidRDefault="005C7ED1" w:rsidP="006E5531">
      <w:pPr>
        <w:rPr>
          <w:iCs/>
        </w:rPr>
      </w:pPr>
      <w:r>
        <w:rPr>
          <w:iCs/>
        </w:rPr>
        <w:t xml:space="preserve">No </w:t>
      </w:r>
      <w:r w:rsidRPr="00E12071">
        <w:rPr>
          <w:iCs/>
        </w:rPr>
        <w:t xml:space="preserve">comment. </w:t>
      </w:r>
    </w:p>
    <w:p w14:paraId="34D09A9E" w14:textId="38F9A053" w:rsidR="00D552F5" w:rsidRPr="00E12071" w:rsidRDefault="00D552F5" w:rsidP="00BE0234">
      <w:pPr>
        <w:pStyle w:val="ListParagraph"/>
        <w:numPr>
          <w:ilvl w:val="0"/>
          <w:numId w:val="2"/>
        </w:numPr>
        <w:rPr>
          <w:b/>
          <w:bCs/>
        </w:rPr>
      </w:pPr>
      <w:r w:rsidRPr="00E12071">
        <w:rPr>
          <w:b/>
          <w:bCs/>
        </w:rPr>
        <w:t>What are your views on the proposed drafting of the Administrative Review Tribunal Rules 2024 relating to notices of decision?</w:t>
      </w:r>
    </w:p>
    <w:p w14:paraId="66B5D7AB" w14:textId="6ECC1123" w:rsidR="00E12071" w:rsidRDefault="00BC2A3F" w:rsidP="006E5531">
      <w:pPr>
        <w:rPr>
          <w:iCs/>
        </w:rPr>
      </w:pPr>
      <w:r>
        <w:rPr>
          <w:iCs/>
        </w:rPr>
        <w:t xml:space="preserve">Many people with disability are not aware of the option to access funded non-legal advocacy services, or where to find these services. </w:t>
      </w:r>
      <w:r w:rsidR="00C40977">
        <w:rPr>
          <w:iCs/>
        </w:rPr>
        <w:t xml:space="preserve">To ensure that people with disability are </w:t>
      </w:r>
      <w:r w:rsidR="00281436">
        <w:rPr>
          <w:iCs/>
        </w:rPr>
        <w:t>presented with their full range of advocacy support options,</w:t>
      </w:r>
      <w:r w:rsidR="00C40977">
        <w:rPr>
          <w:iCs/>
        </w:rPr>
        <w:t xml:space="preserve"> recommend that</w:t>
      </w:r>
      <w:r w:rsidR="00E12071">
        <w:rPr>
          <w:iCs/>
        </w:rPr>
        <w:t>:</w:t>
      </w:r>
    </w:p>
    <w:p w14:paraId="1E285FD2" w14:textId="0D2EE6E4" w:rsidR="00705894" w:rsidRPr="00705894" w:rsidRDefault="00E12071" w:rsidP="006E5531">
      <w:pPr>
        <w:rPr>
          <w:iCs/>
        </w:rPr>
      </w:pPr>
      <w:r>
        <w:rPr>
          <w:b/>
          <w:bCs/>
          <w:iCs/>
        </w:rPr>
        <w:t>Recommendation 3:</w:t>
      </w:r>
      <w:r w:rsidR="00C40977">
        <w:rPr>
          <w:iCs/>
        </w:rPr>
        <w:t xml:space="preserve"> Rule 15(4)(g) is amended to include specific reference to non-legal advocacy services and a list of funded providers. </w:t>
      </w:r>
    </w:p>
    <w:p w14:paraId="357A9AB6" w14:textId="3B6E9219" w:rsidR="00D552F5" w:rsidRPr="00BE0234" w:rsidRDefault="00D552F5" w:rsidP="00BE0234">
      <w:pPr>
        <w:pStyle w:val="ListParagraph"/>
        <w:numPr>
          <w:ilvl w:val="0"/>
          <w:numId w:val="2"/>
        </w:numPr>
        <w:rPr>
          <w:b/>
          <w:bCs/>
        </w:rPr>
      </w:pPr>
      <w:r w:rsidRPr="00BE0234">
        <w:rPr>
          <w:b/>
          <w:bCs/>
        </w:rPr>
        <w:t xml:space="preserve">What are your views on the proposed drafting of the Administrative Review Tribunal Rules 2024 </w:t>
      </w:r>
      <w:r w:rsidRPr="005042F1">
        <w:rPr>
          <w:b/>
          <w:bCs/>
        </w:rPr>
        <w:t>relating to authorisations?</w:t>
      </w:r>
    </w:p>
    <w:p w14:paraId="6156C5FA" w14:textId="214135C8" w:rsidR="00D552F5" w:rsidRPr="00615F7D" w:rsidRDefault="00615F7D" w:rsidP="006E5531">
      <w:r>
        <w:t xml:space="preserve">No comment. </w:t>
      </w:r>
    </w:p>
    <w:p w14:paraId="25DDED67" w14:textId="5A40DFFE" w:rsidR="006D0A76" w:rsidRDefault="00D552F5" w:rsidP="006E5531">
      <w:pPr>
        <w:pStyle w:val="ListParagraph"/>
        <w:numPr>
          <w:ilvl w:val="0"/>
          <w:numId w:val="2"/>
        </w:numPr>
        <w:rPr>
          <w:b/>
          <w:bCs/>
        </w:rPr>
      </w:pPr>
      <w:r w:rsidRPr="00BE0234">
        <w:rPr>
          <w:b/>
          <w:bCs/>
        </w:rPr>
        <w:t xml:space="preserve">What are your views on the proposed drafting of the Administrative Review Tribunal Rules 2024 relating </w:t>
      </w:r>
      <w:r w:rsidRPr="005042F1">
        <w:rPr>
          <w:b/>
          <w:bCs/>
        </w:rPr>
        <w:t>to fees?</w:t>
      </w:r>
    </w:p>
    <w:p w14:paraId="19148778" w14:textId="77777777" w:rsidR="00637386" w:rsidRDefault="00923B63" w:rsidP="00923B63">
      <w:r>
        <w:t xml:space="preserve">PWDA </w:t>
      </w:r>
      <w:r w:rsidR="006514D8">
        <w:t xml:space="preserve">strongly </w:t>
      </w:r>
      <w:r>
        <w:t xml:space="preserve">supports the </w:t>
      </w:r>
      <w:r w:rsidR="006514D8">
        <w:t xml:space="preserve">full </w:t>
      </w:r>
      <w:r>
        <w:t xml:space="preserve">fee exemption for NDIS appeals applications. </w:t>
      </w:r>
    </w:p>
    <w:p w14:paraId="6D4CA797" w14:textId="7565654C" w:rsidR="00907687" w:rsidRDefault="00BA5CCA" w:rsidP="00923B63">
      <w:r>
        <w:t>We also wish to highlight that people with disability are disproportionately affected by the lack of financial support</w:t>
      </w:r>
      <w:r w:rsidR="003E7AD0">
        <w:t xml:space="preserve"> provided</w:t>
      </w:r>
      <w:r>
        <w:t xml:space="preserve"> to</w:t>
      </w:r>
      <w:r w:rsidR="00A6308C">
        <w:t xml:space="preserve"> applicants to</w:t>
      </w:r>
      <w:r>
        <w:t xml:space="preserve"> attend case conferences and other processes at the Tribunal. </w:t>
      </w:r>
    </w:p>
    <w:p w14:paraId="439B59EB" w14:textId="5E2C873A" w:rsidR="00923B63" w:rsidRDefault="00BA5CCA" w:rsidP="00923B63">
      <w:r>
        <w:t xml:space="preserve">People with disability who require support worker assistance to attend in person are faced with a choice to either use up their NDIS plan support hours (if they have any) or attend an online case conference. Online case conferences can place clients at a significant disadvantage as the ART and NDIS personnel are unable to see and understand the person’s disability and the support they need. </w:t>
      </w:r>
    </w:p>
    <w:p w14:paraId="7C3B502E" w14:textId="6998F548" w:rsidR="009E1D95" w:rsidRDefault="009E1D95" w:rsidP="00923B63">
      <w:r>
        <w:t>We therefore recommend that:</w:t>
      </w:r>
    </w:p>
    <w:p w14:paraId="499AA674" w14:textId="3637AFA2" w:rsidR="00316ABD" w:rsidRPr="00923B63" w:rsidRDefault="00316ABD" w:rsidP="00923B63">
      <w:r w:rsidRPr="009465E5">
        <w:rPr>
          <w:b/>
          <w:bCs/>
        </w:rPr>
        <w:t>Recommendation</w:t>
      </w:r>
      <w:r w:rsidR="00E12071">
        <w:rPr>
          <w:b/>
          <w:bCs/>
        </w:rPr>
        <w:t xml:space="preserve"> 4</w:t>
      </w:r>
      <w:r w:rsidR="009465E5" w:rsidRPr="009465E5">
        <w:rPr>
          <w:b/>
          <w:bCs/>
        </w:rPr>
        <w:t>:</w:t>
      </w:r>
      <w:r>
        <w:t xml:space="preserve"> </w:t>
      </w:r>
      <w:r w:rsidR="009E1D95">
        <w:t xml:space="preserve">The </w:t>
      </w:r>
      <w:r>
        <w:t>A</w:t>
      </w:r>
      <w:r w:rsidR="009E1D95">
        <w:t>ttorney-General’s Department amends the</w:t>
      </w:r>
      <w:r>
        <w:t xml:space="preserve"> NDIS Rules</w:t>
      </w:r>
      <w:r w:rsidR="000E63F5">
        <w:t xml:space="preserve">, or includes in the ART </w:t>
      </w:r>
      <w:r>
        <w:t xml:space="preserve">practice directions or other authoritative </w:t>
      </w:r>
      <w:r w:rsidR="000E63F5">
        <w:t>documents, a requirement that the</w:t>
      </w:r>
      <w:r>
        <w:t xml:space="preserve"> NDIS </w:t>
      </w:r>
      <w:r w:rsidR="00FF6B20">
        <w:t>pays</w:t>
      </w:r>
      <w:r>
        <w:t xml:space="preserve"> for the extra support needs that people with disability require to attend the ART</w:t>
      </w:r>
      <w:r w:rsidR="00F7418F">
        <w:t xml:space="preserve">. </w:t>
      </w:r>
      <w:r>
        <w:t xml:space="preserve"> </w:t>
      </w:r>
    </w:p>
    <w:sectPr w:rsidR="00316ABD" w:rsidRPr="00923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466B"/>
    <w:multiLevelType w:val="hybridMultilevel"/>
    <w:tmpl w:val="0408E9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5A08"/>
    <w:multiLevelType w:val="hybridMultilevel"/>
    <w:tmpl w:val="0BC041E0"/>
    <w:lvl w:ilvl="0" w:tplc="6A6888DC">
      <w:start w:val="2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46963"/>
    <w:multiLevelType w:val="hybridMultilevel"/>
    <w:tmpl w:val="74C29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D72B4"/>
    <w:multiLevelType w:val="hybridMultilevel"/>
    <w:tmpl w:val="7A663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564522">
    <w:abstractNumId w:val="1"/>
  </w:num>
  <w:num w:numId="2" w16cid:durableId="975186015">
    <w:abstractNumId w:val="0"/>
  </w:num>
  <w:num w:numId="3" w16cid:durableId="444924763">
    <w:abstractNumId w:val="3"/>
  </w:num>
  <w:num w:numId="4" w16cid:durableId="1579747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E5"/>
    <w:rsid w:val="0000387F"/>
    <w:rsid w:val="000366B8"/>
    <w:rsid w:val="00087889"/>
    <w:rsid w:val="000A4EA2"/>
    <w:rsid w:val="000B3A5B"/>
    <w:rsid w:val="000C2E2B"/>
    <w:rsid w:val="000D3640"/>
    <w:rsid w:val="000E1B2E"/>
    <w:rsid w:val="000E4E66"/>
    <w:rsid w:val="000E63F5"/>
    <w:rsid w:val="001037FF"/>
    <w:rsid w:val="00120392"/>
    <w:rsid w:val="00122632"/>
    <w:rsid w:val="00125840"/>
    <w:rsid w:val="00130619"/>
    <w:rsid w:val="00134596"/>
    <w:rsid w:val="00137197"/>
    <w:rsid w:val="00151D39"/>
    <w:rsid w:val="0017404B"/>
    <w:rsid w:val="00183AD7"/>
    <w:rsid w:val="001A603E"/>
    <w:rsid w:val="001A67F0"/>
    <w:rsid w:val="001B07DC"/>
    <w:rsid w:val="001D4F15"/>
    <w:rsid w:val="001E4D9A"/>
    <w:rsid w:val="001E6764"/>
    <w:rsid w:val="001F197B"/>
    <w:rsid w:val="0021530D"/>
    <w:rsid w:val="0021724A"/>
    <w:rsid w:val="00221237"/>
    <w:rsid w:val="002424D3"/>
    <w:rsid w:val="0024510B"/>
    <w:rsid w:val="0025529C"/>
    <w:rsid w:val="002600DF"/>
    <w:rsid w:val="00265E71"/>
    <w:rsid w:val="00281436"/>
    <w:rsid w:val="00283A03"/>
    <w:rsid w:val="0029530E"/>
    <w:rsid w:val="002A058F"/>
    <w:rsid w:val="002A66C3"/>
    <w:rsid w:val="002B221D"/>
    <w:rsid w:val="002B44DC"/>
    <w:rsid w:val="002C7828"/>
    <w:rsid w:val="00316ABD"/>
    <w:rsid w:val="003178C8"/>
    <w:rsid w:val="0033069C"/>
    <w:rsid w:val="003662E4"/>
    <w:rsid w:val="00392A32"/>
    <w:rsid w:val="003C1540"/>
    <w:rsid w:val="003C4FCA"/>
    <w:rsid w:val="003C6226"/>
    <w:rsid w:val="003D5FC5"/>
    <w:rsid w:val="003E7AD0"/>
    <w:rsid w:val="003F3F65"/>
    <w:rsid w:val="00402A94"/>
    <w:rsid w:val="004125D4"/>
    <w:rsid w:val="004139E0"/>
    <w:rsid w:val="004331C3"/>
    <w:rsid w:val="004335DC"/>
    <w:rsid w:val="00453642"/>
    <w:rsid w:val="00461D18"/>
    <w:rsid w:val="0047147C"/>
    <w:rsid w:val="00472AF7"/>
    <w:rsid w:val="004A620A"/>
    <w:rsid w:val="004C3664"/>
    <w:rsid w:val="004C71AE"/>
    <w:rsid w:val="004D288B"/>
    <w:rsid w:val="004D5142"/>
    <w:rsid w:val="004D606E"/>
    <w:rsid w:val="004F1299"/>
    <w:rsid w:val="005042F1"/>
    <w:rsid w:val="00512132"/>
    <w:rsid w:val="00536F45"/>
    <w:rsid w:val="00542994"/>
    <w:rsid w:val="00551EBC"/>
    <w:rsid w:val="00556BDB"/>
    <w:rsid w:val="005635DA"/>
    <w:rsid w:val="00576F82"/>
    <w:rsid w:val="00596508"/>
    <w:rsid w:val="005A2F59"/>
    <w:rsid w:val="005B5AF6"/>
    <w:rsid w:val="005C6B62"/>
    <w:rsid w:val="005C7ED1"/>
    <w:rsid w:val="005D4D47"/>
    <w:rsid w:val="005F0CED"/>
    <w:rsid w:val="0061331A"/>
    <w:rsid w:val="00615F7D"/>
    <w:rsid w:val="0062563C"/>
    <w:rsid w:val="00637386"/>
    <w:rsid w:val="00646F99"/>
    <w:rsid w:val="006514D8"/>
    <w:rsid w:val="00653756"/>
    <w:rsid w:val="006548F6"/>
    <w:rsid w:val="00665C17"/>
    <w:rsid w:val="00672087"/>
    <w:rsid w:val="00681A09"/>
    <w:rsid w:val="00683445"/>
    <w:rsid w:val="006909F8"/>
    <w:rsid w:val="00691B8E"/>
    <w:rsid w:val="00692187"/>
    <w:rsid w:val="006D0A76"/>
    <w:rsid w:val="006D2B08"/>
    <w:rsid w:val="006D55A6"/>
    <w:rsid w:val="006E5531"/>
    <w:rsid w:val="00705894"/>
    <w:rsid w:val="007502A6"/>
    <w:rsid w:val="00757C72"/>
    <w:rsid w:val="00761607"/>
    <w:rsid w:val="007A21C9"/>
    <w:rsid w:val="007B1244"/>
    <w:rsid w:val="007C6A31"/>
    <w:rsid w:val="007D31A3"/>
    <w:rsid w:val="007E7ACB"/>
    <w:rsid w:val="007E7ED2"/>
    <w:rsid w:val="007F631D"/>
    <w:rsid w:val="00800FB2"/>
    <w:rsid w:val="00807836"/>
    <w:rsid w:val="008214E5"/>
    <w:rsid w:val="00842D78"/>
    <w:rsid w:val="00845AC9"/>
    <w:rsid w:val="00881D25"/>
    <w:rsid w:val="008822FA"/>
    <w:rsid w:val="008A0091"/>
    <w:rsid w:val="008B2E1A"/>
    <w:rsid w:val="008F5C0E"/>
    <w:rsid w:val="008F6E98"/>
    <w:rsid w:val="0090564C"/>
    <w:rsid w:val="00907687"/>
    <w:rsid w:val="009228D3"/>
    <w:rsid w:val="00923B63"/>
    <w:rsid w:val="00933C29"/>
    <w:rsid w:val="0094110F"/>
    <w:rsid w:val="009465E5"/>
    <w:rsid w:val="00946CAD"/>
    <w:rsid w:val="0097103B"/>
    <w:rsid w:val="00991613"/>
    <w:rsid w:val="00994E91"/>
    <w:rsid w:val="009B1D64"/>
    <w:rsid w:val="009B664C"/>
    <w:rsid w:val="009D0A35"/>
    <w:rsid w:val="009D214A"/>
    <w:rsid w:val="009E1D95"/>
    <w:rsid w:val="00A00763"/>
    <w:rsid w:val="00A10708"/>
    <w:rsid w:val="00A15BB4"/>
    <w:rsid w:val="00A15C85"/>
    <w:rsid w:val="00A23E65"/>
    <w:rsid w:val="00A4504A"/>
    <w:rsid w:val="00A6308C"/>
    <w:rsid w:val="00A7112F"/>
    <w:rsid w:val="00A73F74"/>
    <w:rsid w:val="00A7439B"/>
    <w:rsid w:val="00A81ABF"/>
    <w:rsid w:val="00A8402B"/>
    <w:rsid w:val="00A94ADF"/>
    <w:rsid w:val="00AA2D07"/>
    <w:rsid w:val="00AA4254"/>
    <w:rsid w:val="00AF190A"/>
    <w:rsid w:val="00B133F7"/>
    <w:rsid w:val="00B2277B"/>
    <w:rsid w:val="00B35896"/>
    <w:rsid w:val="00B40B48"/>
    <w:rsid w:val="00B4581E"/>
    <w:rsid w:val="00B76832"/>
    <w:rsid w:val="00B8376A"/>
    <w:rsid w:val="00BA5CCA"/>
    <w:rsid w:val="00BB599C"/>
    <w:rsid w:val="00BC102D"/>
    <w:rsid w:val="00BC2A3F"/>
    <w:rsid w:val="00BC645E"/>
    <w:rsid w:val="00BE0234"/>
    <w:rsid w:val="00BE3EB8"/>
    <w:rsid w:val="00BF2166"/>
    <w:rsid w:val="00C05602"/>
    <w:rsid w:val="00C06F2F"/>
    <w:rsid w:val="00C13959"/>
    <w:rsid w:val="00C2296C"/>
    <w:rsid w:val="00C24D8D"/>
    <w:rsid w:val="00C343D7"/>
    <w:rsid w:val="00C35DB1"/>
    <w:rsid w:val="00C369A3"/>
    <w:rsid w:val="00C40977"/>
    <w:rsid w:val="00C61B5D"/>
    <w:rsid w:val="00C674C9"/>
    <w:rsid w:val="00C748D8"/>
    <w:rsid w:val="00C80F2D"/>
    <w:rsid w:val="00C95410"/>
    <w:rsid w:val="00CA66E0"/>
    <w:rsid w:val="00CA71E5"/>
    <w:rsid w:val="00CB21C1"/>
    <w:rsid w:val="00CB4165"/>
    <w:rsid w:val="00CC4329"/>
    <w:rsid w:val="00CE0F09"/>
    <w:rsid w:val="00D00A69"/>
    <w:rsid w:val="00D10578"/>
    <w:rsid w:val="00D236E0"/>
    <w:rsid w:val="00D2604B"/>
    <w:rsid w:val="00D36468"/>
    <w:rsid w:val="00D552F5"/>
    <w:rsid w:val="00D626C2"/>
    <w:rsid w:val="00D65773"/>
    <w:rsid w:val="00D97F4C"/>
    <w:rsid w:val="00DD46F2"/>
    <w:rsid w:val="00DD690F"/>
    <w:rsid w:val="00DE1986"/>
    <w:rsid w:val="00E02CF6"/>
    <w:rsid w:val="00E12071"/>
    <w:rsid w:val="00E125AB"/>
    <w:rsid w:val="00E1496C"/>
    <w:rsid w:val="00E438E3"/>
    <w:rsid w:val="00E745DF"/>
    <w:rsid w:val="00E8773A"/>
    <w:rsid w:val="00EB1508"/>
    <w:rsid w:val="00EC383C"/>
    <w:rsid w:val="00EC40FD"/>
    <w:rsid w:val="00EC6AA1"/>
    <w:rsid w:val="00ED6E4B"/>
    <w:rsid w:val="00F00196"/>
    <w:rsid w:val="00F0316D"/>
    <w:rsid w:val="00F12BA8"/>
    <w:rsid w:val="00F22BD5"/>
    <w:rsid w:val="00F53F7C"/>
    <w:rsid w:val="00F5561F"/>
    <w:rsid w:val="00F55FA5"/>
    <w:rsid w:val="00F7418F"/>
    <w:rsid w:val="00F82D17"/>
    <w:rsid w:val="00FB137E"/>
    <w:rsid w:val="00FD2044"/>
    <w:rsid w:val="00FE58EE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7B0B"/>
  <w15:chartTrackingRefBased/>
  <w15:docId w15:val="{C5FD54B0-5363-40F1-950B-CDC429C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1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E8EBBB996DB47A337624F94F1FFC7" ma:contentTypeVersion="17" ma:contentTypeDescription="Create a new document." ma:contentTypeScope="" ma:versionID="47c18082de3accdac46c856ae284860d">
  <xsd:schema xmlns:xsd="http://www.w3.org/2001/XMLSchema" xmlns:xs="http://www.w3.org/2001/XMLSchema" xmlns:p="http://schemas.microsoft.com/office/2006/metadata/properties" xmlns:ns2="556efc0a-87e0-423d-a808-41f60acde31c" xmlns:ns3="02726c10-34f2-49b5-8ce6-b6efaf8f9534" targetNamespace="http://schemas.microsoft.com/office/2006/metadata/properties" ma:root="true" ma:fieldsID="e809c46d965928134a611bebfd603b70" ns2:_="" ns3:_="">
    <xsd:import namespace="556efc0a-87e0-423d-a808-41f60acde31c"/>
    <xsd:import namespace="02726c10-34f2-49b5-8ce6-b6efaf8f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efc0a-87e0-423d-a808-41f60acde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9d012c-5cc6-4b8c-ac46-f71aa3c52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6c10-34f2-49b5-8ce6-b6efaf8f95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77b758-15ac-4e95-9937-1589202fda94}" ma:internalName="TaxCatchAll" ma:showField="CatchAllData" ma:web="02726c10-34f2-49b5-8ce6-b6efaf8f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efc0a-87e0-423d-a808-41f60acde31c">
      <Terms xmlns="http://schemas.microsoft.com/office/infopath/2007/PartnerControls"/>
    </lcf76f155ced4ddcb4097134ff3c332f>
    <TaxCatchAll xmlns="02726c10-34f2-49b5-8ce6-b6efaf8f9534" xsi:nil="true"/>
  </documentManagement>
</p:properties>
</file>

<file path=customXml/itemProps1.xml><?xml version="1.0" encoding="utf-8"?>
<ds:datastoreItem xmlns:ds="http://schemas.openxmlformats.org/officeDocument/2006/customXml" ds:itemID="{0D799839-1D33-4DF6-9E28-2B745CCEF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12FD64-A310-4C18-9D7A-7C8DC6C9DADF}"/>
</file>

<file path=customXml/itemProps3.xml><?xml version="1.0" encoding="utf-8"?>
<ds:datastoreItem xmlns:ds="http://schemas.openxmlformats.org/officeDocument/2006/customXml" ds:itemID="{415C5F5B-5640-4114-B53D-C83095F3A247}"/>
</file>

<file path=customXml/itemProps4.xml><?xml version="1.0" encoding="utf-8"?>
<ds:datastoreItem xmlns:ds="http://schemas.openxmlformats.org/officeDocument/2006/customXml" ds:itemID="{F6968957-5C98-4471-9C6F-41A128820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4544</Characters>
  <Application>Microsoft Office Word</Application>
  <DocSecurity>4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Ira</dc:creator>
  <cp:keywords/>
  <dc:description/>
  <cp:lastModifiedBy>Kylie Rees</cp:lastModifiedBy>
  <cp:revision>2</cp:revision>
  <dcterms:created xsi:type="dcterms:W3CDTF">2024-08-09T03:03:00Z</dcterms:created>
  <dcterms:modified xsi:type="dcterms:W3CDTF">2024-08-09T03:03:00Z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0x010100442E8EBBB996DB47A337624F94F1FFC7</vt:lpwstr>
  </property>
</Properties>
</file>