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64D6" w14:textId="77777777" w:rsidR="00A27EEA" w:rsidRDefault="00A27EEA" w:rsidP="00A27EEA">
      <w:pPr>
        <w:pStyle w:val="Header"/>
        <w:ind w:left="-426"/>
      </w:pPr>
      <w:r>
        <w:rPr>
          <w:noProof/>
        </w:rPr>
        <w:drawing>
          <wp:inline distT="0" distB="0" distL="0" distR="0" wp14:anchorId="726D33FC" wp14:editId="05982F34">
            <wp:extent cx="3044283" cy="1170363"/>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1" cstate="print">
                      <a:extLst>
                        <a:ext uri="{28A0092B-C50C-407E-A947-70E740481C1C}">
                          <a14:useLocalDpi xmlns:a14="http://schemas.microsoft.com/office/drawing/2010/main" val="0"/>
                        </a:ext>
                      </a:extLst>
                    </a:blip>
                    <a:srcRect l="9125" t="15078" r="9125" b="-8600"/>
                    <a:stretch/>
                  </pic:blipFill>
                  <pic:spPr bwMode="auto">
                    <a:xfrm>
                      <a:off x="0" y="0"/>
                      <a:ext cx="3052867" cy="1173663"/>
                    </a:xfrm>
                    <a:prstGeom prst="rect">
                      <a:avLst/>
                    </a:prstGeom>
                    <a:ln>
                      <a:noFill/>
                    </a:ln>
                    <a:extLst>
                      <a:ext uri="{53640926-AAD7-44D8-BBD7-CCE9431645EC}">
                        <a14:shadowObscured xmlns:a14="http://schemas.microsoft.com/office/drawing/2010/main"/>
                      </a:ext>
                    </a:extLst>
                  </pic:spPr>
                </pic:pic>
              </a:graphicData>
            </a:graphic>
          </wp:inline>
        </w:drawing>
      </w:r>
    </w:p>
    <w:p w14:paraId="5671432D" w14:textId="77777777" w:rsidR="0099014D" w:rsidRPr="0099014D" w:rsidRDefault="0099014D" w:rsidP="0099014D">
      <w:r w:rsidRPr="0099014D">
        <w:t xml:space="preserve">Investing in a more inclusive NSW offers returns for everyone.  The identifiable cost savings available in the short-term speak to the urgency of </w:t>
      </w:r>
      <w:proofErr w:type="gramStart"/>
      <w:r w:rsidRPr="0099014D">
        <w:t>taking action</w:t>
      </w:r>
      <w:proofErr w:type="gramEnd"/>
      <w:r w:rsidRPr="0099014D">
        <w:t xml:space="preserve"> on inclusion.  </w:t>
      </w:r>
    </w:p>
    <w:p w14:paraId="522AF04F" w14:textId="77777777" w:rsidR="0099014D" w:rsidRDefault="0099014D" w:rsidP="0099014D">
      <w:r w:rsidRPr="0099014D">
        <w:t xml:space="preserve">We have reflected investment and cost savings for the financial year. However, investing in ending homelessness within 10 years offers the opportunity for NSW to avoid a compounding trajectory of negative impacts on educational achievement, employment, health and law enforcement that homelessness causes.  </w:t>
      </w:r>
    </w:p>
    <w:p w14:paraId="0F1ABB14" w14:textId="77777777" w:rsidR="0099014D" w:rsidRPr="0099014D" w:rsidRDefault="0099014D" w:rsidP="0099014D"/>
    <w:tbl>
      <w:tblPr>
        <w:tblStyle w:val="TableGrid"/>
        <w:tblW w:w="0" w:type="auto"/>
        <w:tblLook w:val="04A0" w:firstRow="1" w:lastRow="0" w:firstColumn="1" w:lastColumn="0" w:noHBand="0" w:noVBand="1"/>
      </w:tblPr>
      <w:tblGrid>
        <w:gridCol w:w="4390"/>
        <w:gridCol w:w="2409"/>
        <w:gridCol w:w="2217"/>
      </w:tblGrid>
      <w:tr w:rsidR="0099014D" w:rsidRPr="0024008B" w14:paraId="5D0A836B" w14:textId="77777777" w:rsidTr="00702FA0">
        <w:tc>
          <w:tcPr>
            <w:tcW w:w="4390" w:type="dxa"/>
          </w:tcPr>
          <w:p w14:paraId="5451F42B" w14:textId="77777777" w:rsidR="0099014D" w:rsidRPr="0099014D" w:rsidRDefault="0099014D" w:rsidP="0099014D">
            <w:r w:rsidRPr="0099014D">
              <w:t>Item</w:t>
            </w:r>
          </w:p>
        </w:tc>
        <w:tc>
          <w:tcPr>
            <w:tcW w:w="2409" w:type="dxa"/>
          </w:tcPr>
          <w:p w14:paraId="6710FDEB" w14:textId="77777777" w:rsidR="0099014D" w:rsidRPr="0099014D" w:rsidRDefault="0099014D" w:rsidP="0099014D">
            <w:r w:rsidRPr="0099014D">
              <w:t>2025/6 Investment by Government</w:t>
            </w:r>
          </w:p>
        </w:tc>
        <w:tc>
          <w:tcPr>
            <w:tcW w:w="2217" w:type="dxa"/>
          </w:tcPr>
          <w:p w14:paraId="11EA1A95" w14:textId="77777777" w:rsidR="0099014D" w:rsidRPr="0099014D" w:rsidRDefault="0099014D" w:rsidP="0099014D">
            <w:r w:rsidRPr="0099014D">
              <w:t>2005/6 Cost Saving</w:t>
            </w:r>
          </w:p>
        </w:tc>
      </w:tr>
      <w:tr w:rsidR="0099014D" w:rsidRPr="0024008B" w14:paraId="39FD2894" w14:textId="77777777" w:rsidTr="00702FA0">
        <w:tc>
          <w:tcPr>
            <w:tcW w:w="4390" w:type="dxa"/>
          </w:tcPr>
          <w:p w14:paraId="77609009" w14:textId="77777777" w:rsidR="0099014D" w:rsidRPr="0099014D" w:rsidRDefault="0099014D" w:rsidP="0099014D"/>
        </w:tc>
        <w:tc>
          <w:tcPr>
            <w:tcW w:w="2409" w:type="dxa"/>
          </w:tcPr>
          <w:p w14:paraId="4E82A640" w14:textId="77777777" w:rsidR="0099014D" w:rsidRPr="0099014D" w:rsidRDefault="0099014D" w:rsidP="0099014D"/>
        </w:tc>
        <w:tc>
          <w:tcPr>
            <w:tcW w:w="2217" w:type="dxa"/>
          </w:tcPr>
          <w:p w14:paraId="0530BE32" w14:textId="77777777" w:rsidR="0099014D" w:rsidRPr="0099014D" w:rsidRDefault="0099014D" w:rsidP="0099014D"/>
        </w:tc>
      </w:tr>
      <w:tr w:rsidR="0099014D" w:rsidRPr="0024008B" w14:paraId="71CC2C9D" w14:textId="77777777" w:rsidTr="00702FA0">
        <w:tc>
          <w:tcPr>
            <w:tcW w:w="9016" w:type="dxa"/>
            <w:gridSpan w:val="3"/>
          </w:tcPr>
          <w:p w14:paraId="400A9A3F" w14:textId="77777777" w:rsidR="0099014D" w:rsidRPr="0099014D" w:rsidRDefault="0099014D" w:rsidP="00ED6ED4">
            <w:pPr>
              <w:pStyle w:val="Heading3"/>
            </w:pPr>
            <w:r w:rsidRPr="0099014D">
              <w:t>Healthcare</w:t>
            </w:r>
          </w:p>
        </w:tc>
      </w:tr>
      <w:tr w:rsidR="0099014D" w:rsidRPr="0024008B" w14:paraId="69DEE484" w14:textId="77777777" w:rsidTr="00702FA0">
        <w:tc>
          <w:tcPr>
            <w:tcW w:w="4390" w:type="dxa"/>
          </w:tcPr>
          <w:p w14:paraId="40D8790C" w14:textId="77777777" w:rsidR="0099014D" w:rsidRPr="0099014D" w:rsidRDefault="0099014D" w:rsidP="0099014D">
            <w:r w:rsidRPr="0099014D">
              <w:t xml:space="preserve">Healthcare Disability awareness training development </w:t>
            </w:r>
          </w:p>
        </w:tc>
        <w:tc>
          <w:tcPr>
            <w:tcW w:w="2409" w:type="dxa"/>
          </w:tcPr>
          <w:p w14:paraId="4BA89E7F" w14:textId="77777777" w:rsidR="0099014D" w:rsidRPr="0099014D" w:rsidRDefault="0099014D" w:rsidP="0099014D">
            <w:pPr>
              <w:pStyle w:val="BodyText"/>
            </w:pPr>
            <w:r w:rsidRPr="0099014D">
              <w:t>$312,260</w:t>
            </w:r>
          </w:p>
          <w:p w14:paraId="1ED53F83" w14:textId="77777777" w:rsidR="0099014D" w:rsidRPr="0099014D" w:rsidRDefault="0099014D" w:rsidP="0099014D"/>
        </w:tc>
        <w:tc>
          <w:tcPr>
            <w:tcW w:w="2217" w:type="dxa"/>
          </w:tcPr>
          <w:p w14:paraId="75F2421A" w14:textId="77777777" w:rsidR="0099014D" w:rsidRPr="0099014D" w:rsidRDefault="0099014D" w:rsidP="0099014D"/>
        </w:tc>
      </w:tr>
      <w:tr w:rsidR="0099014D" w:rsidRPr="0024008B" w14:paraId="41DB5E35" w14:textId="77777777" w:rsidTr="00702FA0">
        <w:tc>
          <w:tcPr>
            <w:tcW w:w="4390" w:type="dxa"/>
          </w:tcPr>
          <w:p w14:paraId="26F18C92" w14:textId="77777777" w:rsidR="0099014D" w:rsidRPr="0099014D" w:rsidRDefault="0099014D" w:rsidP="0099014D">
            <w:r w:rsidRPr="0099014D">
              <w:t>Health and wellbeing savings from improving disability access to prevention measures</w:t>
            </w:r>
            <w:r w:rsidRPr="0099014D">
              <w:rPr>
                <w:rStyle w:val="EndnoteReference"/>
              </w:rPr>
              <w:endnoteReference w:id="1"/>
            </w:r>
          </w:p>
        </w:tc>
        <w:tc>
          <w:tcPr>
            <w:tcW w:w="2409" w:type="dxa"/>
          </w:tcPr>
          <w:p w14:paraId="1BAA971B" w14:textId="77777777" w:rsidR="0099014D" w:rsidRPr="0099014D" w:rsidRDefault="0099014D" w:rsidP="0099014D"/>
        </w:tc>
        <w:tc>
          <w:tcPr>
            <w:tcW w:w="2217" w:type="dxa"/>
          </w:tcPr>
          <w:p w14:paraId="7A73A705" w14:textId="77777777" w:rsidR="0099014D" w:rsidRPr="0099014D" w:rsidRDefault="0099014D" w:rsidP="0099014D">
            <w:r w:rsidRPr="0099014D">
              <w:t>$1,498,000,000</w:t>
            </w:r>
          </w:p>
        </w:tc>
      </w:tr>
      <w:tr w:rsidR="0099014D" w:rsidRPr="00CA7579" w14:paraId="51D0897F" w14:textId="77777777" w:rsidTr="00702FA0">
        <w:tc>
          <w:tcPr>
            <w:tcW w:w="9016" w:type="dxa"/>
            <w:gridSpan w:val="3"/>
          </w:tcPr>
          <w:p w14:paraId="17B9E69B" w14:textId="77777777" w:rsidR="0099014D" w:rsidRPr="0099014D" w:rsidRDefault="0099014D" w:rsidP="00ED6ED4">
            <w:pPr>
              <w:pStyle w:val="Heading3"/>
            </w:pPr>
            <w:r w:rsidRPr="0099014D">
              <w:t>Skilled</w:t>
            </w:r>
          </w:p>
        </w:tc>
      </w:tr>
      <w:tr w:rsidR="0099014D" w:rsidRPr="0024008B" w14:paraId="3FF13152" w14:textId="77777777" w:rsidTr="00702FA0">
        <w:tc>
          <w:tcPr>
            <w:tcW w:w="4390" w:type="dxa"/>
          </w:tcPr>
          <w:p w14:paraId="4837A806" w14:textId="77777777" w:rsidR="0099014D" w:rsidRPr="0099014D" w:rsidRDefault="0099014D" w:rsidP="0099014D">
            <w:r w:rsidRPr="0099014D">
              <w:t xml:space="preserve">Education investment in 3 pilots to learn how best to support improved learning outcomes in schools for children with disability </w:t>
            </w:r>
          </w:p>
        </w:tc>
        <w:tc>
          <w:tcPr>
            <w:tcW w:w="2409" w:type="dxa"/>
          </w:tcPr>
          <w:p w14:paraId="1A35D4AF" w14:textId="77777777" w:rsidR="0099014D" w:rsidRPr="0099014D" w:rsidRDefault="0099014D" w:rsidP="0099014D">
            <w:pPr>
              <w:pStyle w:val="BodyText"/>
            </w:pPr>
            <w:r w:rsidRPr="0099014D">
              <w:t>$300,000</w:t>
            </w:r>
          </w:p>
        </w:tc>
        <w:tc>
          <w:tcPr>
            <w:tcW w:w="2217" w:type="dxa"/>
          </w:tcPr>
          <w:p w14:paraId="1E2D03A2" w14:textId="77777777" w:rsidR="0099014D" w:rsidRPr="0099014D" w:rsidRDefault="0099014D" w:rsidP="0099014D"/>
        </w:tc>
      </w:tr>
      <w:tr w:rsidR="0099014D" w:rsidRPr="0024008B" w14:paraId="0504CB25" w14:textId="77777777" w:rsidTr="00702FA0">
        <w:tc>
          <w:tcPr>
            <w:tcW w:w="9016" w:type="dxa"/>
            <w:gridSpan w:val="3"/>
          </w:tcPr>
          <w:p w14:paraId="22FDFDF8" w14:textId="77777777" w:rsidR="0099014D" w:rsidRPr="0099014D" w:rsidRDefault="0099014D" w:rsidP="00ED6ED4">
            <w:pPr>
              <w:pStyle w:val="Heading3"/>
            </w:pPr>
            <w:r w:rsidRPr="0099014D">
              <w:t>Investing in Housing</w:t>
            </w:r>
          </w:p>
        </w:tc>
      </w:tr>
      <w:tr w:rsidR="0099014D" w:rsidRPr="0024008B" w14:paraId="04B27B68" w14:textId="77777777" w:rsidTr="00702FA0">
        <w:tc>
          <w:tcPr>
            <w:tcW w:w="4390" w:type="dxa"/>
          </w:tcPr>
          <w:p w14:paraId="23F1F8D3" w14:textId="77777777" w:rsidR="0099014D" w:rsidRPr="0099014D" w:rsidRDefault="0099014D" w:rsidP="0099014D">
            <w:r w:rsidRPr="0099014D">
              <w:t xml:space="preserve">Signing up to the National Construction Code </w:t>
            </w:r>
          </w:p>
        </w:tc>
        <w:tc>
          <w:tcPr>
            <w:tcW w:w="2409" w:type="dxa"/>
          </w:tcPr>
          <w:p w14:paraId="14E37AD7" w14:textId="77777777" w:rsidR="0099014D" w:rsidRPr="0099014D" w:rsidRDefault="0099014D" w:rsidP="0099014D">
            <w:r w:rsidRPr="0099014D">
              <w:t>$0</w:t>
            </w:r>
          </w:p>
        </w:tc>
        <w:tc>
          <w:tcPr>
            <w:tcW w:w="2217" w:type="dxa"/>
          </w:tcPr>
          <w:p w14:paraId="75EC48D1" w14:textId="77777777" w:rsidR="0099014D" w:rsidRPr="0099014D" w:rsidRDefault="0099014D" w:rsidP="0099014D"/>
        </w:tc>
      </w:tr>
      <w:tr w:rsidR="0099014D" w:rsidRPr="0024008B" w14:paraId="227B97EA" w14:textId="77777777" w:rsidTr="00702FA0">
        <w:tc>
          <w:tcPr>
            <w:tcW w:w="4390" w:type="dxa"/>
          </w:tcPr>
          <w:p w14:paraId="4E34F376" w14:textId="77777777" w:rsidR="0099014D" w:rsidRPr="0099014D" w:rsidRDefault="0099014D" w:rsidP="0099014D">
            <w:r w:rsidRPr="0099014D">
              <w:t>Current cost of people in NSW being homeless</w:t>
            </w:r>
            <w:r w:rsidRPr="0099014D">
              <w:rPr>
                <w:rStyle w:val="EndnoteReference"/>
              </w:rPr>
              <w:endnoteReference w:id="2"/>
            </w:r>
          </w:p>
        </w:tc>
        <w:tc>
          <w:tcPr>
            <w:tcW w:w="2409" w:type="dxa"/>
          </w:tcPr>
          <w:p w14:paraId="606CD5EC" w14:textId="77777777" w:rsidR="0099014D" w:rsidRPr="0099014D" w:rsidRDefault="0099014D" w:rsidP="0099014D">
            <w:r w:rsidRPr="0099014D">
              <w:t>$6,510,000,000</w:t>
            </w:r>
          </w:p>
        </w:tc>
        <w:tc>
          <w:tcPr>
            <w:tcW w:w="2217" w:type="dxa"/>
          </w:tcPr>
          <w:p w14:paraId="4A57B9B1" w14:textId="77777777" w:rsidR="0099014D" w:rsidRPr="0099014D" w:rsidRDefault="0099014D" w:rsidP="0099014D"/>
        </w:tc>
      </w:tr>
      <w:tr w:rsidR="0099014D" w:rsidRPr="0024008B" w14:paraId="0BFF6D7C" w14:textId="77777777" w:rsidTr="00702FA0">
        <w:tc>
          <w:tcPr>
            <w:tcW w:w="4390" w:type="dxa"/>
          </w:tcPr>
          <w:p w14:paraId="7A7FB2F6" w14:textId="77777777" w:rsidR="0099014D" w:rsidRPr="0099014D" w:rsidRDefault="0099014D" w:rsidP="0099014D">
            <w:r w:rsidRPr="0099014D">
              <w:t>Building to end homelessness within 10 years</w:t>
            </w:r>
            <w:r w:rsidRPr="0099014D">
              <w:rPr>
                <w:rStyle w:val="EndnoteReference"/>
              </w:rPr>
              <w:endnoteReference w:id="3"/>
            </w:r>
          </w:p>
        </w:tc>
        <w:tc>
          <w:tcPr>
            <w:tcW w:w="2409" w:type="dxa"/>
          </w:tcPr>
          <w:p w14:paraId="10018819" w14:textId="77777777" w:rsidR="0099014D" w:rsidRPr="0099014D" w:rsidRDefault="0099014D" w:rsidP="0099014D">
            <w:r w:rsidRPr="0099014D">
              <w:t>$2,600,000,000</w:t>
            </w:r>
          </w:p>
        </w:tc>
        <w:tc>
          <w:tcPr>
            <w:tcW w:w="2217" w:type="dxa"/>
          </w:tcPr>
          <w:p w14:paraId="25CEDCF5" w14:textId="77777777" w:rsidR="0099014D" w:rsidRPr="0099014D" w:rsidRDefault="0099014D" w:rsidP="0099014D"/>
        </w:tc>
      </w:tr>
      <w:tr w:rsidR="0099014D" w:rsidRPr="0024008B" w14:paraId="2F57AC79" w14:textId="77777777" w:rsidTr="00702FA0">
        <w:tc>
          <w:tcPr>
            <w:tcW w:w="4390" w:type="dxa"/>
          </w:tcPr>
          <w:p w14:paraId="6117F6A7" w14:textId="77777777" w:rsidR="0099014D" w:rsidRPr="0099014D" w:rsidRDefault="0099014D" w:rsidP="0099014D">
            <w:r w:rsidRPr="0099014D">
              <w:lastRenderedPageBreak/>
              <w:t>Annualised cost saving</w:t>
            </w:r>
            <w:r w:rsidRPr="0099014D">
              <w:rPr>
                <w:rStyle w:val="EndnoteReference"/>
              </w:rPr>
              <w:endnoteReference w:id="4"/>
            </w:r>
            <w:r w:rsidRPr="0099014D">
              <w:t xml:space="preserve"> </w:t>
            </w:r>
          </w:p>
        </w:tc>
        <w:tc>
          <w:tcPr>
            <w:tcW w:w="2409" w:type="dxa"/>
          </w:tcPr>
          <w:p w14:paraId="6F5E3EE1" w14:textId="77777777" w:rsidR="0099014D" w:rsidRPr="0099014D" w:rsidRDefault="0099014D" w:rsidP="0099014D"/>
        </w:tc>
        <w:tc>
          <w:tcPr>
            <w:tcW w:w="2217" w:type="dxa"/>
          </w:tcPr>
          <w:p w14:paraId="0D9F3241" w14:textId="77777777" w:rsidR="0099014D" w:rsidRPr="0099014D" w:rsidRDefault="0099014D" w:rsidP="0099014D">
            <w:r w:rsidRPr="0099014D">
              <w:t>$3,910,000,000</w:t>
            </w:r>
          </w:p>
        </w:tc>
      </w:tr>
      <w:tr w:rsidR="0099014D" w:rsidRPr="007A3C18" w14:paraId="48164391" w14:textId="77777777" w:rsidTr="00702FA0">
        <w:tc>
          <w:tcPr>
            <w:tcW w:w="9016" w:type="dxa"/>
            <w:gridSpan w:val="3"/>
          </w:tcPr>
          <w:p w14:paraId="51807506" w14:textId="77777777" w:rsidR="0099014D" w:rsidRPr="0099014D" w:rsidRDefault="0099014D" w:rsidP="00ED6ED4">
            <w:pPr>
              <w:pStyle w:val="Heading3"/>
            </w:pPr>
            <w:r w:rsidRPr="0099014D">
              <w:t>Investing in homelessness services</w:t>
            </w:r>
          </w:p>
        </w:tc>
      </w:tr>
      <w:tr w:rsidR="0099014D" w:rsidRPr="0024008B" w14:paraId="6B250153" w14:textId="77777777" w:rsidTr="00702FA0">
        <w:tc>
          <w:tcPr>
            <w:tcW w:w="4390" w:type="dxa"/>
          </w:tcPr>
          <w:p w14:paraId="192AEA18" w14:textId="0F2AB1BA" w:rsidR="0099014D" w:rsidRPr="0099014D" w:rsidRDefault="0099014D" w:rsidP="0099014D">
            <w:r w:rsidRPr="0099014D">
              <w:t>Together Home</w:t>
            </w:r>
            <w:r w:rsidR="00E31465">
              <w:rPr>
                <w:rStyle w:val="EndnoteReference"/>
              </w:rPr>
              <w:endnoteReference w:id="5"/>
            </w:r>
            <w:r w:rsidRPr="0099014D">
              <w:t xml:space="preserve"> </w:t>
            </w:r>
          </w:p>
        </w:tc>
        <w:tc>
          <w:tcPr>
            <w:tcW w:w="2409" w:type="dxa"/>
          </w:tcPr>
          <w:p w14:paraId="1E635B16" w14:textId="77777777" w:rsidR="0099014D" w:rsidRPr="0099014D" w:rsidRDefault="0099014D" w:rsidP="0099014D">
            <w:r w:rsidRPr="0099014D">
              <w:t>$11,300,000</w:t>
            </w:r>
          </w:p>
        </w:tc>
        <w:tc>
          <w:tcPr>
            <w:tcW w:w="2217" w:type="dxa"/>
          </w:tcPr>
          <w:p w14:paraId="64AA0F97" w14:textId="77777777" w:rsidR="0099014D" w:rsidRPr="0099014D" w:rsidRDefault="0099014D" w:rsidP="0099014D"/>
        </w:tc>
      </w:tr>
      <w:tr w:rsidR="0099014D" w:rsidRPr="0024008B" w14:paraId="7CF965B1" w14:textId="77777777" w:rsidTr="00702FA0">
        <w:tc>
          <w:tcPr>
            <w:tcW w:w="4390" w:type="dxa"/>
          </w:tcPr>
          <w:p w14:paraId="05B0B575" w14:textId="2D18853D" w:rsidR="0099014D" w:rsidRPr="0099014D" w:rsidRDefault="0099014D" w:rsidP="0099014D">
            <w:r w:rsidRPr="0099014D">
              <w:t>Housing Maintenance &amp; Accessibility Upgrades</w:t>
            </w:r>
            <w:r w:rsidR="00A15501">
              <w:rPr>
                <w:rStyle w:val="EndnoteReference"/>
              </w:rPr>
              <w:endnoteReference w:id="6"/>
            </w:r>
          </w:p>
        </w:tc>
        <w:tc>
          <w:tcPr>
            <w:tcW w:w="2409" w:type="dxa"/>
          </w:tcPr>
          <w:p w14:paraId="672DF6FC" w14:textId="77777777" w:rsidR="0099014D" w:rsidRPr="0099014D" w:rsidRDefault="0099014D" w:rsidP="0099014D">
            <w:r w:rsidRPr="0099014D">
              <w:t>$35,000,000</w:t>
            </w:r>
          </w:p>
        </w:tc>
        <w:tc>
          <w:tcPr>
            <w:tcW w:w="2217" w:type="dxa"/>
          </w:tcPr>
          <w:p w14:paraId="69690533" w14:textId="77777777" w:rsidR="0099014D" w:rsidRPr="0099014D" w:rsidRDefault="0099014D" w:rsidP="0099014D"/>
        </w:tc>
      </w:tr>
      <w:tr w:rsidR="0099014D" w:rsidRPr="0024008B" w14:paraId="18C7A08E" w14:textId="77777777" w:rsidTr="00702FA0">
        <w:tc>
          <w:tcPr>
            <w:tcW w:w="4390" w:type="dxa"/>
          </w:tcPr>
          <w:p w14:paraId="06BF3449" w14:textId="21E8D5F1" w:rsidR="0099014D" w:rsidRPr="0099014D" w:rsidRDefault="0099014D" w:rsidP="0099014D">
            <w:r w:rsidRPr="0099014D">
              <w:t>Preventing homelessness for 1300 people</w:t>
            </w:r>
            <w:r w:rsidR="000141F9">
              <w:rPr>
                <w:rStyle w:val="EndnoteReference"/>
              </w:rPr>
              <w:endnoteReference w:id="7"/>
            </w:r>
          </w:p>
        </w:tc>
        <w:tc>
          <w:tcPr>
            <w:tcW w:w="2409" w:type="dxa"/>
          </w:tcPr>
          <w:p w14:paraId="70458718" w14:textId="77777777" w:rsidR="0099014D" w:rsidRPr="0099014D" w:rsidRDefault="0099014D" w:rsidP="0099014D"/>
        </w:tc>
        <w:tc>
          <w:tcPr>
            <w:tcW w:w="2217" w:type="dxa"/>
          </w:tcPr>
          <w:p w14:paraId="365C94DD" w14:textId="77777777" w:rsidR="0099014D" w:rsidRPr="0099014D" w:rsidRDefault="0099014D" w:rsidP="0099014D">
            <w:r w:rsidRPr="0099014D">
              <w:t>$241,800,000</w:t>
            </w:r>
          </w:p>
        </w:tc>
      </w:tr>
      <w:tr w:rsidR="0099014D" w:rsidRPr="0024008B" w14:paraId="3732AA3C" w14:textId="77777777" w:rsidTr="00702FA0">
        <w:tc>
          <w:tcPr>
            <w:tcW w:w="9016" w:type="dxa"/>
            <w:gridSpan w:val="3"/>
          </w:tcPr>
          <w:p w14:paraId="3D6718E4" w14:textId="77777777" w:rsidR="0099014D" w:rsidRPr="0099014D" w:rsidRDefault="0099014D" w:rsidP="00833D46">
            <w:pPr>
              <w:pStyle w:val="Heading3"/>
            </w:pPr>
            <w:r w:rsidRPr="0099014D">
              <w:t>Safety</w:t>
            </w:r>
          </w:p>
        </w:tc>
      </w:tr>
      <w:tr w:rsidR="0099014D" w:rsidRPr="0024008B" w14:paraId="2EFA2E88" w14:textId="77777777" w:rsidTr="00702FA0">
        <w:tc>
          <w:tcPr>
            <w:tcW w:w="4390" w:type="dxa"/>
          </w:tcPr>
          <w:p w14:paraId="2DB99D9C" w14:textId="5CE2ABE0" w:rsidR="0099014D" w:rsidRPr="0099014D" w:rsidRDefault="0099014D" w:rsidP="00833D46">
            <w:pPr>
              <w:rPr>
                <w:highlight w:val="yellow"/>
              </w:rPr>
            </w:pPr>
            <w:r w:rsidRPr="0099014D">
              <w:t>Safe Housing (OCV)</w:t>
            </w:r>
            <w:r w:rsidR="00E206A8">
              <w:rPr>
                <w:rStyle w:val="EndnoteReference"/>
              </w:rPr>
              <w:endnoteReference w:id="8"/>
            </w:r>
          </w:p>
        </w:tc>
        <w:tc>
          <w:tcPr>
            <w:tcW w:w="2409" w:type="dxa"/>
          </w:tcPr>
          <w:p w14:paraId="44E02D08" w14:textId="77777777" w:rsidR="0099014D" w:rsidRPr="0099014D" w:rsidRDefault="0099014D" w:rsidP="00833D46">
            <w:r w:rsidRPr="0099014D">
              <w:t>$15,061,000</w:t>
            </w:r>
          </w:p>
        </w:tc>
        <w:tc>
          <w:tcPr>
            <w:tcW w:w="2217" w:type="dxa"/>
          </w:tcPr>
          <w:p w14:paraId="672C710F" w14:textId="77777777" w:rsidR="0099014D" w:rsidRPr="0099014D" w:rsidRDefault="0099014D" w:rsidP="00833D46"/>
        </w:tc>
      </w:tr>
      <w:tr w:rsidR="0099014D" w:rsidRPr="0024008B" w14:paraId="5751E1B3" w14:textId="77777777" w:rsidTr="00702FA0">
        <w:tc>
          <w:tcPr>
            <w:tcW w:w="4390" w:type="dxa"/>
          </w:tcPr>
          <w:p w14:paraId="4ED7E854" w14:textId="77777777" w:rsidR="0099014D" w:rsidRPr="0099014D" w:rsidRDefault="0099014D" w:rsidP="0099014D">
            <w:r w:rsidRPr="0099014D">
              <w:t>Savings from stopping violence and abuse</w:t>
            </w:r>
            <w:r w:rsidRPr="0099014D">
              <w:rPr>
                <w:rStyle w:val="EndnoteReference"/>
              </w:rPr>
              <w:endnoteReference w:id="9"/>
            </w:r>
            <w:r w:rsidRPr="0099014D">
              <w:t xml:space="preserve"> </w:t>
            </w:r>
          </w:p>
        </w:tc>
        <w:tc>
          <w:tcPr>
            <w:tcW w:w="2409" w:type="dxa"/>
          </w:tcPr>
          <w:p w14:paraId="4BF8BEF3" w14:textId="77777777" w:rsidR="0099014D" w:rsidRPr="0099014D" w:rsidRDefault="0099014D" w:rsidP="0099014D">
            <w:pPr>
              <w:pStyle w:val="BodyText"/>
            </w:pPr>
          </w:p>
        </w:tc>
        <w:tc>
          <w:tcPr>
            <w:tcW w:w="2217" w:type="dxa"/>
          </w:tcPr>
          <w:p w14:paraId="20C2415A" w14:textId="77777777" w:rsidR="0099014D" w:rsidRPr="0099014D" w:rsidRDefault="0099014D" w:rsidP="0099014D">
            <w:r w:rsidRPr="0099014D">
              <w:t>$16,704,000,000</w:t>
            </w:r>
          </w:p>
        </w:tc>
      </w:tr>
      <w:tr w:rsidR="0099014D" w:rsidRPr="00737B28" w14:paraId="4752E698" w14:textId="77777777" w:rsidTr="00702FA0">
        <w:tc>
          <w:tcPr>
            <w:tcW w:w="4390" w:type="dxa"/>
          </w:tcPr>
          <w:p w14:paraId="7B4C7F38" w14:textId="7D4DCEA1" w:rsidR="0099014D" w:rsidRPr="0099014D" w:rsidRDefault="0099014D" w:rsidP="0099014D">
            <w:r w:rsidRPr="0099014D">
              <w:t>Inclusive DFV services</w:t>
            </w:r>
            <w:r w:rsidR="001F1D03">
              <w:rPr>
                <w:rStyle w:val="EndnoteReference"/>
              </w:rPr>
              <w:endnoteReference w:id="10"/>
            </w:r>
            <w:r w:rsidRPr="0099014D">
              <w:t xml:space="preserve"> </w:t>
            </w:r>
          </w:p>
        </w:tc>
        <w:tc>
          <w:tcPr>
            <w:tcW w:w="2409" w:type="dxa"/>
          </w:tcPr>
          <w:p w14:paraId="40B97676" w14:textId="77777777" w:rsidR="0099014D" w:rsidRPr="0099014D" w:rsidRDefault="0099014D" w:rsidP="0099014D">
            <w:r w:rsidRPr="0099014D">
              <w:t>$1,802,817</w:t>
            </w:r>
          </w:p>
        </w:tc>
        <w:tc>
          <w:tcPr>
            <w:tcW w:w="2217" w:type="dxa"/>
          </w:tcPr>
          <w:p w14:paraId="26027518" w14:textId="77777777" w:rsidR="0099014D" w:rsidRPr="0099014D" w:rsidRDefault="0099014D" w:rsidP="0099014D"/>
        </w:tc>
      </w:tr>
      <w:tr w:rsidR="0099014D" w:rsidRPr="002032A8" w14:paraId="10E1CC12" w14:textId="77777777" w:rsidTr="00702FA0">
        <w:tc>
          <w:tcPr>
            <w:tcW w:w="9016" w:type="dxa"/>
            <w:gridSpan w:val="3"/>
          </w:tcPr>
          <w:p w14:paraId="52653CFE" w14:textId="77777777" w:rsidR="0099014D" w:rsidRPr="0099014D" w:rsidRDefault="0099014D" w:rsidP="00ED6ED4">
            <w:pPr>
              <w:pStyle w:val="Heading3"/>
            </w:pPr>
            <w:r w:rsidRPr="0099014D">
              <w:t>Inclusion</w:t>
            </w:r>
          </w:p>
        </w:tc>
      </w:tr>
      <w:tr w:rsidR="0099014D" w:rsidRPr="002032A8" w14:paraId="5916267D" w14:textId="77777777" w:rsidTr="00702FA0">
        <w:tc>
          <w:tcPr>
            <w:tcW w:w="4390" w:type="dxa"/>
          </w:tcPr>
          <w:p w14:paraId="415E8251" w14:textId="77777777" w:rsidR="0099014D" w:rsidRPr="0099014D" w:rsidRDefault="0099014D" w:rsidP="0099014D">
            <w:r w:rsidRPr="0099014D">
              <w:t>Inclusive Communities</w:t>
            </w:r>
            <w:r w:rsidRPr="0099014D">
              <w:rPr>
                <w:rStyle w:val="EndnoteReference"/>
              </w:rPr>
              <w:endnoteReference w:id="11"/>
            </w:r>
            <w:r w:rsidRPr="0099014D">
              <w:t xml:space="preserve"> </w:t>
            </w:r>
          </w:p>
        </w:tc>
        <w:tc>
          <w:tcPr>
            <w:tcW w:w="2409" w:type="dxa"/>
          </w:tcPr>
          <w:p w14:paraId="61BA249B" w14:textId="77777777" w:rsidR="0099014D" w:rsidRPr="0099014D" w:rsidRDefault="0099014D" w:rsidP="0099014D">
            <w:r w:rsidRPr="0099014D">
              <w:t>$1,000,000</w:t>
            </w:r>
          </w:p>
        </w:tc>
        <w:tc>
          <w:tcPr>
            <w:tcW w:w="2217" w:type="dxa"/>
          </w:tcPr>
          <w:p w14:paraId="3D1B3D94" w14:textId="77777777" w:rsidR="0099014D" w:rsidRPr="0099014D" w:rsidRDefault="0099014D" w:rsidP="0099014D"/>
        </w:tc>
      </w:tr>
      <w:tr w:rsidR="0099014D" w:rsidRPr="0024008B" w14:paraId="330EC76D" w14:textId="77777777" w:rsidTr="00702FA0">
        <w:tc>
          <w:tcPr>
            <w:tcW w:w="4390" w:type="dxa"/>
          </w:tcPr>
          <w:p w14:paraId="41CF6D71" w14:textId="77777777" w:rsidR="0099014D" w:rsidRPr="0099014D" w:rsidRDefault="0099014D" w:rsidP="0099014D">
            <w:r w:rsidRPr="0099014D">
              <w:t>Foundational Supports</w:t>
            </w:r>
            <w:r w:rsidRPr="0099014D">
              <w:rPr>
                <w:rStyle w:val="EndnoteReference"/>
              </w:rPr>
              <w:endnoteReference w:id="12"/>
            </w:r>
          </w:p>
        </w:tc>
        <w:tc>
          <w:tcPr>
            <w:tcW w:w="2409" w:type="dxa"/>
          </w:tcPr>
          <w:p w14:paraId="4DA64E55" w14:textId="77777777" w:rsidR="0099014D" w:rsidRPr="0099014D" w:rsidRDefault="0099014D" w:rsidP="0099014D">
            <w:r w:rsidRPr="0099014D">
              <w:t>$1,000,000,000</w:t>
            </w:r>
          </w:p>
        </w:tc>
        <w:tc>
          <w:tcPr>
            <w:tcW w:w="2217" w:type="dxa"/>
          </w:tcPr>
          <w:p w14:paraId="0017FB42" w14:textId="77777777" w:rsidR="0099014D" w:rsidRPr="0099014D" w:rsidRDefault="0099014D" w:rsidP="0099014D"/>
        </w:tc>
      </w:tr>
      <w:tr w:rsidR="0099014D" w:rsidRPr="0024008B" w14:paraId="65F7374C" w14:textId="77777777" w:rsidTr="00702FA0">
        <w:tc>
          <w:tcPr>
            <w:tcW w:w="4390" w:type="dxa"/>
          </w:tcPr>
          <w:p w14:paraId="59058022" w14:textId="77777777" w:rsidR="0099014D" w:rsidRPr="0099014D" w:rsidRDefault="0099014D" w:rsidP="0099014D">
            <w:pPr>
              <w:pStyle w:val="BodyText"/>
            </w:pPr>
            <w:r w:rsidRPr="0099014D">
              <w:t>Total investment called for</w:t>
            </w:r>
          </w:p>
        </w:tc>
        <w:tc>
          <w:tcPr>
            <w:tcW w:w="2409" w:type="dxa"/>
          </w:tcPr>
          <w:p w14:paraId="4311702B" w14:textId="77777777" w:rsidR="0099014D" w:rsidRPr="0099014D" w:rsidRDefault="0099014D" w:rsidP="0099014D">
            <w:pPr>
              <w:pStyle w:val="BodyText"/>
            </w:pPr>
            <w:r w:rsidRPr="0099014D">
              <w:t>$10,174,776,077</w:t>
            </w:r>
          </w:p>
        </w:tc>
        <w:tc>
          <w:tcPr>
            <w:tcW w:w="2217" w:type="dxa"/>
          </w:tcPr>
          <w:p w14:paraId="0F08F6F8" w14:textId="77777777" w:rsidR="0099014D" w:rsidRPr="0099014D" w:rsidRDefault="0099014D" w:rsidP="0099014D">
            <w:pPr>
              <w:pStyle w:val="BodyText"/>
            </w:pPr>
          </w:p>
        </w:tc>
      </w:tr>
      <w:tr w:rsidR="0099014D" w:rsidRPr="0024008B" w14:paraId="4993BADC" w14:textId="77777777" w:rsidTr="00702FA0">
        <w:tc>
          <w:tcPr>
            <w:tcW w:w="4390" w:type="dxa"/>
          </w:tcPr>
          <w:p w14:paraId="58114915" w14:textId="77777777" w:rsidR="0099014D" w:rsidRPr="0099014D" w:rsidRDefault="0099014D" w:rsidP="0099014D">
            <w:r w:rsidRPr="0099014D">
              <w:t>Total available savings</w:t>
            </w:r>
          </w:p>
        </w:tc>
        <w:tc>
          <w:tcPr>
            <w:tcW w:w="2409" w:type="dxa"/>
          </w:tcPr>
          <w:p w14:paraId="2A2D88BE" w14:textId="77777777" w:rsidR="0099014D" w:rsidRPr="0099014D" w:rsidRDefault="0099014D" w:rsidP="0099014D">
            <w:pPr>
              <w:pStyle w:val="BodyText"/>
            </w:pPr>
          </w:p>
        </w:tc>
        <w:tc>
          <w:tcPr>
            <w:tcW w:w="2217" w:type="dxa"/>
          </w:tcPr>
          <w:p w14:paraId="2FE399E5" w14:textId="77777777" w:rsidR="0099014D" w:rsidRPr="0099014D" w:rsidRDefault="0099014D" w:rsidP="0099014D">
            <w:r w:rsidRPr="0099014D">
              <w:t>$22,353,800,000</w:t>
            </w:r>
          </w:p>
        </w:tc>
      </w:tr>
      <w:tr w:rsidR="0099014D" w:rsidRPr="0024008B" w14:paraId="1FDD40C5" w14:textId="77777777" w:rsidTr="00702FA0">
        <w:tc>
          <w:tcPr>
            <w:tcW w:w="4390" w:type="dxa"/>
          </w:tcPr>
          <w:p w14:paraId="43746D80" w14:textId="77777777" w:rsidR="0099014D" w:rsidRPr="0099014D" w:rsidRDefault="0099014D" w:rsidP="0099014D">
            <w:pPr>
              <w:pStyle w:val="BodyText"/>
            </w:pPr>
            <w:r w:rsidRPr="0099014D">
              <w:t>Balance</w:t>
            </w:r>
          </w:p>
        </w:tc>
        <w:tc>
          <w:tcPr>
            <w:tcW w:w="2409" w:type="dxa"/>
          </w:tcPr>
          <w:p w14:paraId="6499B0B3" w14:textId="77777777" w:rsidR="0099014D" w:rsidRPr="0099014D" w:rsidRDefault="0099014D" w:rsidP="0099014D">
            <w:pPr>
              <w:pStyle w:val="BodyText"/>
            </w:pPr>
          </w:p>
        </w:tc>
        <w:tc>
          <w:tcPr>
            <w:tcW w:w="2217" w:type="dxa"/>
          </w:tcPr>
          <w:p w14:paraId="771C9DC3" w14:textId="77777777" w:rsidR="0099014D" w:rsidRPr="0099014D" w:rsidRDefault="0099014D" w:rsidP="0099014D">
            <w:pPr>
              <w:pStyle w:val="BodyText"/>
            </w:pPr>
            <w:r w:rsidRPr="0099014D">
              <w:t>$12,179,023,923</w:t>
            </w:r>
          </w:p>
        </w:tc>
      </w:tr>
    </w:tbl>
    <w:p w14:paraId="060A9405" w14:textId="77777777" w:rsidR="0099014D" w:rsidRPr="0099014D" w:rsidRDefault="0099014D" w:rsidP="0099014D"/>
    <w:p w14:paraId="5EDD3E1C" w14:textId="77777777" w:rsidR="0099014D" w:rsidRPr="0099014D" w:rsidRDefault="0099014D" w:rsidP="0099014D"/>
    <w:p w14:paraId="6B09915E" w14:textId="2EBF55DD" w:rsidR="001F1D03" w:rsidRPr="001F1D03" w:rsidRDefault="001F1D03" w:rsidP="001F1D03"/>
    <w:p w14:paraId="7E3FD199" w14:textId="691AC42C" w:rsidR="001F1D03" w:rsidRPr="001F1D03" w:rsidRDefault="001F1D03" w:rsidP="001F1D03"/>
    <w:p w14:paraId="68A49E26" w14:textId="77777777" w:rsidR="0099014D" w:rsidRPr="0099014D" w:rsidRDefault="0099014D" w:rsidP="0099014D"/>
    <w:p w14:paraId="0EAF3411" w14:textId="530F16E9" w:rsidR="00AA261F" w:rsidRPr="00AC652D" w:rsidRDefault="00AA261F" w:rsidP="0099014D">
      <w:pPr>
        <w:pStyle w:val="Header"/>
      </w:pPr>
    </w:p>
    <w:sectPr w:rsidR="00AA261F" w:rsidRPr="00AC652D" w:rsidSect="007B5F59">
      <w:footerReference w:type="default" r:id="rId12"/>
      <w:headerReference w:type="first" r:id="rId13"/>
      <w:footerReference w:type="first" r:id="rId14"/>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051AC" w14:textId="77777777" w:rsidR="0092417E" w:rsidRDefault="0092417E" w:rsidP="00F1283C">
      <w:pPr>
        <w:spacing w:after="0" w:line="240" w:lineRule="auto"/>
      </w:pPr>
      <w:r>
        <w:separator/>
      </w:r>
    </w:p>
  </w:endnote>
  <w:endnote w:type="continuationSeparator" w:id="0">
    <w:p w14:paraId="31792F97" w14:textId="77777777" w:rsidR="0092417E" w:rsidRDefault="0092417E" w:rsidP="00F1283C">
      <w:pPr>
        <w:spacing w:after="0" w:line="240" w:lineRule="auto"/>
      </w:pPr>
      <w:r>
        <w:continuationSeparator/>
      </w:r>
    </w:p>
  </w:endnote>
  <w:endnote w:id="1">
    <w:p w14:paraId="0E53F9D0" w14:textId="77777777" w:rsidR="0099014D" w:rsidRPr="00F52FEE" w:rsidRDefault="0099014D" w:rsidP="0099014D">
      <w:pPr>
        <w:pStyle w:val="EndnoteText"/>
      </w:pPr>
      <w:r>
        <w:rPr>
          <w:rStyle w:val="EndnoteReference"/>
        </w:rPr>
        <w:endnoteRef/>
      </w:r>
      <w:r>
        <w:t xml:space="preserve"> </w:t>
      </w:r>
      <w:r w:rsidRPr="00F52FEE">
        <w:t xml:space="preserve">Based on the ACE Prevention Study of 123 illness prevention measures to improve population health in Australia. T, Carter R, Barendregt J, Mihalopoulos C, Veerman L, Magnus A, et al. Assessing cost-effectiveness in prevention (ACE-Prevention): Final Report. Brisbane: University of Queensland &amp; Melbourne: Deakin University; 2010. Last accessed 10 October 2023 </w:t>
      </w:r>
      <w:hyperlink r:id="rId1" w:history="1">
        <w:r w:rsidRPr="00F52FEE">
          <w:rPr>
            <w:rStyle w:val="Hyperlink"/>
          </w:rPr>
          <w:t>https://public-health.uq.edu.au/files/571/ACE-Prevention_final_report.pdf</w:t>
        </w:r>
      </w:hyperlink>
      <w:r w:rsidRPr="00F52FEE">
        <w:rPr>
          <w:rStyle w:val="Hyperlink"/>
        </w:rPr>
        <w:t xml:space="preserve"> </w:t>
      </w:r>
      <w:r w:rsidRPr="00F52FEE">
        <w:t xml:space="preserve">Investing in preventative healthcare could save the healthcare system $140 billion over 20 years according to the Productivity Commission. </w:t>
      </w:r>
      <w:r w:rsidRPr="00F52FEE">
        <w:rPr>
          <w:rFonts w:cs="Arial"/>
          <w:shd w:val="clear" w:color="auto" w:fill="FFFFFF" w:themeFill="background1"/>
        </w:rPr>
        <w:t xml:space="preserve">Productivity Commission (2017). Shifting the dial: 5 year productivity review, last accessed 10 October 2023,  </w:t>
      </w:r>
      <w:hyperlink r:id="rId2" w:history="1">
        <w:r w:rsidRPr="00F52FEE">
          <w:rPr>
            <w:rStyle w:val="Hyperlink"/>
            <w:rFonts w:cs="Arial"/>
            <w:shd w:val="clear" w:color="auto" w:fill="FFFFFF" w:themeFill="background1"/>
          </w:rPr>
          <w:t>https://www.pc.gov.au/inquiries/completed/productivity-review/report/productivity-review.pdf</w:t>
        </w:r>
      </w:hyperlink>
      <w:r w:rsidRPr="00F52FEE">
        <w:rPr>
          <w:rFonts w:cs="Arial"/>
          <w:shd w:val="clear" w:color="auto" w:fill="F5F5F7"/>
        </w:rPr>
        <w:t xml:space="preserve"> </w:t>
      </w:r>
      <w:r w:rsidRPr="00F52FEE">
        <w:t>People with disability have historically had poor access to preventative healthcare, but if access barriers were removed and the 21.4% of people with disability enabled to access in line with the AMA recommendation, then 1.19B worth of health savings could be achieved per year. Australian Medical Association, Health is the best investment; shifting form a ‘</w:t>
      </w:r>
      <w:proofErr w:type="spellStart"/>
      <w:r w:rsidRPr="00F52FEE">
        <w:t>sickcare</w:t>
      </w:r>
      <w:proofErr w:type="spellEnd"/>
      <w:r w:rsidRPr="00F52FEE">
        <w:t xml:space="preserve">’ system to a healthcare system, last accessed 10 October 2023,  </w:t>
      </w:r>
      <w:hyperlink r:id="rId3" w:history="1">
        <w:r w:rsidRPr="00F52FEE">
          <w:rPr>
            <w:rStyle w:val="Hyperlink"/>
          </w:rPr>
          <w:t>https://www.ama.com.au/sites/default/files/2023-06/Health-is-the-best-investment-shifting-from-a-sickcare-system-to-a-healthcares-system.pdf</w:t>
        </w:r>
      </w:hyperlink>
      <w:r w:rsidRPr="00F52FEE">
        <w:t xml:space="preserve">  $140B x 0.214 = =$29.9B / 20 years = </w:t>
      </w:r>
      <w:r w:rsidRPr="00F52FEE">
        <w:rPr>
          <w:rFonts w:cs="Arial"/>
          <w:shd w:val="clear" w:color="auto" w:fill="F5F5F7"/>
        </w:rPr>
        <w:t>$1.14B</w:t>
      </w:r>
    </w:p>
  </w:endnote>
  <w:endnote w:id="2">
    <w:p w14:paraId="46A36A84" w14:textId="479D0192" w:rsidR="0099014D" w:rsidRPr="00F52FEE" w:rsidRDefault="0099014D" w:rsidP="0099014D">
      <w:pPr>
        <w:pStyle w:val="EndnoteText"/>
        <w:rPr>
          <w:lang w:val="en-US"/>
        </w:rPr>
      </w:pPr>
      <w:r w:rsidRPr="00F52FEE">
        <w:rPr>
          <w:rStyle w:val="EndnoteReference"/>
        </w:rPr>
        <w:endnoteRef/>
      </w:r>
      <w:r w:rsidRPr="00F52FEE">
        <w:t xml:space="preserve"> </w:t>
      </w:r>
      <w:r w:rsidRPr="00F52FEE">
        <w:rPr>
          <w:lang w:val="en-US"/>
        </w:rPr>
        <w:t>Over 35,000 people in NSW are homeless - Homes NSW, Draft Homelessness Strategy 2025-2035 Presentation, 3 December 2024 and homelessness costs government $186,000 on average per</w:t>
      </w:r>
      <w:r w:rsidR="00EE5E6C">
        <w:t xml:space="preserve"> person,</w:t>
      </w:r>
      <w:r w:rsidRPr="00F52FEE">
        <w:rPr>
          <w:lang w:val="en-US"/>
        </w:rPr>
        <w:t xml:space="preserve"> per year </w:t>
      </w:r>
      <w:r w:rsidRPr="00F52FEE">
        <w:t xml:space="preserve">NSW Government, Department of Communities and Justice, </w:t>
      </w:r>
      <w:r w:rsidRPr="00F52FEE">
        <w:rPr>
          <w:i/>
          <w:iCs/>
        </w:rPr>
        <w:t>Pathways to Homelessness final report</w:t>
      </w:r>
      <w:r w:rsidRPr="00F52FEE">
        <w:t xml:space="preserve"> December 2021, last accessed 28 September 2023, </w:t>
      </w:r>
      <w:hyperlink r:id="rId4" w:history="1">
        <w:r w:rsidRPr="00F52FEE">
          <w:rPr>
            <w:rStyle w:val="Hyperlink"/>
          </w:rPr>
          <w:t>https://www.facs.nsw.gov.au/download?file=823631</w:t>
        </w:r>
      </w:hyperlink>
    </w:p>
  </w:endnote>
  <w:endnote w:id="3">
    <w:p w14:paraId="063A2E83" w14:textId="77777777" w:rsidR="0099014D" w:rsidRPr="00F52FEE" w:rsidRDefault="0099014D" w:rsidP="0099014D">
      <w:pPr>
        <w:pStyle w:val="EndnoteText"/>
        <w:rPr>
          <w:lang w:val="en-US"/>
        </w:rPr>
      </w:pPr>
      <w:r w:rsidRPr="00F52FEE">
        <w:rPr>
          <w:rStyle w:val="EndnoteReference"/>
        </w:rPr>
        <w:endnoteRef/>
      </w:r>
      <w:r w:rsidRPr="00F52FEE">
        <w:t xml:space="preserve"> </w:t>
      </w:r>
      <w:r w:rsidRPr="00F52FEE">
        <w:rPr>
          <w:lang w:val="en-US"/>
        </w:rPr>
        <w:t>Over a decade ending homeless is projected to cost around a third of the cost of the current rates of homelessness</w:t>
      </w:r>
    </w:p>
  </w:endnote>
  <w:endnote w:id="4">
    <w:p w14:paraId="011701EE" w14:textId="77777777" w:rsidR="0099014D" w:rsidRPr="00F52FEE" w:rsidRDefault="0099014D" w:rsidP="0099014D">
      <w:pPr>
        <w:pStyle w:val="EndnoteText"/>
        <w:rPr>
          <w:lang w:val="en-US"/>
        </w:rPr>
      </w:pPr>
      <w:r w:rsidRPr="00F52FEE">
        <w:rPr>
          <w:rStyle w:val="EndnoteReference"/>
        </w:rPr>
        <w:endnoteRef/>
      </w:r>
      <w:r w:rsidRPr="00F52FEE">
        <w:t xml:space="preserve"> </w:t>
      </w:r>
      <w:r w:rsidRPr="00F52FEE">
        <w:rPr>
          <w:lang w:val="en-US"/>
        </w:rPr>
        <w:t>6.51B x 10=65.1</w:t>
      </w:r>
      <w:proofErr w:type="gramStart"/>
      <w:r w:rsidRPr="00F52FEE">
        <w:rPr>
          <w:lang w:val="en-US"/>
        </w:rPr>
        <w:t>B  2.60</w:t>
      </w:r>
      <w:proofErr w:type="gramEnd"/>
      <w:r w:rsidRPr="00F52FEE">
        <w:rPr>
          <w:lang w:val="en-US"/>
        </w:rPr>
        <w:t xml:space="preserve"> x 10=26B 65.1-26= 31.9B/10= $3.91B per year</w:t>
      </w:r>
    </w:p>
  </w:endnote>
  <w:endnote w:id="5">
    <w:p w14:paraId="73F0E510" w14:textId="1B6FDA5B" w:rsidR="00E31465" w:rsidRDefault="00E31465">
      <w:pPr>
        <w:pStyle w:val="EndnoteText"/>
      </w:pPr>
      <w:r>
        <w:rPr>
          <w:rStyle w:val="EndnoteReference"/>
        </w:rPr>
        <w:endnoteRef/>
      </w:r>
      <w:r>
        <w:t xml:space="preserve"> </w:t>
      </w:r>
      <w:r w:rsidR="00A15501">
        <w:t>Same as previous budget</w:t>
      </w:r>
    </w:p>
  </w:endnote>
  <w:endnote w:id="6">
    <w:p w14:paraId="20BC4722" w14:textId="24B68CCE" w:rsidR="00A15501" w:rsidRDefault="00A15501">
      <w:pPr>
        <w:pStyle w:val="EndnoteText"/>
      </w:pPr>
      <w:r>
        <w:rPr>
          <w:rStyle w:val="EndnoteReference"/>
        </w:rPr>
        <w:endnoteRef/>
      </w:r>
      <w:r>
        <w:t xml:space="preserve"> Same as previous budget</w:t>
      </w:r>
    </w:p>
  </w:endnote>
  <w:endnote w:id="7">
    <w:p w14:paraId="7C643FBC" w14:textId="04CC0FE9" w:rsidR="000141F9" w:rsidRDefault="000141F9">
      <w:pPr>
        <w:pStyle w:val="EndnoteText"/>
      </w:pPr>
      <w:r>
        <w:rPr>
          <w:rStyle w:val="EndnoteReference"/>
        </w:rPr>
        <w:endnoteRef/>
      </w:r>
      <w:r>
        <w:t xml:space="preserve"> 1300 </w:t>
      </w:r>
      <w:r w:rsidR="00EE5E6C">
        <w:t xml:space="preserve">people </w:t>
      </w:r>
      <w:r>
        <w:t xml:space="preserve">x </w:t>
      </w:r>
      <w:r w:rsidR="00EE5E6C">
        <w:t>$</w:t>
      </w:r>
      <w:r>
        <w:t>186,000</w:t>
      </w:r>
      <w:r w:rsidR="00EE5E6C">
        <w:t xml:space="preserve"> cost of homelessness per year</w:t>
      </w:r>
      <w:r>
        <w:t xml:space="preserve"> = </w:t>
      </w:r>
      <w:r w:rsidR="00EE5E6C">
        <w:t>$</w:t>
      </w:r>
      <w:r w:rsidR="00833D46">
        <w:t>241,800,000</w:t>
      </w:r>
    </w:p>
  </w:endnote>
  <w:endnote w:id="8">
    <w:p w14:paraId="2526D253" w14:textId="77777777" w:rsidR="00F964C5" w:rsidRPr="00F964C5" w:rsidRDefault="00E206A8" w:rsidP="00F964C5">
      <w:r>
        <w:rPr>
          <w:rStyle w:val="EndnoteReference"/>
        </w:rPr>
        <w:endnoteRef/>
      </w:r>
      <w:r>
        <w:t xml:space="preserve"> </w:t>
      </w:r>
      <w:r w:rsidR="00F964C5" w:rsidRPr="00F964C5">
        <w:t>In 2023/4 the Office of the Community Visitor (OCV) visited 1,465 visitable services throughout NSW, including 1,183 disability supported accommodation services, 17 assisted boarding houses, and 265 residential out-of-home care services. The 3,376 individual visits and raised and monitored 7,053 issues.</w:t>
      </w:r>
    </w:p>
    <w:p w14:paraId="25FBAA1E" w14:textId="77777777" w:rsidR="00B50CEC" w:rsidRDefault="00F964C5" w:rsidP="00F964C5">
      <w:r w:rsidRPr="00F964C5">
        <w:t xml:space="preserve">The number of visitable services increased 19% (to around 2,990 visitable facilities), but the baseline budget of the scheme was unchanged. Only 48% of visitable services were visited. NSW Government, Ageing &amp; Disability Commission, Official Community Visitors, last accessed 17/12/2024, </w:t>
      </w:r>
      <w:hyperlink r:id="rId5" w:history="1">
        <w:r w:rsidR="00B50CEC" w:rsidRPr="007A634D">
          <w:rPr>
            <w:rStyle w:val="Hyperlink"/>
          </w:rPr>
          <w:t>https://ageingdisabilitycommission.nsw.gov.au/documents/reports-and-submissions/adc-annual-reports/OCV-Annual-Report_2023-2024_-_final.pdf</w:t>
        </w:r>
      </w:hyperlink>
      <w:r w:rsidR="00B50CEC">
        <w:t xml:space="preserve"> </w:t>
      </w:r>
    </w:p>
    <w:p w14:paraId="7EE89154" w14:textId="4366AD08" w:rsidR="00E206A8" w:rsidRDefault="00B50CEC" w:rsidP="00F964C5">
      <w:r w:rsidRPr="00B50CEC">
        <w:t xml:space="preserve">This is too low and contributes to ongoing poor safety outcomes for people with disability. </w:t>
      </w:r>
      <w:r>
        <w:t>PWDA</w:t>
      </w:r>
      <w:r w:rsidRPr="00B50CEC">
        <w:t xml:space="preserve"> recommend</w:t>
      </w:r>
      <w:r w:rsidR="001F13E4">
        <w:t>s</w:t>
      </w:r>
      <w:r w:rsidRPr="00B50CEC">
        <w:t xml:space="preserve"> doubling </w:t>
      </w:r>
      <w:r w:rsidR="001F13E4">
        <w:t>the</w:t>
      </w:r>
      <w:r w:rsidRPr="00B50CEC">
        <w:t xml:space="preserve"> funding from $7,530,500 in 2023-4 to $15,061,000.</w:t>
      </w:r>
    </w:p>
  </w:endnote>
  <w:endnote w:id="9">
    <w:p w14:paraId="6AB1ACA0" w14:textId="77777777" w:rsidR="0099014D" w:rsidRPr="00F52FEE" w:rsidRDefault="0099014D" w:rsidP="0099014D">
      <w:pPr>
        <w:rPr>
          <w:rFonts w:asciiTheme="minorHAnsi" w:hAnsiTheme="minorHAnsi"/>
        </w:rPr>
      </w:pPr>
      <w:r w:rsidRPr="00F52FEE">
        <w:rPr>
          <w:rStyle w:val="EndnoteReference"/>
        </w:rPr>
        <w:endnoteRef/>
      </w:r>
      <w:r w:rsidRPr="00F52FEE">
        <w:rPr>
          <w:rFonts w:asciiTheme="minorHAnsi" w:hAnsiTheme="minorHAnsi"/>
        </w:rPr>
        <w:t xml:space="preserve"> 1.74 x $9,600 = $16.7 Billion </w:t>
      </w:r>
    </w:p>
    <w:p w14:paraId="3D385390" w14:textId="77777777" w:rsidR="0099014D" w:rsidRPr="00F52FEE" w:rsidRDefault="0099014D" w:rsidP="0099014D">
      <w:pPr>
        <w:rPr>
          <w:rFonts w:asciiTheme="minorHAnsi" w:hAnsiTheme="minorHAnsi"/>
        </w:rPr>
      </w:pPr>
      <w:r w:rsidRPr="00F52FEE">
        <w:rPr>
          <w:rFonts w:asciiTheme="minorHAnsi" w:hAnsiTheme="minorHAnsi"/>
        </w:rPr>
        <w:t xml:space="preserve">NSW population 8,153,000 - NSW Government, Key facts about NSW, updated 30 June 2022, last accessed 17 December 2024, </w:t>
      </w:r>
      <w:hyperlink r:id="rId6" w:history="1">
        <w:r w:rsidRPr="00F52FEE">
          <w:rPr>
            <w:rStyle w:val="Hyperlink"/>
            <w:rFonts w:asciiTheme="minorHAnsi" w:hAnsiTheme="minorHAnsi" w:cstheme="minorHAnsi"/>
            <w:b w:val="0"/>
            <w:bCs/>
          </w:rPr>
          <w:t>https://www.nsw.gov.au/about-nsw/key-facts-about-nsw</w:t>
        </w:r>
      </w:hyperlink>
      <w:r w:rsidRPr="00F52FEE">
        <w:rPr>
          <w:rFonts w:asciiTheme="minorHAnsi" w:hAnsiTheme="minorHAnsi"/>
        </w:rPr>
        <w:t xml:space="preserve">  21.4% with disability- Disability, Ageing and Carers, Australia: Summary of Findings, </w:t>
      </w:r>
      <w:r w:rsidRPr="00F52FEE">
        <w:rPr>
          <w:rFonts w:asciiTheme="minorHAnsi" w:hAnsiTheme="minorHAnsi" w:cs="Arial"/>
        </w:rPr>
        <w:t xml:space="preserve"> Chart People with disability by State of usual residence updated 24 October 2019, last accessed 17 December 2024 </w:t>
      </w:r>
      <w:hyperlink r:id="rId7" w:history="1">
        <w:r w:rsidRPr="00F52FEE">
          <w:rPr>
            <w:rStyle w:val="Hyperlink"/>
            <w:rFonts w:asciiTheme="minorHAnsi" w:hAnsiTheme="minorHAnsi" w:cs="Arial"/>
          </w:rPr>
          <w:t>https://www.abs.gov.au/statistics/health/disability/disability-ageing-and-carers-australia-summary-findings/latest-release</w:t>
        </w:r>
      </w:hyperlink>
      <w:r w:rsidRPr="00F52FEE">
        <w:rPr>
          <w:rFonts w:asciiTheme="minorHAnsi" w:hAnsiTheme="minorHAnsi" w:cs="Arial"/>
        </w:rPr>
        <w:t xml:space="preserve">  so </w:t>
      </w:r>
      <w:r w:rsidRPr="00F52FEE">
        <w:rPr>
          <w:rFonts w:asciiTheme="minorHAnsi" w:hAnsiTheme="minorHAnsi" w:cs="Arial"/>
          <w:b/>
          <w:bCs/>
        </w:rPr>
        <w:t>1,744,742 people in NSW with disability</w:t>
      </w:r>
      <w:r w:rsidRPr="00F52FEE">
        <w:rPr>
          <w:rFonts w:asciiTheme="minorHAnsi" w:hAnsiTheme="minorHAnsi"/>
        </w:rPr>
        <w:t xml:space="preserve">. </w:t>
      </w:r>
    </w:p>
    <w:p w14:paraId="254957C6" w14:textId="6A01A519" w:rsidR="0099014D" w:rsidRPr="0040351C" w:rsidRDefault="0099014D" w:rsidP="0040351C">
      <w:pPr>
        <w:rPr>
          <w:rFonts w:asciiTheme="minorHAnsi" w:hAnsiTheme="minorHAnsi"/>
        </w:rPr>
      </w:pPr>
      <w:r w:rsidRPr="00F52FEE">
        <w:rPr>
          <w:rFonts w:asciiTheme="minorHAnsi" w:hAnsiTheme="minorHAnsi"/>
        </w:rPr>
        <w:t xml:space="preserve">Royal Commission into Violence, Abuse, Neglect and Exploitation of People with Disability, Research Report – Economic Cost of violence, abuse, neglect and exploitation of people with disability, last accessed 17 December, 2024, estimates the economic cost of violence, abuse, exploitation and neglect of people with disability costs </w:t>
      </w:r>
      <w:r w:rsidRPr="00F52FEE">
        <w:rPr>
          <w:rFonts w:asciiTheme="minorHAnsi" w:hAnsiTheme="minorHAnsi"/>
          <w:b/>
          <w:bCs/>
        </w:rPr>
        <w:t xml:space="preserve">$9,600 per person, per annum </w:t>
      </w:r>
      <w:hyperlink r:id="rId8" w:history="1">
        <w:r w:rsidRPr="00F52FEE">
          <w:rPr>
            <w:rStyle w:val="Hyperlink"/>
            <w:rFonts w:asciiTheme="minorHAnsi" w:hAnsiTheme="minorHAnsi"/>
          </w:rPr>
          <w:t>https://disability.royalcommission.gov.au/publications/economic-cost-violence-abuse-neglect-and-exploitation-people-disability</w:t>
        </w:r>
      </w:hyperlink>
      <w:r w:rsidRPr="00F52FEE">
        <w:rPr>
          <w:rFonts w:asciiTheme="minorHAnsi" w:hAnsiTheme="minorHAnsi"/>
        </w:rPr>
        <w:t xml:space="preserve"> At that point 4.8 million Australians (19% of the population) had a disability, and this accounted for the economic costs of failing to provide equal access to employment, services, housing, costs arising from hospital treatment and reduced quality of life.</w:t>
      </w:r>
    </w:p>
  </w:endnote>
  <w:endnote w:id="10">
    <w:p w14:paraId="2CFD0467" w14:textId="2FD57DF2" w:rsidR="001F1D03" w:rsidRDefault="001F1D03">
      <w:pPr>
        <w:pStyle w:val="EndnoteText"/>
      </w:pPr>
      <w:r>
        <w:rPr>
          <w:rStyle w:val="EndnoteReference"/>
        </w:rPr>
        <w:endnoteRef/>
      </w:r>
      <w:r>
        <w:t xml:space="preserve"> </w:t>
      </w:r>
      <w:r w:rsidRPr="001F1D03">
        <w:t>Women with disability are approximately 40% per cent more likely to experience Domestic and Family Violence (or DFV</w:t>
      </w:r>
      <w:proofErr w:type="gramStart"/>
      <w:r w:rsidRPr="001F1D03">
        <w:t>), and</w:t>
      </w:r>
      <w:proofErr w:type="gramEnd"/>
      <w:r w:rsidRPr="001F1D03">
        <w:t xml:space="preserve"> need accessible services.  We call on the NSW Government to invest $1,802,817 each year for 5 years in the delivery of the PWDA Building Access Project to all 75 Core and Cluster DFV services. PWDA, Building Access Project, undated, last accessed 17/12/2024, </w:t>
      </w:r>
      <w:hyperlink r:id="rId9" w:history="1">
        <w:r w:rsidRPr="001F1D03">
          <w:rPr>
            <w:rStyle w:val="Hyperlink"/>
          </w:rPr>
          <w:t>https://pwd.org.au/projects/building-access-project/</w:t>
        </w:r>
      </w:hyperlink>
    </w:p>
  </w:endnote>
  <w:endnote w:id="11">
    <w:p w14:paraId="09B9166F" w14:textId="77777777" w:rsidR="0099014D" w:rsidRPr="00F52FEE" w:rsidRDefault="0099014D" w:rsidP="0099014D">
      <w:pPr>
        <w:pStyle w:val="EndnoteText"/>
        <w:rPr>
          <w:lang w:val="en-US"/>
        </w:rPr>
      </w:pPr>
      <w:r w:rsidRPr="00F52FEE">
        <w:rPr>
          <w:rStyle w:val="EndnoteReference"/>
        </w:rPr>
        <w:endnoteRef/>
      </w:r>
      <w:r w:rsidRPr="00F52FEE">
        <w:t xml:space="preserve"> </w:t>
      </w:r>
      <w:r w:rsidRPr="00F52FEE">
        <w:rPr>
          <w:lang w:val="en-US"/>
        </w:rPr>
        <w:t xml:space="preserve">PWDA recommends establishing a $1M grant pool for community organizations to apply to </w:t>
      </w:r>
      <w:proofErr w:type="gramStart"/>
      <w:r w:rsidRPr="00F52FEE">
        <w:rPr>
          <w:lang w:val="en-US"/>
        </w:rPr>
        <w:t>in order to</w:t>
      </w:r>
      <w:proofErr w:type="gramEnd"/>
      <w:r w:rsidRPr="00F52FEE">
        <w:rPr>
          <w:lang w:val="en-US"/>
        </w:rPr>
        <w:t xml:space="preserve"> improve accessibility for people with disability</w:t>
      </w:r>
    </w:p>
  </w:endnote>
  <w:endnote w:id="12">
    <w:p w14:paraId="1C9E4916" w14:textId="77777777" w:rsidR="0099014D" w:rsidRPr="00F52FEE" w:rsidRDefault="0099014D" w:rsidP="0099014D">
      <w:pPr>
        <w:pStyle w:val="EndnoteText"/>
        <w:rPr>
          <w:lang w:val="en-US"/>
        </w:rPr>
      </w:pPr>
      <w:r w:rsidRPr="00F52FEE">
        <w:rPr>
          <w:rStyle w:val="EndnoteReference"/>
        </w:rPr>
        <w:endnoteRef/>
      </w:r>
      <w:r w:rsidRPr="00F52FEE">
        <w:t xml:space="preserve"> </w:t>
      </w:r>
      <w:r w:rsidRPr="00F52FEE">
        <w:rPr>
          <w:lang w:val="en-US"/>
        </w:rPr>
        <w:t>PWDA recommends budgeting $1B for foundational supports to enable people with disability to access the government and essential services they need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panose1 w:val="020B0500000000000000"/>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607531"/>
      <w:docPartObj>
        <w:docPartGallery w:val="Page Numbers (Bottom of Page)"/>
        <w:docPartUnique/>
      </w:docPartObj>
    </w:sdtPr>
    <w:sdtEndPr>
      <w:rPr>
        <w:noProof/>
      </w:rPr>
    </w:sdtEndPr>
    <w:sdtContent>
      <w:p w14:paraId="40104F0F" w14:textId="285269A1" w:rsidR="00D2193E" w:rsidRDefault="0063299B" w:rsidP="0099014D">
        <w:pPr>
          <w:pStyle w:val="Footer"/>
          <w:tabs>
            <w:tab w:val="clear" w:pos="4680"/>
            <w:tab w:val="center" w:pos="2268"/>
          </w:tabs>
          <w:jc w:val="center"/>
          <w:rPr>
            <w:noProof/>
          </w:rPr>
        </w:pPr>
        <w:r>
          <w:rPr>
            <w:noProof/>
            <w:lang w:eastAsia="en-AU"/>
          </w:rPr>
          <w:drawing>
            <wp:anchor distT="0" distB="0" distL="114300" distR="114300" simplePos="0" relativeHeight="251664384" behindDoc="0" locked="0" layoutInCell="1" allowOverlap="1" wp14:anchorId="19FD307C" wp14:editId="2139C796">
              <wp:simplePos x="0" y="0"/>
              <wp:positionH relativeFrom="margin">
                <wp:align>left</wp:align>
              </wp:positionH>
              <wp:positionV relativeFrom="paragraph">
                <wp:posOffset>-263394</wp:posOffset>
              </wp:positionV>
              <wp:extent cx="540328" cy="57269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anchor>
          </w:drawing>
        </w:r>
        <w:r>
          <w:rPr>
            <w:noProof/>
          </w:rPr>
          <w:tab/>
        </w:r>
        <w:r w:rsidR="00D2193E">
          <w:fldChar w:fldCharType="begin"/>
        </w:r>
        <w:r w:rsidR="00D2193E">
          <w:instrText xml:space="preserve"> PAGE   \* MERGEFORMAT </w:instrText>
        </w:r>
        <w:r w:rsidR="00D2193E">
          <w:fldChar w:fldCharType="separate"/>
        </w:r>
        <w:r w:rsidR="00D2193E">
          <w:rPr>
            <w:noProof/>
          </w:rPr>
          <w:t>2</w:t>
        </w:r>
        <w:r w:rsidR="00D2193E">
          <w:rPr>
            <w:noProof/>
          </w:rPr>
          <w:fldChar w:fldCharType="end"/>
        </w:r>
      </w:p>
      <w:p w14:paraId="4CB5C0E6" w14:textId="77777777" w:rsidR="00665E6E" w:rsidRDefault="006E151C" w:rsidP="00D2193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1D9F" w14:textId="77777777" w:rsidR="00ED4A4E" w:rsidRPr="00ED4A4E" w:rsidRDefault="0032584E" w:rsidP="00ED4A4E">
    <w:pPr>
      <w:pStyle w:val="Footer"/>
      <w:ind w:right="-143"/>
      <w:jc w:val="right"/>
      <w:rPr>
        <w:b/>
        <w:bCs/>
      </w:rPr>
    </w:pPr>
    <w:r>
      <w:rPr>
        <w:noProof/>
      </w:rPr>
      <w:drawing>
        <wp:anchor distT="0" distB="0" distL="114300" distR="114300" simplePos="0" relativeHeight="251665408" behindDoc="1" locked="0" layoutInCell="1" allowOverlap="1" wp14:anchorId="40AA845B" wp14:editId="68A4801B">
          <wp:simplePos x="0" y="0"/>
          <wp:positionH relativeFrom="page">
            <wp:posOffset>5631180</wp:posOffset>
          </wp:positionH>
          <wp:positionV relativeFrom="paragraph">
            <wp:posOffset>-1224857</wp:posOffset>
          </wp:positionV>
          <wp:extent cx="1930345" cy="172439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30345" cy="1724398"/>
                  </a:xfrm>
                  <a:prstGeom prst="rect">
                    <a:avLst/>
                  </a:prstGeom>
                </pic:spPr>
              </pic:pic>
            </a:graphicData>
          </a:graphic>
          <wp14:sizeRelH relativeFrom="margin">
            <wp14:pctWidth>0</wp14:pctWidth>
          </wp14:sizeRelH>
          <wp14:sizeRelV relativeFrom="margin">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rPr>
          <w:fldChar w:fldCharType="begin"/>
        </w:r>
        <w:r w:rsidR="00ED4A4E" w:rsidRPr="00ED4A4E">
          <w:rPr>
            <w:rFonts w:asciiTheme="minorHAnsi" w:hAnsiTheme="minorHAnsi" w:cstheme="minorHAnsi"/>
            <w:b/>
            <w:bCs/>
          </w:rPr>
          <w:instrText xml:space="preserve"> PAGE   \* MERGEFORMAT </w:instrText>
        </w:r>
        <w:r w:rsidR="00ED4A4E" w:rsidRPr="00ED4A4E">
          <w:rPr>
            <w:rFonts w:asciiTheme="minorHAnsi" w:hAnsiTheme="minorHAnsi" w:cstheme="minorHAnsi"/>
            <w:b/>
            <w:bCs/>
          </w:rPr>
          <w:fldChar w:fldCharType="separate"/>
        </w:r>
        <w:r w:rsidR="00ED4A4E" w:rsidRPr="00ED4A4E">
          <w:rPr>
            <w:rFonts w:asciiTheme="minorHAnsi" w:hAnsiTheme="minorHAnsi" w:cstheme="minorHAnsi"/>
            <w:b/>
            <w:bCs/>
            <w:noProof/>
          </w:rPr>
          <w:t>2</w:t>
        </w:r>
        <w:r w:rsidR="00ED4A4E" w:rsidRPr="00ED4A4E">
          <w:rPr>
            <w:rFonts w:asciiTheme="minorHAnsi" w:hAnsiTheme="minorHAnsi" w:cstheme="minorHAnsi"/>
            <w:b/>
            <w:bCs/>
            <w:noProof/>
          </w:rPr>
          <w:fldChar w:fldCharType="end"/>
        </w:r>
        <w:r w:rsidR="00ED4A4E" w:rsidRPr="00ED4A4E">
          <w:rPr>
            <w:rFonts w:asciiTheme="minorHAnsi" w:hAnsiTheme="minorHAnsi" w:cstheme="minorHAnsi"/>
            <w:b/>
            <w:bCs/>
            <w:noProof/>
          </w:rPr>
          <w:tab/>
        </w:r>
      </w:sdtContent>
    </w:sdt>
  </w:p>
  <w:p w14:paraId="68FC5432"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768CC" w14:textId="77777777" w:rsidR="0092417E" w:rsidRDefault="0092417E" w:rsidP="00F1283C">
      <w:pPr>
        <w:spacing w:after="0" w:line="240" w:lineRule="auto"/>
      </w:pPr>
      <w:bookmarkStart w:id="0" w:name="_Hlk80104043"/>
      <w:bookmarkEnd w:id="0"/>
      <w:r>
        <w:separator/>
      </w:r>
    </w:p>
  </w:footnote>
  <w:footnote w:type="continuationSeparator" w:id="0">
    <w:p w14:paraId="0B914693" w14:textId="77777777" w:rsidR="0092417E" w:rsidRDefault="0092417E" w:rsidP="00F1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B599" w14:textId="77777777" w:rsidR="00162100" w:rsidRPr="00162100" w:rsidRDefault="0057465D" w:rsidP="0035331A">
    <w:pPr>
      <w:pStyle w:val="Header"/>
      <w:rPr>
        <w:sz w:val="10"/>
        <w:szCs w:val="10"/>
      </w:rPr>
    </w:pPr>
    <w:r>
      <w:ptab w:relativeTo="margin" w:alignment="right" w:leader="none"/>
    </w:r>
  </w:p>
  <w:p w14:paraId="41026A4D" w14:textId="77777777" w:rsidR="009122C2" w:rsidRPr="0035331A"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873497"/>
    <w:multiLevelType w:val="multilevel"/>
    <w:tmpl w:val="26A2851A"/>
    <w:name w:val="PWDA_Bullets2"/>
    <w:numStyleLink w:val="PWDABullets"/>
  </w:abstractNum>
  <w:abstractNum w:abstractNumId="13"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4"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1935773">
    <w:abstractNumId w:val="14"/>
  </w:num>
  <w:num w:numId="2" w16cid:durableId="876817189">
    <w:abstractNumId w:val="13"/>
  </w:num>
  <w:num w:numId="3" w16cid:durableId="1266815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7297807">
    <w:abstractNumId w:val="12"/>
  </w:num>
  <w:num w:numId="5" w16cid:durableId="763306792">
    <w:abstractNumId w:val="10"/>
  </w:num>
  <w:num w:numId="6" w16cid:durableId="351955607">
    <w:abstractNumId w:val="9"/>
  </w:num>
  <w:num w:numId="7" w16cid:durableId="1637643843">
    <w:abstractNumId w:val="9"/>
  </w:num>
  <w:num w:numId="8" w16cid:durableId="1309481944">
    <w:abstractNumId w:val="11"/>
  </w:num>
  <w:num w:numId="9" w16cid:durableId="74862615">
    <w:abstractNumId w:val="11"/>
  </w:num>
  <w:num w:numId="10" w16cid:durableId="64644797">
    <w:abstractNumId w:val="15"/>
  </w:num>
  <w:num w:numId="11" w16cid:durableId="1932809496">
    <w:abstractNumId w:val="7"/>
  </w:num>
  <w:num w:numId="12" w16cid:durableId="795566180">
    <w:abstractNumId w:val="6"/>
  </w:num>
  <w:num w:numId="13" w16cid:durableId="1283267254">
    <w:abstractNumId w:val="5"/>
  </w:num>
  <w:num w:numId="14" w16cid:durableId="1334869089">
    <w:abstractNumId w:val="4"/>
  </w:num>
  <w:num w:numId="15" w16cid:durableId="1405640410">
    <w:abstractNumId w:val="8"/>
  </w:num>
  <w:num w:numId="16" w16cid:durableId="816340279">
    <w:abstractNumId w:val="3"/>
  </w:num>
  <w:num w:numId="17" w16cid:durableId="27220956">
    <w:abstractNumId w:val="2"/>
  </w:num>
  <w:num w:numId="18" w16cid:durableId="700088087">
    <w:abstractNumId w:val="1"/>
  </w:num>
  <w:num w:numId="19" w16cid:durableId="5540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1" w:cryptProviderType="rsaAES" w:cryptAlgorithmClass="hash" w:cryptAlgorithmType="typeAny" w:cryptAlgorithmSid="14" w:cryptSpinCount="100000" w:hash="wgjzBJmLxrgCCozRuRqQe5Z8PoCs30U2BirwenG5sZv6x6PgOQYbGznRIiOpRi9V0rS6B4BLBx9q4xs8Lfc+6g==" w:salt="Ffxe4Wa402lqK3mXdwAkrg=="/>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320236"/>
    <w:rsid w:val="00000DAC"/>
    <w:rsid w:val="000141F9"/>
    <w:rsid w:val="00016449"/>
    <w:rsid w:val="00016651"/>
    <w:rsid w:val="00022451"/>
    <w:rsid w:val="000269CD"/>
    <w:rsid w:val="00041A93"/>
    <w:rsid w:val="0004322B"/>
    <w:rsid w:val="00066637"/>
    <w:rsid w:val="000952BC"/>
    <w:rsid w:val="0009665D"/>
    <w:rsid w:val="000A2514"/>
    <w:rsid w:val="000D49B3"/>
    <w:rsid w:val="000E6713"/>
    <w:rsid w:val="00101FC7"/>
    <w:rsid w:val="00111322"/>
    <w:rsid w:val="001234CE"/>
    <w:rsid w:val="00124C62"/>
    <w:rsid w:val="00144781"/>
    <w:rsid w:val="00162100"/>
    <w:rsid w:val="0016635C"/>
    <w:rsid w:val="00195167"/>
    <w:rsid w:val="001A67EB"/>
    <w:rsid w:val="001B2388"/>
    <w:rsid w:val="001B53A1"/>
    <w:rsid w:val="001E4D5C"/>
    <w:rsid w:val="001F13E4"/>
    <w:rsid w:val="001F1D03"/>
    <w:rsid w:val="001F36EB"/>
    <w:rsid w:val="00205E45"/>
    <w:rsid w:val="00210584"/>
    <w:rsid w:val="00241328"/>
    <w:rsid w:val="002458B1"/>
    <w:rsid w:val="00247F9A"/>
    <w:rsid w:val="002913ED"/>
    <w:rsid w:val="002956B3"/>
    <w:rsid w:val="002A6DD5"/>
    <w:rsid w:val="002A7F00"/>
    <w:rsid w:val="002D493D"/>
    <w:rsid w:val="002F569B"/>
    <w:rsid w:val="00320236"/>
    <w:rsid w:val="0032584E"/>
    <w:rsid w:val="003507C5"/>
    <w:rsid w:val="00351A77"/>
    <w:rsid w:val="0035331A"/>
    <w:rsid w:val="00365438"/>
    <w:rsid w:val="00391E87"/>
    <w:rsid w:val="003A637C"/>
    <w:rsid w:val="003A7D8A"/>
    <w:rsid w:val="003C225A"/>
    <w:rsid w:val="003D6143"/>
    <w:rsid w:val="0040351C"/>
    <w:rsid w:val="00411002"/>
    <w:rsid w:val="00427012"/>
    <w:rsid w:val="004330D3"/>
    <w:rsid w:val="00445C62"/>
    <w:rsid w:val="0046384C"/>
    <w:rsid w:val="00490E48"/>
    <w:rsid w:val="004B15FD"/>
    <w:rsid w:val="004F1097"/>
    <w:rsid w:val="00504DE6"/>
    <w:rsid w:val="00534A41"/>
    <w:rsid w:val="00554BAD"/>
    <w:rsid w:val="00557A6C"/>
    <w:rsid w:val="00557EBE"/>
    <w:rsid w:val="005706AF"/>
    <w:rsid w:val="0057465D"/>
    <w:rsid w:val="00585885"/>
    <w:rsid w:val="00586531"/>
    <w:rsid w:val="005913C7"/>
    <w:rsid w:val="005B2234"/>
    <w:rsid w:val="005C62A6"/>
    <w:rsid w:val="005D5000"/>
    <w:rsid w:val="006037ED"/>
    <w:rsid w:val="00626901"/>
    <w:rsid w:val="0063299B"/>
    <w:rsid w:val="00637733"/>
    <w:rsid w:val="00653AA1"/>
    <w:rsid w:val="006578BF"/>
    <w:rsid w:val="00660FB3"/>
    <w:rsid w:val="00665E6E"/>
    <w:rsid w:val="006733DA"/>
    <w:rsid w:val="00697B46"/>
    <w:rsid w:val="006A0192"/>
    <w:rsid w:val="006A5B1D"/>
    <w:rsid w:val="006B4B67"/>
    <w:rsid w:val="006C40E0"/>
    <w:rsid w:val="006D6E93"/>
    <w:rsid w:val="006E151C"/>
    <w:rsid w:val="006F0A74"/>
    <w:rsid w:val="006F37E4"/>
    <w:rsid w:val="0070255E"/>
    <w:rsid w:val="00720921"/>
    <w:rsid w:val="00726BFE"/>
    <w:rsid w:val="00741CDD"/>
    <w:rsid w:val="00751F64"/>
    <w:rsid w:val="00763D5B"/>
    <w:rsid w:val="00771157"/>
    <w:rsid w:val="00791CB8"/>
    <w:rsid w:val="00792E3D"/>
    <w:rsid w:val="007B5F59"/>
    <w:rsid w:val="007C2375"/>
    <w:rsid w:val="007C2C0B"/>
    <w:rsid w:val="007D5DF4"/>
    <w:rsid w:val="007F3EAE"/>
    <w:rsid w:val="007F7D2F"/>
    <w:rsid w:val="008129DB"/>
    <w:rsid w:val="008132F0"/>
    <w:rsid w:val="008171A9"/>
    <w:rsid w:val="00833D46"/>
    <w:rsid w:val="00841F74"/>
    <w:rsid w:val="00851B78"/>
    <w:rsid w:val="00860DCD"/>
    <w:rsid w:val="00862DAC"/>
    <w:rsid w:val="0086598F"/>
    <w:rsid w:val="00867F2F"/>
    <w:rsid w:val="00894322"/>
    <w:rsid w:val="008948F1"/>
    <w:rsid w:val="008C4FF8"/>
    <w:rsid w:val="008D7962"/>
    <w:rsid w:val="008E2BF3"/>
    <w:rsid w:val="008F1A31"/>
    <w:rsid w:val="009122C2"/>
    <w:rsid w:val="00920BBD"/>
    <w:rsid w:val="0092417E"/>
    <w:rsid w:val="00964F25"/>
    <w:rsid w:val="0099014D"/>
    <w:rsid w:val="0099361C"/>
    <w:rsid w:val="009955E8"/>
    <w:rsid w:val="009A27C1"/>
    <w:rsid w:val="009A6A2E"/>
    <w:rsid w:val="009B78EE"/>
    <w:rsid w:val="009C4BD2"/>
    <w:rsid w:val="009D5CD1"/>
    <w:rsid w:val="009F36B7"/>
    <w:rsid w:val="009F58E6"/>
    <w:rsid w:val="00A07E31"/>
    <w:rsid w:val="00A15501"/>
    <w:rsid w:val="00A212C1"/>
    <w:rsid w:val="00A265AB"/>
    <w:rsid w:val="00A27EEA"/>
    <w:rsid w:val="00A3763C"/>
    <w:rsid w:val="00A37DEA"/>
    <w:rsid w:val="00A6248E"/>
    <w:rsid w:val="00A7766F"/>
    <w:rsid w:val="00A855DC"/>
    <w:rsid w:val="00A962D6"/>
    <w:rsid w:val="00AA261F"/>
    <w:rsid w:val="00AA310E"/>
    <w:rsid w:val="00AB41A2"/>
    <w:rsid w:val="00AC652D"/>
    <w:rsid w:val="00AF3053"/>
    <w:rsid w:val="00B00A9A"/>
    <w:rsid w:val="00B069B5"/>
    <w:rsid w:val="00B175A1"/>
    <w:rsid w:val="00B32054"/>
    <w:rsid w:val="00B50CEC"/>
    <w:rsid w:val="00B75DA3"/>
    <w:rsid w:val="00B8293F"/>
    <w:rsid w:val="00BC6E08"/>
    <w:rsid w:val="00BF7059"/>
    <w:rsid w:val="00C02BFC"/>
    <w:rsid w:val="00C63E13"/>
    <w:rsid w:val="00C67F92"/>
    <w:rsid w:val="00C8427C"/>
    <w:rsid w:val="00C947A5"/>
    <w:rsid w:val="00CA48FC"/>
    <w:rsid w:val="00CB2E90"/>
    <w:rsid w:val="00CE5E55"/>
    <w:rsid w:val="00CF7FA0"/>
    <w:rsid w:val="00D03463"/>
    <w:rsid w:val="00D12901"/>
    <w:rsid w:val="00D20666"/>
    <w:rsid w:val="00D2193E"/>
    <w:rsid w:val="00D31A22"/>
    <w:rsid w:val="00D558E0"/>
    <w:rsid w:val="00D67E93"/>
    <w:rsid w:val="00D8023A"/>
    <w:rsid w:val="00D84EA8"/>
    <w:rsid w:val="00D90687"/>
    <w:rsid w:val="00DB3539"/>
    <w:rsid w:val="00DC31D5"/>
    <w:rsid w:val="00DC63C1"/>
    <w:rsid w:val="00DD61C1"/>
    <w:rsid w:val="00DF4A71"/>
    <w:rsid w:val="00E0176B"/>
    <w:rsid w:val="00E0326D"/>
    <w:rsid w:val="00E206A8"/>
    <w:rsid w:val="00E26297"/>
    <w:rsid w:val="00E31465"/>
    <w:rsid w:val="00E37839"/>
    <w:rsid w:val="00E56331"/>
    <w:rsid w:val="00E61E50"/>
    <w:rsid w:val="00E75110"/>
    <w:rsid w:val="00EA1F77"/>
    <w:rsid w:val="00ED4A4E"/>
    <w:rsid w:val="00ED6ED4"/>
    <w:rsid w:val="00EE5E6C"/>
    <w:rsid w:val="00EF0526"/>
    <w:rsid w:val="00F11608"/>
    <w:rsid w:val="00F1283C"/>
    <w:rsid w:val="00F250C0"/>
    <w:rsid w:val="00F53974"/>
    <w:rsid w:val="00F95989"/>
    <w:rsid w:val="00F964C5"/>
    <w:rsid w:val="00FA33DB"/>
    <w:rsid w:val="00FD4C17"/>
    <w:rsid w:val="00FD7ADD"/>
    <w:rsid w:val="00FE1B6A"/>
    <w:rsid w:val="00FF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F744"/>
  <w15:docId w15:val="{3BA844F9-73C7-459F-A507-4ECC2B4A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14D"/>
    <w:pPr>
      <w:spacing w:after="160" w:line="259" w:lineRule="auto"/>
    </w:pPr>
    <w:rPr>
      <w:rFonts w:ascii="Arial" w:hAnsi="Arial"/>
      <w:kern w:val="2"/>
      <w:szCs w:val="22"/>
      <w14:ligatures w14:val="standardContextual"/>
    </w:rPr>
  </w:style>
  <w:style w:type="paragraph" w:styleId="Heading1">
    <w:name w:val="heading 1"/>
    <w:basedOn w:val="Normal"/>
    <w:next w:val="BodyText"/>
    <w:link w:val="Heading1Char"/>
    <w:uiPriority w:val="1"/>
    <w:qFormat/>
    <w:rsid w:val="002458B1"/>
    <w:pPr>
      <w:keepNext/>
      <w:keepLines/>
      <w:spacing w:before="240" w:after="240" w:line="360" w:lineRule="auto"/>
      <w:outlineLvl w:val="0"/>
    </w:pPr>
    <w:rPr>
      <w:rFonts w:ascii="VAG Rounded" w:eastAsiaTheme="majorEastAsia" w:hAnsi="VAG Rounded" w:cstheme="majorBidi"/>
      <w:b/>
      <w:color w:val="005496" w:themeColor="accent1"/>
      <w:spacing w:val="14"/>
      <w:kern w:val="0"/>
      <w:sz w:val="56"/>
      <w:szCs w:val="32"/>
      <w14:ligatures w14:val="none"/>
    </w:rPr>
  </w:style>
  <w:style w:type="paragraph" w:styleId="Heading2">
    <w:name w:val="heading 2"/>
    <w:basedOn w:val="Normal"/>
    <w:next w:val="Normal"/>
    <w:link w:val="Heading2Char"/>
    <w:uiPriority w:val="1"/>
    <w:qFormat/>
    <w:rsid w:val="00867F2F"/>
    <w:pPr>
      <w:keepNext/>
      <w:keepLines/>
      <w:spacing w:before="120" w:after="0" w:line="360" w:lineRule="auto"/>
      <w:outlineLvl w:val="1"/>
    </w:pPr>
    <w:rPr>
      <w:rFonts w:ascii="VAG Rounded" w:eastAsiaTheme="majorEastAsia" w:hAnsi="VAG Rounded" w:cstheme="majorBidi"/>
      <w:color w:val="005496" w:themeColor="accent1"/>
      <w:kern w:val="0"/>
      <w:sz w:val="36"/>
      <w:szCs w:val="26"/>
      <w14:ligatures w14:val="none"/>
    </w:rPr>
  </w:style>
  <w:style w:type="paragraph" w:styleId="Heading3">
    <w:name w:val="heading 3"/>
    <w:basedOn w:val="Normal"/>
    <w:next w:val="Normal"/>
    <w:link w:val="Heading3Char"/>
    <w:uiPriority w:val="1"/>
    <w:qFormat/>
    <w:rsid w:val="00867F2F"/>
    <w:pPr>
      <w:keepNext/>
      <w:keepLines/>
      <w:spacing w:after="240" w:line="360" w:lineRule="auto"/>
      <w:outlineLvl w:val="2"/>
    </w:pPr>
    <w:rPr>
      <w:rFonts w:ascii="VAG Rounded" w:eastAsiaTheme="majorEastAsia" w:hAnsi="VAG Rounded" w:cstheme="majorBidi"/>
      <w:color w:val="00884F" w:themeColor="accent2"/>
      <w:kern w:val="0"/>
      <w:sz w:val="32"/>
      <w:szCs w:val="32"/>
      <w14:ligatures w14:val="none"/>
    </w:rPr>
  </w:style>
  <w:style w:type="paragraph" w:styleId="Heading4">
    <w:name w:val="heading 4"/>
    <w:basedOn w:val="Normal"/>
    <w:next w:val="Normal"/>
    <w:link w:val="Heading4Char"/>
    <w:uiPriority w:val="1"/>
    <w:qFormat/>
    <w:rsid w:val="008D7962"/>
    <w:pPr>
      <w:keepNext/>
      <w:keepLines/>
      <w:spacing w:before="120" w:after="240" w:line="360" w:lineRule="auto"/>
      <w:outlineLvl w:val="3"/>
    </w:pPr>
    <w:rPr>
      <w:rFonts w:asciiTheme="majorHAnsi" w:eastAsiaTheme="majorEastAsia" w:hAnsiTheme="majorHAnsi" w:cstheme="majorBidi"/>
      <w:b/>
      <w:iCs/>
      <w:color w:val="005496" w:themeColor="accent1"/>
      <w:kern w:val="0"/>
      <w:sz w:val="28"/>
      <w:szCs w:val="24"/>
      <w14:ligatures w14:val="none"/>
    </w:rPr>
  </w:style>
  <w:style w:type="paragraph" w:styleId="Heading5">
    <w:name w:val="heading 5"/>
    <w:basedOn w:val="Normal"/>
    <w:next w:val="Normal"/>
    <w:link w:val="Heading5Char"/>
    <w:uiPriority w:val="1"/>
    <w:unhideWhenUsed/>
    <w:qFormat/>
    <w:rsid w:val="0016635C"/>
    <w:pPr>
      <w:keepNext/>
      <w:keepLines/>
      <w:spacing w:before="40" w:after="0" w:line="360" w:lineRule="auto"/>
      <w:outlineLvl w:val="4"/>
    </w:pPr>
    <w:rPr>
      <w:rFonts w:asciiTheme="majorHAnsi" w:eastAsiaTheme="majorEastAsia" w:hAnsiTheme="majorHAnsi" w:cstheme="majorBidi"/>
      <w:b/>
      <w:color w:val="005496" w:themeColor="text2"/>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58B1"/>
    <w:rPr>
      <w:rFonts w:ascii="VAG Rounded" w:eastAsiaTheme="majorEastAsia" w:hAnsi="VAG Rounded" w:cstheme="majorBidi"/>
      <w:b/>
      <w:color w:val="005496" w:themeColor="accent1"/>
      <w:spacing w:val="14"/>
      <w:sz w:val="56"/>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57EBE"/>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57EBE"/>
    <w:rPr>
      <w:rFonts w:cs="Arial"/>
      <w:b/>
      <w:bCs/>
      <w:color w:val="005496" w:themeColor="accent1"/>
      <w:szCs w:val="48"/>
    </w:rPr>
  </w:style>
  <w:style w:type="paragraph" w:styleId="Footer">
    <w:name w:val="footer"/>
    <w:basedOn w:val="Normal"/>
    <w:link w:val="FooterChar"/>
    <w:uiPriority w:val="99"/>
    <w:unhideWhenUsed/>
    <w:rsid w:val="0063299B"/>
    <w:pPr>
      <w:tabs>
        <w:tab w:val="center" w:pos="4680"/>
        <w:tab w:val="right" w:pos="9360"/>
      </w:tabs>
      <w:spacing w:before="120" w:after="0" w:line="240" w:lineRule="auto"/>
    </w:pPr>
    <w:rPr>
      <w:rFonts w:ascii="VAG Rounded" w:hAnsi="VAG Rounded"/>
      <w:color w:val="005496" w:themeColor="text2"/>
      <w:kern w:val="0"/>
      <w:szCs w:val="24"/>
      <w14:ligatures w14:val="none"/>
    </w:rPr>
  </w:style>
  <w:style w:type="character" w:customStyle="1" w:styleId="FooterChar">
    <w:name w:val="Footer Char"/>
    <w:basedOn w:val="DefaultParagraphFont"/>
    <w:link w:val="Footer"/>
    <w:uiPriority w:val="99"/>
    <w:rsid w:val="0063299B"/>
    <w:rPr>
      <w:rFonts w:ascii="VAG Rounded" w:hAnsi="VAG Rounded"/>
      <w:color w:val="005496" w:themeColor="tex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120" w:after="0" w:line="360" w:lineRule="auto"/>
    </w:pPr>
    <w:rPr>
      <w:rFonts w:asciiTheme="minorHAnsi" w:hAnsiTheme="minorHAnsi"/>
      <w:noProof/>
      <w:kern w:val="0"/>
      <w:szCs w:val="24"/>
      <w14:ligatures w14:val="none"/>
    </w:rPr>
  </w:style>
  <w:style w:type="character" w:styleId="Hyperlink">
    <w:name w:val="Hyperlink"/>
    <w:basedOn w:val="DefaultParagraphFont"/>
    <w:uiPriority w:val="99"/>
    <w:unhideWhenUsed/>
    <w:qFormat/>
    <w:rsid w:val="00F95989"/>
    <w:rPr>
      <w:b/>
      <w:i w:val="0"/>
      <w:color w:val="005496"/>
      <w:u w:val="none"/>
    </w:rPr>
  </w:style>
  <w:style w:type="paragraph" w:styleId="TOCHeading">
    <w:name w:val="TOC Heading"/>
    <w:basedOn w:val="Heading1"/>
    <w:next w:val="Normal"/>
    <w:uiPriority w:val="39"/>
    <w:qFormat/>
    <w:rsid w:val="008E2BF3"/>
    <w:pPr>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before="120" w:after="0" w:line="240" w:lineRule="auto"/>
    </w:pPr>
    <w:rPr>
      <w:rFonts w:asciiTheme="minorHAnsi" w:hAnsiTheme="minorHAnsi"/>
      <w:kern w:val="0"/>
      <w:sz w:val="6"/>
      <w:szCs w:val="24"/>
      <w14:ligatures w14:val="none"/>
    </w:rPr>
  </w:style>
  <w:style w:type="paragraph" w:customStyle="1" w:styleId="Bullet1">
    <w:name w:val="Bullet 1"/>
    <w:basedOn w:val="Normal"/>
    <w:uiPriority w:val="1"/>
    <w:semiHidden/>
    <w:qFormat/>
    <w:rsid w:val="001234CE"/>
    <w:pPr>
      <w:spacing w:before="120" w:after="240" w:line="360" w:lineRule="auto"/>
    </w:pPr>
    <w:rPr>
      <w:rFonts w:asciiTheme="minorHAnsi" w:hAnsiTheme="minorHAnsi"/>
      <w:kern w:val="0"/>
      <w:szCs w:val="24"/>
      <w14:ligatures w14:val="none"/>
    </w:rPr>
  </w:style>
  <w:style w:type="paragraph" w:styleId="ListParagraph">
    <w:name w:val="List Paragraph"/>
    <w:aliases w:val="Numbered List"/>
    <w:basedOn w:val="Normal"/>
    <w:link w:val="ListParagraphChar"/>
    <w:uiPriority w:val="2"/>
    <w:qFormat/>
    <w:rsid w:val="00D90687"/>
    <w:pPr>
      <w:numPr>
        <w:numId w:val="10"/>
      </w:numPr>
      <w:spacing w:before="120" w:after="240" w:line="360" w:lineRule="auto"/>
      <w:ind w:left="714" w:hanging="357"/>
    </w:pPr>
    <w:rPr>
      <w:rFonts w:asciiTheme="minorHAnsi" w:hAnsiTheme="minorHAnsi"/>
      <w:kern w:val="0"/>
      <w:szCs w:val="24"/>
      <w14:ligatures w14:val="none"/>
    </w:r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pPr>
      <w:numPr>
        <w:numId w:val="5"/>
      </w:numPr>
      <w:spacing w:before="120" w:after="240" w:line="360" w:lineRule="auto"/>
    </w:pPr>
    <w:rPr>
      <w:rFonts w:asciiTheme="minorHAnsi" w:hAnsiTheme="minorHAnsi"/>
      <w:kern w:val="0"/>
      <w:szCs w:val="24"/>
      <w14:ligatures w14:val="none"/>
    </w:rPr>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before="120" w:after="0" w:line="1080" w:lineRule="atLeast"/>
      <w:contextualSpacing/>
    </w:pPr>
    <w:rPr>
      <w:rFonts w:asciiTheme="majorHAnsi" w:eastAsiaTheme="majorEastAsia" w:hAnsiTheme="majorHAnsi" w:cstheme="majorBidi"/>
      <w:color w:val="FFFFFF" w:themeColor="background1"/>
      <w:spacing w:val="-10"/>
      <w:kern w:val="28"/>
      <w:sz w:val="108"/>
      <w:szCs w:val="56"/>
      <w14:ligatures w14:val="none"/>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before="120" w:after="200" w:line="240" w:lineRule="auto"/>
    </w:pPr>
    <w:rPr>
      <w:rFonts w:asciiTheme="minorHAnsi" w:hAnsiTheme="minorHAnsi"/>
      <w:iCs/>
      <w:color w:val="005496" w:themeColor="text2"/>
      <w:kern w:val="0"/>
      <w:szCs w:val="18"/>
      <w14:ligatures w14:val="none"/>
    </w:rPr>
  </w:style>
  <w:style w:type="paragraph" w:customStyle="1" w:styleId="AddressBlock">
    <w:name w:val="Address Block"/>
    <w:basedOn w:val="Normal"/>
    <w:uiPriority w:val="3"/>
    <w:qFormat/>
    <w:rsid w:val="006F37E4"/>
    <w:pPr>
      <w:spacing w:after="0" w:line="360" w:lineRule="auto"/>
      <w:contextualSpacing/>
    </w:pPr>
    <w:rPr>
      <w:rFonts w:asciiTheme="minorHAnsi" w:hAnsiTheme="minorHAnsi"/>
      <w:b/>
      <w:kern w:val="0"/>
      <w:szCs w:val="24"/>
      <w14:ligatures w14:val="none"/>
    </w:rPr>
  </w:style>
  <w:style w:type="paragraph" w:customStyle="1" w:styleId="BasicParagraph">
    <w:name w:val="[Basic Paragraph]"/>
    <w:basedOn w:val="Normal"/>
    <w:uiPriority w:val="99"/>
    <w:rsid w:val="002A6DD5"/>
    <w:pPr>
      <w:autoSpaceDE w:val="0"/>
      <w:autoSpaceDN w:val="0"/>
      <w:adjustRightInd w:val="0"/>
      <w:spacing w:before="120" w:after="0" w:line="288" w:lineRule="auto"/>
      <w:textAlignment w:val="center"/>
    </w:pPr>
    <w:rPr>
      <w:rFonts w:ascii="MinionPro-Regular" w:hAnsi="MinionPro-Regular" w:cs="MinionPro-Regular"/>
      <w:color w:val="000000"/>
      <w:kern w:val="0"/>
      <w:szCs w:val="24"/>
      <w:lang w:val="en-US"/>
      <w14:ligatures w14:val="none"/>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7D5DF4"/>
    <w:pPr>
      <w:spacing w:before="120" w:after="240" w:line="360" w:lineRule="auto"/>
    </w:pPr>
    <w:rPr>
      <w:rFonts w:asciiTheme="minorHAnsi" w:hAnsiTheme="minorHAnsi"/>
      <w:kern w:val="0"/>
      <w:szCs w:val="24"/>
      <w14:ligatures w14:val="none"/>
    </w:rPr>
  </w:style>
  <w:style w:type="character" w:customStyle="1" w:styleId="BodyTextChar">
    <w:name w:val="Body Text Char"/>
    <w:basedOn w:val="DefaultParagraphFont"/>
    <w:link w:val="BodyText"/>
    <w:rsid w:val="007D5DF4"/>
  </w:style>
  <w:style w:type="paragraph" w:styleId="ListBullet">
    <w:name w:val="List Bullet"/>
    <w:aliases w:val="Bullet List"/>
    <w:basedOn w:val="Normal"/>
    <w:uiPriority w:val="2"/>
    <w:qFormat/>
    <w:rsid w:val="0086598F"/>
    <w:pPr>
      <w:numPr>
        <w:numId w:val="9"/>
      </w:numPr>
      <w:spacing w:before="120" w:after="240" w:line="360" w:lineRule="auto"/>
    </w:pPr>
    <w:rPr>
      <w:rFonts w:asciiTheme="minorHAnsi" w:hAnsiTheme="minorHAnsi"/>
      <w:kern w:val="0"/>
      <w:szCs w:val="24"/>
      <w14:ligatures w14:val="none"/>
    </w:rPr>
  </w:style>
  <w:style w:type="character" w:customStyle="1" w:styleId="ListParagraphChar">
    <w:name w:val="List Paragraph Char"/>
    <w:aliases w:val="Numbered List Char"/>
    <w:link w:val="ListParagraph"/>
    <w:uiPriority w:val="2"/>
    <w:qFormat/>
    <w:rsid w:val="003A637C"/>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before="120" w:after="0" w:line="240" w:lineRule="auto"/>
    </w:pPr>
    <w:rPr>
      <w:rFonts w:asciiTheme="minorHAnsi" w:hAnsiTheme="minorHAnsi"/>
      <w:kern w:val="0"/>
      <w:szCs w:val="20"/>
      <w14:ligatures w14:val="none"/>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line="360" w:lineRule="auto"/>
      <w:ind w:left="851" w:right="851"/>
    </w:pPr>
    <w:rPr>
      <w:rFonts w:asciiTheme="minorHAnsi" w:hAnsiTheme="minorHAnsi"/>
      <w:iCs/>
      <w:color w:val="005496" w:themeColor="accent1"/>
      <w:kern w:val="0"/>
      <w:szCs w:val="24"/>
      <w14:ligatures w14:val="none"/>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line="360" w:lineRule="auto"/>
      <w:ind w:left="864" w:right="864"/>
      <w:jc w:val="center"/>
    </w:pPr>
    <w:rPr>
      <w:rFonts w:asciiTheme="minorHAnsi" w:hAnsiTheme="minorHAnsi"/>
      <w:iCs/>
      <w:color w:val="005496" w:themeColor="text2"/>
      <w:kern w:val="0"/>
      <w:szCs w:val="24"/>
      <w14:ligatures w14:val="none"/>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H12ndlinememo">
    <w:name w:val="H1 2nd line memo"/>
    <w:basedOn w:val="Heading1"/>
    <w:uiPriority w:val="99"/>
    <w:rsid w:val="00041A93"/>
    <w:pPr>
      <w:spacing w:before="0"/>
    </w:pPr>
    <w:rPr>
      <w:color w:val="00884F" w:themeColor="accent2"/>
    </w:rPr>
  </w:style>
  <w:style w:type="character" w:styleId="CommentReference">
    <w:name w:val="annotation reference"/>
    <w:basedOn w:val="DefaultParagraphFont"/>
    <w:uiPriority w:val="99"/>
    <w:semiHidden/>
    <w:unhideWhenUsed/>
    <w:rsid w:val="007D5DF4"/>
    <w:rPr>
      <w:sz w:val="16"/>
      <w:szCs w:val="16"/>
    </w:rPr>
  </w:style>
  <w:style w:type="paragraph" w:styleId="CommentText">
    <w:name w:val="annotation text"/>
    <w:basedOn w:val="Normal"/>
    <w:link w:val="CommentTextChar"/>
    <w:uiPriority w:val="99"/>
    <w:semiHidden/>
    <w:unhideWhenUsed/>
    <w:rsid w:val="007D5DF4"/>
    <w:pPr>
      <w:spacing w:before="240" w:after="240"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semiHidden/>
    <w:rsid w:val="007D5D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91217">
      <w:bodyDiv w:val="1"/>
      <w:marLeft w:val="0"/>
      <w:marRight w:val="0"/>
      <w:marTop w:val="0"/>
      <w:marBottom w:val="0"/>
      <w:divBdr>
        <w:top w:val="none" w:sz="0" w:space="0" w:color="auto"/>
        <w:left w:val="none" w:sz="0" w:space="0" w:color="auto"/>
        <w:bottom w:val="none" w:sz="0" w:space="0" w:color="auto"/>
        <w:right w:val="none" w:sz="0" w:space="0" w:color="auto"/>
      </w:divBdr>
    </w:div>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577907492">
      <w:bodyDiv w:val="1"/>
      <w:marLeft w:val="0"/>
      <w:marRight w:val="0"/>
      <w:marTop w:val="0"/>
      <w:marBottom w:val="0"/>
      <w:divBdr>
        <w:top w:val="none" w:sz="0" w:space="0" w:color="auto"/>
        <w:left w:val="none" w:sz="0" w:space="0" w:color="auto"/>
        <w:bottom w:val="none" w:sz="0" w:space="0" w:color="auto"/>
        <w:right w:val="none" w:sz="0" w:space="0" w:color="auto"/>
      </w:divBdr>
    </w:div>
    <w:div w:id="12491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disability.royalcommission.gov.au/publications/economic-cost-violence-abuse-neglect-and-exploitation-people-disability" TargetMode="External"/><Relationship Id="rId3" Type="http://schemas.openxmlformats.org/officeDocument/2006/relationships/hyperlink" Target="https://www.ama.com.au/sites/default/files/2023-06/Health-is-the-best-investment-shifting-from-a-sickcare-system-to-a-healthcares-system.pdf" TargetMode="External"/><Relationship Id="rId7" Type="http://schemas.openxmlformats.org/officeDocument/2006/relationships/hyperlink" Target="https://www.abs.gov.au/statistics/health/disability/disability-ageing-and-carers-australia-summary-findings/latest-release" TargetMode="External"/><Relationship Id="rId2" Type="http://schemas.openxmlformats.org/officeDocument/2006/relationships/hyperlink" Target="https://www.pc.gov.au/inquiries/completed/productivity-review/report/productivity-review.pdf" TargetMode="External"/><Relationship Id="rId1" Type="http://schemas.openxmlformats.org/officeDocument/2006/relationships/hyperlink" Target="https://public-health.uq.edu.au/files/571/ACE-Prevention_final_report.pdf" TargetMode="External"/><Relationship Id="rId6" Type="http://schemas.openxmlformats.org/officeDocument/2006/relationships/hyperlink" Target="https://www.nsw.gov.au/about-nsw/key-facts-about-nsw" TargetMode="External"/><Relationship Id="rId5" Type="http://schemas.openxmlformats.org/officeDocument/2006/relationships/hyperlink" Target="https://ageingdisabilitycommission.nsw.gov.au/documents/reports-and-submissions/adc-annual-reports/OCV-Annual-Report_2023-2024_-_final.pdf" TargetMode="External"/><Relationship Id="rId4" Type="http://schemas.openxmlformats.org/officeDocument/2006/relationships/hyperlink" Target="https://www.facs.nsw.gov.au/download?file=823631" TargetMode="External"/><Relationship Id="rId9" Type="http://schemas.openxmlformats.org/officeDocument/2006/relationships/hyperlink" Target="https://pwd.org.au/projects/building-access-proje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ienWallace\People%20with%20Disability%20Australia\Shared%20Data%20-%20Documents\SYSTEMIC%20ADVOCACY\Systemic%20Policy%20Templates,%20Guides,%20Teams%20backgrounds%202023\PWDA%20Policy%20Position%20Paper%20Template%20TO%20REVIEW.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Props1.xml><?xml version="1.0" encoding="utf-8"?>
<ds:datastoreItem xmlns:ds="http://schemas.openxmlformats.org/officeDocument/2006/customXml" ds:itemID="{FA94C5A7-78FC-4B79-9C09-9FAEF0EDC023}">
  <ds:schemaRefs>
    <ds:schemaRef ds:uri="http://schemas.microsoft.com/sharepoint/v3/contenttype/forms"/>
  </ds:schemaRefs>
</ds:datastoreItem>
</file>

<file path=customXml/itemProps2.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customXml/itemProps3.xml><?xml version="1.0" encoding="utf-8"?>
<ds:datastoreItem xmlns:ds="http://schemas.openxmlformats.org/officeDocument/2006/customXml" ds:itemID="{018D034D-249F-429B-9647-28EDF87134D6}"/>
</file>

<file path=customXml/itemProps4.xml><?xml version="1.0" encoding="utf-8"?>
<ds:datastoreItem xmlns:ds="http://schemas.openxmlformats.org/officeDocument/2006/customXml" ds:itemID="{7BDAC124-A500-4B4C-8EC8-6F14AC847EFD}">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docProps/app.xml><?xml version="1.0" encoding="utf-8"?>
<Properties xmlns="http://schemas.openxmlformats.org/officeDocument/2006/extended-properties" xmlns:vt="http://schemas.openxmlformats.org/officeDocument/2006/docPropsVTypes">
  <Template>PWDA Policy Position Paper Template TO REVIEW</Template>
  <TotalTime>0</TotalTime>
  <Pages>4</Pages>
  <Words>208</Words>
  <Characters>1443</Characters>
  <Application>Microsoft Office Word</Application>
  <DocSecurity>0</DocSecurity>
  <Lines>96</Lines>
  <Paragraphs>53</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Bastien Wallace</dc:creator>
  <cp:lastModifiedBy>Kylie Rees</cp:lastModifiedBy>
  <cp:revision>2</cp:revision>
  <cp:lastPrinted>2018-04-09T10:08:00Z</cp:lastPrinted>
  <dcterms:created xsi:type="dcterms:W3CDTF">2025-02-04T11:32:00Z</dcterms:created>
  <dcterms:modified xsi:type="dcterms:W3CDTF">2025-02-04T11:32:00Z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523400</vt:r8>
  </property>
  <property fmtid="{D5CDD505-2E9C-101B-9397-08002B2CF9AE}" pid="4" name="MediaServiceImageTags">
    <vt:lpwstr/>
  </property>
</Properties>
</file>