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bookmarkStart w:id="15" w:name="_Toc209446745"/>
    <w:p w14:paraId="2ED1F5B0" w14:textId="79667F16" w:rsidR="004F0489" w:rsidRPr="004F0489" w:rsidRDefault="007D215F" w:rsidP="004F0489">
      <w:pPr>
        <w:pStyle w:val="Heading1"/>
      </w:pPr>
      <w:r>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F53BD7"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6" w:name="_Toc136542538"/>
      <w:bookmarkStart w:id="17" w:name="_Toc136544398"/>
      <w:bookmarkStart w:id="18" w:name="_Toc136805641"/>
      <w:bookmarkStart w:id="19" w:name="_Toc136867589"/>
      <w:bookmarkStart w:id="20" w:name="_Toc140496512"/>
      <w:bookmarkStart w:id="21" w:name="_Toc121904078"/>
      <w:bookmarkStart w:id="22" w:name="_Toc121904238"/>
      <w:bookmarkStart w:id="23" w:name="_Toc122010537"/>
      <w:bookmarkStart w:id="24" w:name="_Toc136542539"/>
      <w:bookmarkStart w:id="25" w:name="_Toc136544399"/>
      <w:bookmarkStart w:id="26" w:name="_Toc136805642"/>
      <w:bookmarkStart w:id="27"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2B3AA3F" w14:textId="2CC7C1BE" w:rsidR="004F0489" w:rsidRPr="00F86606" w:rsidRDefault="00F86606" w:rsidP="004F0489">
      <w:pPr>
        <w:pStyle w:val="Heading1"/>
        <w:jc w:val="center"/>
        <w:rPr>
          <w:color w:val="FFFFFF" w:themeColor="background1"/>
        </w:rPr>
      </w:pPr>
      <w:bookmarkStart w:id="28" w:name="_Toc209446746"/>
      <w:r w:rsidRPr="00F86606">
        <w:rPr>
          <w:rFonts w:asciiTheme="minorHAnsi" w:hAnsiTheme="minorHAnsi" w:cstheme="minorHAnsi"/>
          <w:color w:val="FFFFFF" w:themeColor="background1"/>
        </w:rPr>
        <w:t>National Safety and Quality Health Service Standards</w:t>
      </w:r>
      <w:r>
        <w:rPr>
          <w:rFonts w:asciiTheme="minorHAnsi" w:hAnsiTheme="minorHAnsi" w:cstheme="minorHAnsi"/>
          <w:color w:val="FFFFFF" w:themeColor="background1"/>
        </w:rPr>
        <w:t>:</w:t>
      </w:r>
      <w:r w:rsidRPr="00F86606">
        <w:rPr>
          <w:rFonts w:asciiTheme="minorHAnsi" w:hAnsiTheme="minorHAnsi" w:cstheme="minorHAnsi"/>
          <w:color w:val="FFFFFF" w:themeColor="background1"/>
        </w:rPr>
        <w:t xml:space="preserve"> third edition</w:t>
      </w:r>
      <w:bookmarkEnd w:id="28"/>
    </w:p>
    <w:p w14:paraId="2F00B221" w14:textId="62D45AEF" w:rsidR="002D32E8" w:rsidRPr="004F0489" w:rsidRDefault="00336BBA" w:rsidP="004F0489">
      <w:pPr>
        <w:pStyle w:val="Heading1"/>
        <w:spacing w:line="360" w:lineRule="auto"/>
        <w:jc w:val="center"/>
        <w:rPr>
          <w:rFonts w:ascii="Arial" w:hAnsi="Arial" w:cs="Arial"/>
          <w:b w:val="0"/>
          <w:bCs/>
          <w:color w:val="FFFFFF" w:themeColor="background1"/>
          <w:sz w:val="24"/>
          <w:szCs w:val="24"/>
        </w:rPr>
      </w:pPr>
      <w:bookmarkStart w:id="29" w:name="_Toc140496513"/>
      <w:bookmarkStart w:id="30" w:name="_Toc141200524"/>
      <w:bookmarkStart w:id="31" w:name="_Toc209446747"/>
      <w:bookmarkEnd w:id="16"/>
      <w:bookmarkEnd w:id="17"/>
      <w:bookmarkEnd w:id="18"/>
      <w:bookmarkEnd w:id="19"/>
      <w:bookmarkEnd w:id="20"/>
      <w:r w:rsidRPr="004F0489">
        <w:rPr>
          <w:rFonts w:ascii="Arial" w:eastAsiaTheme="minorHAnsi" w:hAnsi="Arial" w:cs="Arial"/>
          <w:b w:val="0"/>
          <w:bCs/>
          <w:color w:val="FFFFFF" w:themeColor="background1"/>
          <w:sz w:val="24"/>
          <w:szCs w:val="24"/>
        </w:rPr>
        <w:t>Submission</w:t>
      </w:r>
      <w:r w:rsidR="002937C8" w:rsidRPr="004F0489">
        <w:rPr>
          <w:rFonts w:ascii="Arial" w:hAnsi="Arial" w:cs="Arial"/>
          <w:b w:val="0"/>
          <w:bCs/>
          <w:noProof/>
          <w:color w:val="FFFFFF" w:themeColor="background1"/>
          <w:sz w:val="24"/>
          <w:szCs w:val="24"/>
          <w:lang w:eastAsia="en-AU"/>
        </w:rPr>
        <w:drawing>
          <wp:anchor distT="0" distB="0" distL="114300" distR="114300" simplePos="0" relativeHeight="251658241"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1"/>
      <w:bookmarkEnd w:id="22"/>
      <w:r w:rsidR="00E577A1" w:rsidRPr="004F0489">
        <w:rPr>
          <w:rFonts w:ascii="Arial" w:eastAsiaTheme="minorHAnsi" w:hAnsi="Arial" w:cs="Arial"/>
          <w:b w:val="0"/>
          <w:bCs/>
          <w:color w:val="FFFFFF" w:themeColor="background1"/>
          <w:sz w:val="24"/>
          <w:szCs w:val="24"/>
        </w:rPr>
        <w:t xml:space="preserve"> to the</w:t>
      </w:r>
      <w:r w:rsidR="00773B68" w:rsidRPr="004F0489">
        <w:rPr>
          <w:rFonts w:ascii="Arial" w:eastAsiaTheme="minorHAnsi" w:hAnsi="Arial" w:cs="Arial"/>
          <w:b w:val="0"/>
          <w:bCs/>
          <w:color w:val="FFFFFF" w:themeColor="background1"/>
          <w:sz w:val="24"/>
          <w:szCs w:val="24"/>
        </w:rPr>
        <w:t xml:space="preserve"> </w:t>
      </w:r>
      <w:bookmarkEnd w:id="23"/>
      <w:bookmarkEnd w:id="24"/>
      <w:bookmarkEnd w:id="25"/>
      <w:bookmarkEnd w:id="26"/>
      <w:bookmarkEnd w:id="27"/>
      <w:bookmarkEnd w:id="29"/>
      <w:bookmarkEnd w:id="30"/>
      <w:r w:rsidR="00E231DD">
        <w:rPr>
          <w:rFonts w:ascii="Arial" w:eastAsiaTheme="minorHAnsi" w:hAnsi="Arial" w:cs="Arial"/>
          <w:b w:val="0"/>
          <w:bCs/>
          <w:color w:val="FFFFFF" w:themeColor="background1"/>
          <w:sz w:val="24"/>
          <w:szCs w:val="24"/>
        </w:rPr>
        <w:t>Australian Commission on Safety and Quality in Healthcare</w:t>
      </w:r>
      <w:bookmarkEnd w:id="31"/>
    </w:p>
    <w:p w14:paraId="7D601F01" w14:textId="187DBEA7" w:rsidR="002937C8" w:rsidRPr="00AE715A" w:rsidRDefault="006F4C6F" w:rsidP="00897833">
      <w:pPr>
        <w:pStyle w:val="BodyText"/>
        <w:sectPr w:rsidR="002937C8" w:rsidRPr="00AE715A" w:rsidSect="007D215F">
          <w:footerReference w:type="default" r:id="rId12"/>
          <w:pgSz w:w="11906" w:h="16838" w:code="9"/>
          <w:pgMar w:top="8222" w:right="1134" w:bottom="1928" w:left="3686" w:header="284" w:footer="510" w:gutter="0"/>
          <w:cols w:space="708"/>
          <w:docGrid w:linePitch="360"/>
        </w:sectPr>
      </w:pPr>
      <w:r w:rsidRPr="000E2A47">
        <w:rPr>
          <w:noProof/>
          <w:sz w:val="56"/>
          <w:lang w:eastAsia="en-AU"/>
        </w:rPr>
        <mc:AlternateContent>
          <mc:Choice Requires="wps">
            <w:drawing>
              <wp:anchor distT="0" distB="0" distL="114300" distR="114300" simplePos="0" relativeHeight="251658242"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79CAB7EF" w:rsidR="006F4C6F" w:rsidRDefault="00D926BB" w:rsidP="006F4C6F">
                            <w:pPr>
                              <w:pStyle w:val="TitleDate"/>
                              <w:rPr>
                                <w:rFonts w:ascii="VAG Rounded" w:hAnsi="VAG Rounded"/>
                                <w:lang w:val="en-US"/>
                              </w:rPr>
                            </w:pPr>
                            <w:r>
                              <w:rPr>
                                <w:rFonts w:ascii="VAG Rounded" w:hAnsi="VAG Rounded"/>
                                <w:lang w:val="en-US"/>
                              </w:rPr>
                              <w:t>September</w:t>
                            </w:r>
                          </w:p>
                          <w:p w14:paraId="794B7526" w14:textId="265B1715" w:rsidR="006F4C6F" w:rsidRPr="000A3A30" w:rsidRDefault="006F4C6F" w:rsidP="006F4C6F">
                            <w:pPr>
                              <w:pStyle w:val="TitleDate"/>
                              <w:rPr>
                                <w:rFonts w:ascii="VAG Rounded" w:hAnsi="VAG Rounded"/>
                                <w:lang w:val="en-US"/>
                              </w:rPr>
                            </w:pPr>
                            <w:r>
                              <w:rPr>
                                <w:rFonts w:ascii="VAG Rounded" w:hAnsi="VAG Rounded"/>
                                <w:lang w:val="en-US"/>
                              </w:rPr>
                              <w:t>202</w:t>
                            </w:r>
                            <w:r w:rsidR="00D926BB">
                              <w:rPr>
                                <w:rFonts w:ascii="VAG Rounded" w:hAnsi="VAG Rounded"/>
                                <w:lang w:val="en-US"/>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2.7pt;margin-top:740.1pt;width:102.05pt;height:82.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" filled="f" stroked="f" strokeweight=".5pt">
                <v:textbox inset="0,0,0,0">
                  <w:txbxContent>
                    <w:p w14:paraId="02790F45" w14:textId="79CAB7EF" w:rsidR="006F4C6F" w:rsidRDefault="00D926BB" w:rsidP="006F4C6F">
                      <w:pPr>
                        <w:pStyle w:val="TitleDate"/>
                        <w:rPr>
                          <w:rFonts w:ascii="VAG Rounded" w:hAnsi="VAG Rounded"/>
                          <w:lang w:val="en-US"/>
                        </w:rPr>
                      </w:pPr>
                      <w:r>
                        <w:rPr>
                          <w:rFonts w:ascii="VAG Rounded" w:hAnsi="VAG Rounded"/>
                          <w:lang w:val="en-US"/>
                        </w:rPr>
                        <w:t>September</w:t>
                      </w:r>
                    </w:p>
                    <w:p w14:paraId="794B7526" w14:textId="265B1715" w:rsidR="006F4C6F" w:rsidRPr="000A3A30" w:rsidRDefault="006F4C6F" w:rsidP="006F4C6F">
                      <w:pPr>
                        <w:pStyle w:val="TitleDate"/>
                        <w:rPr>
                          <w:rFonts w:ascii="VAG Rounded" w:hAnsi="VAG Rounded"/>
                          <w:lang w:val="en-US"/>
                        </w:rPr>
                      </w:pPr>
                      <w:r>
                        <w:rPr>
                          <w:rFonts w:ascii="VAG Rounded" w:hAnsi="VAG Rounded"/>
                          <w:lang w:val="en-US"/>
                        </w:rPr>
                        <w:t>202</w:t>
                      </w:r>
                      <w:r w:rsidR="00D926BB">
                        <w:rPr>
                          <w:rFonts w:ascii="VAG Rounded" w:hAnsi="VAG Rounded"/>
                          <w:lang w:val="en-US"/>
                        </w:rPr>
                        <w:t>5</w:t>
                      </w:r>
                    </w:p>
                  </w:txbxContent>
                </v:textbox>
                <w10:wrap anchorx="page" anchory="page"/>
              </v:shape>
            </w:pict>
          </mc:Fallback>
        </mc:AlternateContent>
      </w:r>
    </w:p>
    <w:p w14:paraId="47F94493" w14:textId="2BD975D2" w:rsidR="006F4C6F" w:rsidRDefault="001818A8" w:rsidP="00C13DB4">
      <w:pPr>
        <w:pStyle w:val="Heading1"/>
      </w:pPr>
      <w:bookmarkStart w:id="32" w:name="_Toc121904239"/>
      <w:bookmarkStart w:id="33" w:name="_Toc122010538"/>
      <w:bookmarkStart w:id="34" w:name="_Toc136542540"/>
      <w:bookmarkStart w:id="35" w:name="_Toc136544400"/>
      <w:bookmarkStart w:id="36" w:name="_Toc136805643"/>
      <w:bookmarkStart w:id="37" w:name="_Toc136867591"/>
      <w:bookmarkStart w:id="38" w:name="_Toc209446748"/>
      <w:bookmarkStart w:id="39" w:name="_Toc511064385"/>
      <w:r w:rsidRPr="001818A8">
        <w:lastRenderedPageBreak/>
        <w:t>Copyright information</w:t>
      </w:r>
      <w:bookmarkEnd w:id="32"/>
      <w:bookmarkEnd w:id="33"/>
      <w:bookmarkEnd w:id="34"/>
      <w:bookmarkEnd w:id="35"/>
      <w:bookmarkEnd w:id="36"/>
      <w:bookmarkEnd w:id="37"/>
      <w:bookmarkEnd w:id="38"/>
    </w:p>
    <w:p w14:paraId="5C642698" w14:textId="4AF33C50" w:rsidR="00953E21" w:rsidRDefault="00D926BB" w:rsidP="00953E21">
      <w:pPr>
        <w:pStyle w:val="BodyText"/>
        <w:spacing w:before="0" w:after="0" w:line="300" w:lineRule="auto"/>
        <w:rPr>
          <w:i/>
          <w:iCs/>
          <w:lang w:val="en-AU"/>
        </w:rPr>
      </w:pPr>
      <w:bookmarkStart w:id="40" w:name="_Hlk120864433"/>
      <w:r>
        <w:rPr>
          <w:i/>
          <w:iCs/>
        </w:rPr>
        <w:t xml:space="preserve">National Safety and Quality Health Service Standards: third edition </w:t>
      </w:r>
      <w:r w:rsidR="00953E21" w:rsidRPr="00A7183B">
        <w:t>– Submission to the</w:t>
      </w:r>
      <w:r w:rsidR="00953E21">
        <w:rPr>
          <w:i/>
          <w:iCs/>
        </w:rPr>
        <w:t xml:space="preserve"> </w:t>
      </w:r>
      <w:bookmarkEnd w:id="40"/>
      <w:r>
        <w:rPr>
          <w:i/>
          <w:iCs/>
        </w:rPr>
        <w:t>Australian Commission on Safety and Quality in Healthcare</w:t>
      </w:r>
    </w:p>
    <w:p w14:paraId="702FE008" w14:textId="77777777" w:rsidR="00336BBA" w:rsidRPr="006F4C6F" w:rsidRDefault="00336BBA" w:rsidP="00336BBA">
      <w:pPr>
        <w:pStyle w:val="BodyText"/>
        <w:spacing w:before="0" w:after="0" w:line="300" w:lineRule="auto"/>
        <w:rPr>
          <w:i/>
          <w:iCs/>
        </w:rPr>
      </w:pPr>
    </w:p>
    <w:p w14:paraId="77B2968D" w14:textId="14632981" w:rsidR="00336BBA" w:rsidRDefault="00336BBA" w:rsidP="00336BBA">
      <w:pPr>
        <w:pStyle w:val="BodyText"/>
        <w:spacing w:before="0" w:after="0" w:line="240" w:lineRule="auto"/>
        <w:rPr>
          <w:rStyle w:val="Hyperlink"/>
          <w:bCs/>
        </w:rPr>
      </w:pPr>
      <w:r w:rsidRPr="00E82BC8">
        <w:t>First published in 202</w:t>
      </w:r>
      <w:r w:rsidR="004F0489">
        <w:t>3</w:t>
      </w:r>
      <w:r w:rsidRPr="00E82BC8">
        <w:t xml:space="preserve"> by People with Disability Australia Ltd.</w:t>
      </w:r>
      <w:r w:rsidRPr="00E82BC8">
        <w:br/>
        <w:t xml:space="preserve">Level </w:t>
      </w:r>
      <w:r w:rsidR="00D926BB">
        <w:t>10</w:t>
      </w:r>
      <w:r w:rsidRPr="00E82BC8">
        <w:t xml:space="preserve">, </w:t>
      </w:r>
      <w:r w:rsidR="00D926BB">
        <w:t>300</w:t>
      </w:r>
      <w:r w:rsidRPr="00E82BC8">
        <w:t xml:space="preserve"> Elizabeth Street, Surry Hills, New South Wales, Australia 2010</w:t>
      </w:r>
      <w:r w:rsidRPr="00E82BC8">
        <w:br/>
        <w:t>Head office also in Sydney</w:t>
      </w:r>
      <w:r w:rsidRPr="00E82BC8">
        <w:br/>
        <w:t>Email:</w:t>
      </w:r>
      <w:r w:rsidRPr="00E82BC8">
        <w:rPr>
          <w:b/>
          <w:bCs/>
        </w:rPr>
        <w:t xml:space="preserve"> </w:t>
      </w:r>
      <w:hyperlink r:id="rId13" w:history="1">
        <w:r w:rsidR="00F127CE" w:rsidRPr="008A6179">
          <w:rPr>
            <w:rStyle w:val="Hyperlink"/>
            <w:bCs/>
          </w:rPr>
          <w:t>pwd@pwd.org.au</w:t>
        </w:r>
      </w:hyperlink>
      <w:r w:rsidRPr="00E82BC8">
        <w:br/>
        <w:t>Phone: +61 2 9370 3100 Fax: +61 2 9318 1372</w:t>
      </w:r>
      <w:r w:rsidRPr="00E82BC8">
        <w:br/>
        <w:t xml:space="preserve">URL: </w:t>
      </w:r>
      <w:hyperlink r:id="rId14" w:history="1">
        <w:r w:rsidRPr="00E82BC8">
          <w:rPr>
            <w:rStyle w:val="Hyperlink"/>
            <w:bCs/>
          </w:rPr>
          <w:t>www.pwd.org.au</w:t>
        </w:r>
      </w:hyperlink>
    </w:p>
    <w:p w14:paraId="1946A4F9" w14:textId="77777777" w:rsidR="00336BBA" w:rsidRPr="00E82BC8" w:rsidRDefault="00336BBA" w:rsidP="00336BBA">
      <w:pPr>
        <w:pStyle w:val="BodyText"/>
        <w:spacing w:before="0" w:after="0" w:line="240" w:lineRule="auto"/>
      </w:pPr>
    </w:p>
    <w:p w14:paraId="4633A0C6" w14:textId="3770AA5C" w:rsidR="00336BBA" w:rsidRDefault="00336BBA" w:rsidP="00336BBA">
      <w:pPr>
        <w:pStyle w:val="BodyText"/>
        <w:spacing w:before="0" w:after="0" w:line="240" w:lineRule="auto"/>
      </w:pPr>
      <w:r w:rsidRPr="00E82BC8">
        <w:t>Typeset in Arial 12</w:t>
      </w:r>
      <w:r>
        <w:t xml:space="preserve"> and 14</w:t>
      </w:r>
      <w:r w:rsidRPr="00E82BC8">
        <w:t xml:space="preserve"> pt and VAG Rounded </w:t>
      </w:r>
      <w:r>
        <w:t>26</w:t>
      </w:r>
      <w:r w:rsidRPr="00E82BC8">
        <w:t xml:space="preserve"> pt</w:t>
      </w:r>
    </w:p>
    <w:p w14:paraId="45ABAE3C" w14:textId="77777777" w:rsidR="00336BBA" w:rsidRPr="00E82BC8" w:rsidRDefault="00336BBA" w:rsidP="00336BBA">
      <w:pPr>
        <w:pStyle w:val="BodyText"/>
        <w:spacing w:before="0" w:after="0" w:line="240" w:lineRule="auto"/>
      </w:pPr>
    </w:p>
    <w:p w14:paraId="6648199F" w14:textId="079F36AA" w:rsidR="00336BBA" w:rsidRDefault="00336BBA" w:rsidP="00336BBA">
      <w:pPr>
        <w:pStyle w:val="BodyText"/>
        <w:spacing w:before="0" w:after="0" w:line="240" w:lineRule="auto"/>
      </w:pPr>
      <w:r w:rsidRPr="00E82BC8">
        <w:t>© People with Disability Australia Ltd. 202</w:t>
      </w:r>
      <w:r w:rsidR="00D926BB">
        <w:t>5</w:t>
      </w:r>
    </w:p>
    <w:p w14:paraId="770BE331" w14:textId="77777777" w:rsidR="00336BBA" w:rsidRPr="00E82BC8" w:rsidRDefault="00336BBA" w:rsidP="00336BBA">
      <w:pPr>
        <w:pStyle w:val="BodyText"/>
        <w:spacing w:before="0" w:after="0" w:line="240" w:lineRule="auto"/>
      </w:pPr>
    </w:p>
    <w:p w14:paraId="1E17C75D" w14:textId="77777777" w:rsidR="00336BBA" w:rsidRDefault="00336BBA" w:rsidP="00336BBA">
      <w:pPr>
        <w:pStyle w:val="BodyText"/>
        <w:spacing w:before="0" w:after="0" w:line="240" w:lineRule="auto"/>
      </w:pPr>
      <w:r w:rsidRPr="00E82BC8">
        <w:t>The moral rights of the authors have been asserted</w:t>
      </w:r>
    </w:p>
    <w:p w14:paraId="1147F84E" w14:textId="77777777" w:rsidR="00336BBA" w:rsidRPr="00E82BC8" w:rsidRDefault="00336BBA" w:rsidP="00336BBA">
      <w:pPr>
        <w:pStyle w:val="BodyText"/>
        <w:spacing w:before="0" w:after="0" w:line="240" w:lineRule="auto"/>
      </w:pPr>
    </w:p>
    <w:p w14:paraId="110D80AF" w14:textId="77777777" w:rsidR="00336BBA" w:rsidRDefault="00336BBA" w:rsidP="00336BBA">
      <w:pPr>
        <w:pStyle w:val="BodyText"/>
        <w:spacing w:before="0" w:after="0" w:line="240" w:lineRule="auto"/>
      </w:pPr>
      <w:r w:rsidRPr="00E82BC8">
        <w:t>National Library of Australia Cataloguing-in-Publication data:</w:t>
      </w:r>
    </w:p>
    <w:p w14:paraId="4E0E83D4" w14:textId="77777777" w:rsidR="00336BBA" w:rsidRPr="00E82BC8" w:rsidRDefault="00336BBA" w:rsidP="00336BBA">
      <w:pPr>
        <w:pStyle w:val="BodyText"/>
        <w:spacing w:before="0"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E82BC8" w14:paraId="1E11E99A" w14:textId="77777777" w:rsidTr="009E0334">
        <w:tc>
          <w:tcPr>
            <w:tcW w:w="1413" w:type="dxa"/>
          </w:tcPr>
          <w:p w14:paraId="1DE43615" w14:textId="77777777" w:rsidR="00336BBA" w:rsidRDefault="00336BBA" w:rsidP="009E0334">
            <w:pPr>
              <w:pStyle w:val="BodyText"/>
              <w:spacing w:before="0" w:after="0" w:line="240" w:lineRule="auto"/>
            </w:pPr>
          </w:p>
          <w:p w14:paraId="56FB83D7" w14:textId="77777777" w:rsidR="00336BBA" w:rsidRPr="00E82BC8" w:rsidRDefault="00336BBA" w:rsidP="009E0334">
            <w:pPr>
              <w:pStyle w:val="BodyText"/>
              <w:spacing w:before="0" w:after="0" w:line="240" w:lineRule="auto"/>
            </w:pPr>
            <w:r w:rsidRPr="00E82BC8">
              <w:t>Creator(s):</w:t>
            </w:r>
          </w:p>
        </w:tc>
        <w:tc>
          <w:tcPr>
            <w:tcW w:w="8215" w:type="dxa"/>
          </w:tcPr>
          <w:p w14:paraId="09FDC280" w14:textId="77777777" w:rsidR="00336BBA" w:rsidRDefault="00336BBA" w:rsidP="009E0334">
            <w:pPr>
              <w:pStyle w:val="BodyText"/>
              <w:spacing w:before="0" w:after="0" w:line="240" w:lineRule="auto"/>
            </w:pPr>
          </w:p>
          <w:p w14:paraId="671B517C" w14:textId="72C47BF2" w:rsidR="00336BBA" w:rsidRPr="00E82BC8" w:rsidRDefault="00A7183B" w:rsidP="009E0334">
            <w:pPr>
              <w:pStyle w:val="BodyText"/>
              <w:spacing w:before="0" w:after="0" w:line="240" w:lineRule="auto"/>
            </w:pPr>
            <w:r>
              <w:t>Bastien Wallace</w:t>
            </w:r>
          </w:p>
        </w:tc>
      </w:tr>
      <w:tr w:rsidR="00336BBA" w:rsidRPr="00E82BC8" w14:paraId="1BF63424" w14:textId="77777777" w:rsidTr="009E0334">
        <w:tc>
          <w:tcPr>
            <w:tcW w:w="1413" w:type="dxa"/>
          </w:tcPr>
          <w:p w14:paraId="303B6D79" w14:textId="77777777" w:rsidR="00336BBA" w:rsidRPr="00E82BC8" w:rsidRDefault="00336BBA" w:rsidP="009E0334">
            <w:pPr>
              <w:pStyle w:val="BodyText"/>
              <w:spacing w:before="0" w:after="0" w:line="240" w:lineRule="auto"/>
            </w:pPr>
            <w:r w:rsidRPr="00E82BC8">
              <w:t>Title:</w:t>
            </w:r>
          </w:p>
        </w:tc>
        <w:tc>
          <w:tcPr>
            <w:tcW w:w="8215" w:type="dxa"/>
          </w:tcPr>
          <w:p w14:paraId="1C3E2B33" w14:textId="1CF62BD0" w:rsidR="0070139A" w:rsidRPr="00656905" w:rsidRDefault="00A7183B" w:rsidP="0070139A">
            <w:pPr>
              <w:pStyle w:val="BodyText"/>
              <w:spacing w:before="0" w:after="0" w:line="300" w:lineRule="auto"/>
              <w:rPr>
                <w:i/>
                <w:iCs/>
                <w:lang w:val="en-AU"/>
              </w:rPr>
            </w:pPr>
            <w:r>
              <w:rPr>
                <w:i/>
                <w:iCs/>
              </w:rPr>
              <w:t xml:space="preserve">National Safety and Quality Health Service Standards: third edition </w:t>
            </w:r>
            <w:r w:rsidRPr="00A7183B">
              <w:t>– Submission to the</w:t>
            </w:r>
            <w:r>
              <w:rPr>
                <w:i/>
                <w:iCs/>
              </w:rPr>
              <w:t xml:space="preserve"> Australian Commission on Safety and Quality in Healthcar</w:t>
            </w:r>
            <w:r w:rsidR="00656905">
              <w:rPr>
                <w:i/>
                <w:iCs/>
              </w:rPr>
              <w:t>e</w:t>
            </w:r>
          </w:p>
          <w:p w14:paraId="01EB7F80" w14:textId="180BF1E9" w:rsidR="005D6A81" w:rsidRPr="00AD3F8A" w:rsidRDefault="005D6A81" w:rsidP="005D6A81">
            <w:pPr>
              <w:pStyle w:val="BodyText"/>
              <w:spacing w:before="0" w:after="0" w:line="300" w:lineRule="auto"/>
              <w:rPr>
                <w:highlight w:val="yellow"/>
                <w:lang w:val="en-AU"/>
              </w:rPr>
            </w:pPr>
          </w:p>
          <w:p w14:paraId="72E37B18" w14:textId="66F6DE75" w:rsidR="00336BBA" w:rsidRPr="00AD3F8A" w:rsidRDefault="00336BBA" w:rsidP="009E0334">
            <w:pPr>
              <w:pStyle w:val="BodyText"/>
              <w:spacing w:before="0" w:after="0" w:line="240" w:lineRule="auto"/>
              <w:rPr>
                <w:highlight w:val="yellow"/>
              </w:rPr>
            </w:pPr>
          </w:p>
        </w:tc>
      </w:tr>
    </w:tbl>
    <w:p w14:paraId="4F3B1C9F" w14:textId="77777777" w:rsidR="00336BBA" w:rsidRDefault="00336BBA" w:rsidP="00336BBA">
      <w:pPr>
        <w:pStyle w:val="BodyText"/>
        <w:spacing w:before="0" w:after="0" w:line="240" w:lineRule="auto"/>
      </w:pPr>
    </w:p>
    <w:p w14:paraId="29C5EDE8" w14:textId="77777777" w:rsidR="00336BBA" w:rsidRDefault="00336BBA" w:rsidP="00336BBA">
      <w:pPr>
        <w:pStyle w:val="BodyText"/>
        <w:spacing w:before="0" w:after="0" w:line="240" w:lineRule="auto"/>
      </w:pPr>
      <w:r w:rsidRPr="00E82BC8">
        <w:t xml:space="preserve">All rights reserved. Except as permitted with the </w:t>
      </w:r>
      <w:r w:rsidRPr="00E82BC8">
        <w:rPr>
          <w:i/>
          <w:iCs/>
        </w:rPr>
        <w:t>Australian Copyright Act 1968</w:t>
      </w:r>
      <w:r w:rsidRPr="00E82BC8">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2944B792" w14:textId="77777777" w:rsidR="00336BBA" w:rsidRPr="00E82BC8" w:rsidRDefault="00336BBA" w:rsidP="00336BBA">
      <w:pPr>
        <w:pStyle w:val="BodyText"/>
        <w:spacing w:before="0" w:after="0" w:line="240" w:lineRule="auto"/>
      </w:pPr>
    </w:p>
    <w:p w14:paraId="7C39FFCD" w14:textId="36DF4111" w:rsidR="00251B88" w:rsidRDefault="00251B88" w:rsidP="0052761B">
      <w:pPr>
        <w:pStyle w:val="BodyText"/>
        <w:spacing w:before="0" w:after="0" w:line="300" w:lineRule="auto"/>
        <w:rPr>
          <w:i/>
          <w:iCs/>
        </w:rPr>
      </w:pPr>
      <w:r w:rsidRPr="00251B88">
        <w:rPr>
          <w:i/>
          <w:iCs/>
        </w:rPr>
        <w:t>Suggested citation</w:t>
      </w:r>
      <w:r w:rsidR="00342589">
        <w:rPr>
          <w:i/>
          <w:iCs/>
        </w:rPr>
        <w:t>:</w:t>
      </w:r>
      <w:r w:rsidR="00AD3F8A">
        <w:rPr>
          <w:i/>
          <w:iCs/>
        </w:rPr>
        <w:t xml:space="preserve"> </w:t>
      </w:r>
    </w:p>
    <w:p w14:paraId="730762D6" w14:textId="77777777" w:rsidR="00251B88" w:rsidRPr="00251B88" w:rsidRDefault="00251B88" w:rsidP="0052761B">
      <w:pPr>
        <w:pStyle w:val="BodyText"/>
        <w:spacing w:before="0" w:after="0" w:line="300" w:lineRule="auto"/>
        <w:rPr>
          <w:i/>
          <w:iCs/>
        </w:rPr>
      </w:pPr>
    </w:p>
    <w:p w14:paraId="4C433128" w14:textId="0AC6F0DD" w:rsidR="00336BBA" w:rsidRPr="00BC5FE9" w:rsidRDefault="00656905" w:rsidP="00656905">
      <w:pPr>
        <w:pStyle w:val="BodyText"/>
        <w:spacing w:before="0" w:after="0" w:line="300" w:lineRule="auto"/>
        <w:ind w:left="1440"/>
        <w:jc w:val="both"/>
        <w:rPr>
          <w:i/>
          <w:iCs/>
          <w:lang w:val="en-AU"/>
        </w:rPr>
      </w:pPr>
      <w:r w:rsidRPr="00656905">
        <w:t>Wallace</w:t>
      </w:r>
      <w:r w:rsidR="00773B68" w:rsidRPr="00656905">
        <w:t xml:space="preserve">, </w:t>
      </w:r>
      <w:r w:rsidRPr="00656905">
        <w:t>B</w:t>
      </w:r>
      <w:r w:rsidR="00336BBA" w:rsidRPr="00656905">
        <w:t>.,</w:t>
      </w:r>
      <w:r w:rsidR="00336BBA" w:rsidRPr="00E82BC8">
        <w:t xml:space="preserve"> </w:t>
      </w:r>
      <w:r>
        <w:rPr>
          <w:i/>
          <w:iCs/>
        </w:rPr>
        <w:t xml:space="preserve">National Safety and Quality Health Service Standards: third edition </w:t>
      </w:r>
      <w:r w:rsidRPr="00A7183B">
        <w:t>– Submission to the</w:t>
      </w:r>
      <w:r>
        <w:rPr>
          <w:i/>
          <w:iCs/>
        </w:rPr>
        <w:t xml:space="preserve"> Australian Commission on Safety and Quality in Healthcare, </w:t>
      </w:r>
      <w:r>
        <w:t>30</w:t>
      </w:r>
      <w:r w:rsidR="005D6A81">
        <w:t xml:space="preserve"> </w:t>
      </w:r>
      <w:r>
        <w:t>September</w:t>
      </w:r>
      <w:r w:rsidR="005D6A81">
        <w:t xml:space="preserve"> 202</w:t>
      </w:r>
      <w:r>
        <w:t>5</w:t>
      </w:r>
      <w:r w:rsidR="00336BBA" w:rsidRPr="005C2FCD">
        <w:t>, People with Disability Australia, Sydney</w:t>
      </w:r>
      <w:r w:rsidR="005536A0">
        <w:t>.</w:t>
      </w:r>
    </w:p>
    <w:p w14:paraId="48C1B28F" w14:textId="77777777" w:rsidR="00336BBA" w:rsidRDefault="00336BBA" w:rsidP="00336BBA">
      <w:pPr>
        <w:spacing w:before="0" w:after="0" w:line="300" w:lineRule="auto"/>
      </w:pPr>
    </w:p>
    <w:p w14:paraId="5637BC20" w14:textId="77777777" w:rsidR="00CC2E73" w:rsidRDefault="00CC2E73" w:rsidP="00336BBA">
      <w:pPr>
        <w:spacing w:before="0" w:after="0" w:line="300" w:lineRule="auto"/>
        <w:rPr>
          <w:rStyle w:val="Hyperlink"/>
          <w:rFonts w:cstheme="minorHAnsi"/>
          <w:color w:val="auto"/>
          <w:u w:val="none"/>
          <w:shd w:val="clear" w:color="auto" w:fill="FFFFFF"/>
        </w:rPr>
      </w:pPr>
    </w:p>
    <w:p w14:paraId="2E4BA919" w14:textId="77777777" w:rsidR="00CC2E73" w:rsidRDefault="00CC2E73" w:rsidP="00336BBA">
      <w:pPr>
        <w:spacing w:before="0" w:after="0" w:line="300" w:lineRule="auto"/>
      </w:pPr>
    </w:p>
    <w:p w14:paraId="2F8D7C89" w14:textId="77777777" w:rsidR="00AD3F8A" w:rsidRDefault="00AD3F8A" w:rsidP="00336BBA">
      <w:pPr>
        <w:spacing w:before="0" w:after="0" w:line="300" w:lineRule="auto"/>
      </w:pPr>
    </w:p>
    <w:p w14:paraId="3E401831" w14:textId="77777777" w:rsidR="006F4C6F" w:rsidRDefault="006F4C6F" w:rsidP="006F4C6F">
      <w:pPr>
        <w:pStyle w:val="Heading2"/>
        <w:spacing w:before="0" w:line="300" w:lineRule="auto"/>
      </w:pPr>
      <w:bookmarkStart w:id="41" w:name="_Toc117749735"/>
      <w:bookmarkStart w:id="42" w:name="_Toc119605127"/>
      <w:bookmarkStart w:id="43" w:name="_Toc121904240"/>
      <w:bookmarkStart w:id="44" w:name="_Toc122010539"/>
      <w:bookmarkStart w:id="45" w:name="_Toc136542541"/>
      <w:bookmarkStart w:id="46" w:name="_Toc136544401"/>
      <w:bookmarkStart w:id="47" w:name="_Toc136805644"/>
      <w:bookmarkStart w:id="48" w:name="_Toc136867592"/>
      <w:bookmarkStart w:id="49" w:name="_Toc209446749"/>
      <w:r>
        <w:t>About PWDA</w:t>
      </w:r>
      <w:bookmarkEnd w:id="41"/>
      <w:bookmarkEnd w:id="42"/>
      <w:bookmarkEnd w:id="43"/>
      <w:bookmarkEnd w:id="44"/>
      <w:bookmarkEnd w:id="45"/>
      <w:bookmarkEnd w:id="46"/>
      <w:bookmarkEnd w:id="47"/>
      <w:bookmarkEnd w:id="48"/>
      <w:bookmarkEnd w:id="49"/>
    </w:p>
    <w:p w14:paraId="0413879E" w14:textId="77777777" w:rsidR="00255E0A" w:rsidRDefault="00255E0A" w:rsidP="00B264F0"/>
    <w:p w14:paraId="13C1B4B2" w14:textId="77777777" w:rsidR="00255E0A" w:rsidRPr="00871656" w:rsidRDefault="00255E0A" w:rsidP="00255E0A">
      <w:pPr>
        <w:spacing w:line="312" w:lineRule="auto"/>
        <w:rPr>
          <w:rFonts w:cstheme="minorHAnsi"/>
        </w:rPr>
      </w:pPr>
      <w:r w:rsidRPr="00871656">
        <w:rPr>
          <w:rFonts w:cstheme="minorHAnsi"/>
        </w:rPr>
        <w:t>People with Disability Australia (PWDA) is a national disability rights and advocacy organisation made up of, and led by, people with disability.</w:t>
      </w:r>
    </w:p>
    <w:p w14:paraId="093DC69E" w14:textId="77777777" w:rsidR="00255E0A" w:rsidRPr="00871656" w:rsidRDefault="00255E0A" w:rsidP="00255E0A">
      <w:pPr>
        <w:spacing w:line="312" w:lineRule="auto"/>
        <w:rPr>
          <w:rFonts w:cstheme="minorHAnsi"/>
        </w:rPr>
      </w:pPr>
      <w:r w:rsidRPr="00871656">
        <w:rPr>
          <w:rFonts w:cstheme="minorHAnsi"/>
        </w:rPr>
        <w:t>We have a vision of a socially just, accessible and inclusive community in which the contribution, potential and diversity of people with disability are not only recognised and respected but also celebrated.</w:t>
      </w:r>
    </w:p>
    <w:p w14:paraId="21F9467C" w14:textId="77777777" w:rsidR="00255E0A" w:rsidRPr="00871656" w:rsidRDefault="00255E0A" w:rsidP="00255E0A">
      <w:pPr>
        <w:spacing w:line="312" w:lineRule="auto"/>
        <w:rPr>
          <w:rFonts w:cstheme="minorHAnsi"/>
        </w:rPr>
      </w:pPr>
      <w:r w:rsidRPr="00871656">
        <w:rPr>
          <w:rFonts w:cstheme="minorHAnsi"/>
        </w:rPr>
        <w:t xml:space="preserve">PWDA was established in 1981, during the International Year of Disabled Persons. </w:t>
      </w:r>
    </w:p>
    <w:p w14:paraId="7311C787" w14:textId="77777777" w:rsidR="00255E0A" w:rsidRPr="00871656" w:rsidRDefault="00255E0A" w:rsidP="00255E0A">
      <w:pPr>
        <w:spacing w:line="312" w:lineRule="auto"/>
        <w:rPr>
          <w:rFonts w:cstheme="minorHAnsi"/>
        </w:rPr>
      </w:pPr>
      <w:r w:rsidRPr="00871656">
        <w:rPr>
          <w:rFonts w:cstheme="minorHAnsi"/>
        </w:rPr>
        <w:t>We are a peak, non-profit, non-government organisation that represents the interests of people with all kinds of disability.</w:t>
      </w:r>
    </w:p>
    <w:p w14:paraId="0C208700" w14:textId="77777777" w:rsidR="00255E0A" w:rsidRPr="00871656" w:rsidRDefault="00255E0A" w:rsidP="00255E0A">
      <w:pPr>
        <w:spacing w:line="312" w:lineRule="auto"/>
        <w:rPr>
          <w:rFonts w:cstheme="minorHAnsi"/>
        </w:rPr>
      </w:pPr>
      <w:r w:rsidRPr="00871656">
        <w:rPr>
          <w:rFonts w:cstheme="minorHAnsi"/>
        </w:rPr>
        <w:t>We also represent people with disability at the United Nations, particularly in relation to the United Nations Convention on the Rights of Persons with Disabilities (CRPD).</w:t>
      </w:r>
    </w:p>
    <w:p w14:paraId="56E7AF57" w14:textId="77777777" w:rsidR="00255E0A" w:rsidRPr="00871656" w:rsidRDefault="00255E0A" w:rsidP="00255E0A">
      <w:pPr>
        <w:spacing w:line="312" w:lineRule="auto"/>
        <w:rPr>
          <w:rFonts w:cstheme="minorHAnsi"/>
        </w:rPr>
      </w:pPr>
      <w:r w:rsidRPr="00871656">
        <w:rPr>
          <w:rFonts w:cstheme="minorHAnsi"/>
        </w:rPr>
        <w:t>Our work is grounded in a human rights framework that recognises the CRPD and related mechanisms as fundamental tools for advancing the rights of people with disability.</w:t>
      </w:r>
    </w:p>
    <w:p w14:paraId="113E7A1F" w14:textId="77777777" w:rsidR="00255E0A" w:rsidRPr="00871656" w:rsidRDefault="00255E0A" w:rsidP="00255E0A">
      <w:pPr>
        <w:spacing w:line="312" w:lineRule="auto"/>
        <w:rPr>
          <w:rFonts w:cstheme="minorHAnsi"/>
        </w:rPr>
      </w:pPr>
      <w:r w:rsidRPr="00871656">
        <w:rPr>
          <w:rFonts w:cstheme="minorHAnsi"/>
        </w:rPr>
        <w:t>PWDA is a member of Disabled People’s Organisations Australia (DPO Australia), along with the First People’s Disability Network, National Ethnic Disability Alliance, and Women with Disabilities Australia.</w:t>
      </w:r>
    </w:p>
    <w:p w14:paraId="24DF9EC0" w14:textId="77777777" w:rsidR="00255E0A" w:rsidRPr="00871656" w:rsidRDefault="00255E0A" w:rsidP="00255E0A">
      <w:pPr>
        <w:spacing w:line="312" w:lineRule="auto"/>
        <w:rPr>
          <w:rFonts w:cstheme="minorHAnsi"/>
        </w:rPr>
      </w:pPr>
      <w:r w:rsidRPr="00871656">
        <w:rPr>
          <w:rFonts w:cstheme="minorHAnsi"/>
        </w:rPr>
        <w:t>DPOs collectively form a disability rights movement that places people with disability at the centre of decision-making in all aspects of our lives.</w:t>
      </w:r>
    </w:p>
    <w:p w14:paraId="31D9FB06" w14:textId="77777777" w:rsidR="00255E0A" w:rsidRPr="00871656" w:rsidRDefault="00255E0A" w:rsidP="00255E0A">
      <w:pPr>
        <w:spacing w:line="312" w:lineRule="auto"/>
        <w:rPr>
          <w:rFonts w:cstheme="minorHAnsi"/>
        </w:rPr>
      </w:pPr>
      <w:r w:rsidRPr="00871656">
        <w:rPr>
          <w:rFonts w:cstheme="minorHAnsi"/>
        </w:rPr>
        <w:t>The work of PWDA embraces the ‘Nothing About Us, Without Us’ motto of the international disability community and Disabled Peoples’ International, the international organisation representing national organisations of people with disability in over 130 countries.</w:t>
      </w:r>
    </w:p>
    <w:p w14:paraId="358857D5" w14:textId="77777777" w:rsidR="00255E0A" w:rsidRDefault="00255E0A" w:rsidP="00B926D2">
      <w:pPr>
        <w:jc w:val="center"/>
      </w:pPr>
    </w:p>
    <w:p w14:paraId="3603F6DE" w14:textId="77777777" w:rsidR="00255E0A" w:rsidRDefault="00255E0A" w:rsidP="00B264F0"/>
    <w:p w14:paraId="2EE14931" w14:textId="77777777" w:rsidR="00255E0A" w:rsidRDefault="00255E0A" w:rsidP="00B264F0"/>
    <w:bookmarkStart w:id="50" w:name="_Toc83717712" w:displacedByCustomXml="next"/>
    <w:bookmarkStart w:id="51" w:name="_Toc83718528" w:displacedByCustomXml="next"/>
    <w:sdt>
      <w:sdtPr>
        <w:rPr>
          <w:rFonts w:asciiTheme="minorHAnsi" w:eastAsiaTheme="minorHAnsi" w:hAnsiTheme="minorHAnsi" w:cstheme="minorBidi"/>
          <w:b w:val="0"/>
          <w:bCs/>
          <w:color w:val="auto"/>
          <w:sz w:val="24"/>
          <w:szCs w:val="24"/>
          <w:lang w:val="en-AU"/>
        </w:rPr>
        <w:id w:val="-2017298618"/>
        <w:docPartObj>
          <w:docPartGallery w:val="Table of Contents"/>
          <w:docPartUnique/>
        </w:docPartObj>
      </w:sdtPr>
      <w:sdtEndPr>
        <w:rPr>
          <w:rFonts w:eastAsiaTheme="minorEastAsia" w:cs="Times New Roman"/>
          <w:noProof/>
          <w:sz w:val="22"/>
          <w:szCs w:val="22"/>
        </w:rPr>
      </w:sdtEndPr>
      <w:sdtContent>
        <w:p w14:paraId="4E317939" w14:textId="77777777" w:rsidR="00B926D2" w:rsidRDefault="00B467AB" w:rsidP="00821049">
          <w:pPr>
            <w:pStyle w:val="TOCHeading"/>
            <w:rPr>
              <w:noProof/>
            </w:rPr>
          </w:pPr>
          <w:r>
            <w:t>Table of Contents</w:t>
          </w:r>
          <w:r>
            <w:rPr>
              <w:b w:val="0"/>
            </w:rPr>
            <w:fldChar w:fldCharType="begin"/>
          </w:r>
          <w:r>
            <w:instrText xml:space="preserve"> TOC \o "1-3" \h \z \u </w:instrText>
          </w:r>
          <w:r>
            <w:rPr>
              <w:b w:val="0"/>
            </w:rPr>
            <w:fldChar w:fldCharType="separate"/>
          </w:r>
        </w:p>
        <w:p w14:paraId="522B332D" w14:textId="05FE043F" w:rsidR="00B926D2" w:rsidRDefault="00B926D2">
          <w:pPr>
            <w:pStyle w:val="TOC1"/>
            <w:rPr>
              <w:rFonts w:eastAsiaTheme="minorEastAsia"/>
              <w:kern w:val="2"/>
              <w:lang w:eastAsia="en-AU"/>
              <w14:ligatures w14:val="standardContextual"/>
            </w:rPr>
          </w:pPr>
          <w:hyperlink w:anchor="_Toc209446745" w:history="1">
            <w:bookmarkStart w:id="52" w:name="_Toc209446687"/>
            <w:r w:rsidRPr="007D6699">
              <w:rPr>
                <w:rStyle w:val="Hyperlink"/>
              </w:rPr>
              <mc:AlternateContent>
                <mc:Choice Requires="wps">
                  <w:drawing>
                    <wp:inline distT="0" distB="0" distL="0" distR="0" wp14:anchorId="4A457219" wp14:editId="653709BD">
                      <wp:extent cx="2394066" cy="556953"/>
                      <wp:effectExtent l="0" t="0" r="0" b="0"/>
                      <wp:docPr id="1757081358" name="Rectangle 1757081358"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22416" id="Rectangle 1757081358"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End w:id="52"/>
            <w:r>
              <w:rPr>
                <w:webHidden/>
              </w:rPr>
              <w:tab/>
            </w:r>
            <w:r>
              <w:rPr>
                <w:webHidden/>
              </w:rPr>
              <w:fldChar w:fldCharType="begin"/>
            </w:r>
            <w:r>
              <w:rPr>
                <w:webHidden/>
              </w:rPr>
              <w:instrText xml:space="preserve"> PAGEREF _Toc209446745 \h </w:instrText>
            </w:r>
            <w:r>
              <w:rPr>
                <w:webHidden/>
              </w:rPr>
            </w:r>
            <w:r>
              <w:rPr>
                <w:webHidden/>
              </w:rPr>
              <w:fldChar w:fldCharType="separate"/>
            </w:r>
            <w:r w:rsidR="00DD36F9">
              <w:rPr>
                <w:webHidden/>
              </w:rPr>
              <w:t>1</w:t>
            </w:r>
            <w:r>
              <w:rPr>
                <w:webHidden/>
              </w:rPr>
              <w:fldChar w:fldCharType="end"/>
            </w:r>
          </w:hyperlink>
        </w:p>
        <w:p w14:paraId="5E5721A8" w14:textId="124B3D37" w:rsidR="00B926D2" w:rsidRDefault="00B926D2">
          <w:pPr>
            <w:pStyle w:val="TOC1"/>
            <w:rPr>
              <w:rFonts w:eastAsiaTheme="minorEastAsia"/>
              <w:kern w:val="2"/>
              <w:lang w:eastAsia="en-AU"/>
              <w14:ligatures w14:val="standardContextual"/>
            </w:rPr>
          </w:pPr>
          <w:hyperlink w:anchor="_Toc209446746" w:history="1">
            <w:r w:rsidRPr="007D6699">
              <w:rPr>
                <w:rStyle w:val="Hyperlink"/>
                <w:rFonts w:cstheme="minorHAnsi"/>
              </w:rPr>
              <w:t>National Safety and Quality Health Service Standards: third edition</w:t>
            </w:r>
            <w:r>
              <w:rPr>
                <w:webHidden/>
              </w:rPr>
              <w:tab/>
            </w:r>
            <w:r>
              <w:rPr>
                <w:webHidden/>
              </w:rPr>
              <w:fldChar w:fldCharType="begin"/>
            </w:r>
            <w:r>
              <w:rPr>
                <w:webHidden/>
              </w:rPr>
              <w:instrText xml:space="preserve"> PAGEREF _Toc209446746 \h </w:instrText>
            </w:r>
            <w:r>
              <w:rPr>
                <w:webHidden/>
              </w:rPr>
            </w:r>
            <w:r>
              <w:rPr>
                <w:webHidden/>
              </w:rPr>
              <w:fldChar w:fldCharType="separate"/>
            </w:r>
            <w:r w:rsidR="00DD36F9">
              <w:rPr>
                <w:webHidden/>
              </w:rPr>
              <w:t>1</w:t>
            </w:r>
            <w:r>
              <w:rPr>
                <w:webHidden/>
              </w:rPr>
              <w:fldChar w:fldCharType="end"/>
            </w:r>
          </w:hyperlink>
        </w:p>
        <w:p w14:paraId="4FB321D7" w14:textId="79DDE933" w:rsidR="00B926D2" w:rsidRDefault="00B926D2">
          <w:pPr>
            <w:pStyle w:val="TOC1"/>
            <w:rPr>
              <w:rFonts w:eastAsiaTheme="minorEastAsia"/>
              <w:kern w:val="2"/>
              <w:lang w:eastAsia="en-AU"/>
              <w14:ligatures w14:val="standardContextual"/>
            </w:rPr>
          </w:pPr>
          <w:hyperlink w:anchor="_Toc209446747" w:history="1">
            <w:r w:rsidRPr="007D6699">
              <w:rPr>
                <w:rStyle w:val="Hyperlink"/>
                <w:rFonts w:ascii="Arial" w:hAnsi="Arial" w:cs="Arial"/>
                <w:bCs/>
              </w:rPr>
              <w:t>Submission to the Australian Commission on Safety and Quality in Healthcare</w:t>
            </w:r>
            <w:r>
              <w:rPr>
                <w:webHidden/>
              </w:rPr>
              <w:tab/>
            </w:r>
            <w:r>
              <w:rPr>
                <w:webHidden/>
              </w:rPr>
              <w:fldChar w:fldCharType="begin"/>
            </w:r>
            <w:r>
              <w:rPr>
                <w:webHidden/>
              </w:rPr>
              <w:instrText xml:space="preserve"> PAGEREF _Toc209446747 \h </w:instrText>
            </w:r>
            <w:r>
              <w:rPr>
                <w:webHidden/>
              </w:rPr>
            </w:r>
            <w:r>
              <w:rPr>
                <w:webHidden/>
              </w:rPr>
              <w:fldChar w:fldCharType="separate"/>
            </w:r>
            <w:r w:rsidR="00DD36F9">
              <w:rPr>
                <w:webHidden/>
              </w:rPr>
              <w:t>1</w:t>
            </w:r>
            <w:r>
              <w:rPr>
                <w:webHidden/>
              </w:rPr>
              <w:fldChar w:fldCharType="end"/>
            </w:r>
          </w:hyperlink>
        </w:p>
        <w:p w14:paraId="26261FF5" w14:textId="5A7E3C7E" w:rsidR="00B926D2" w:rsidRDefault="00B926D2">
          <w:pPr>
            <w:pStyle w:val="TOC1"/>
            <w:rPr>
              <w:rFonts w:eastAsiaTheme="minorEastAsia"/>
              <w:kern w:val="2"/>
              <w:lang w:eastAsia="en-AU"/>
              <w14:ligatures w14:val="standardContextual"/>
            </w:rPr>
          </w:pPr>
          <w:hyperlink w:anchor="_Toc209446748" w:history="1">
            <w:r w:rsidRPr="007D6699">
              <w:rPr>
                <w:rStyle w:val="Hyperlink"/>
              </w:rPr>
              <w:t>Copyright information</w:t>
            </w:r>
            <w:r>
              <w:rPr>
                <w:webHidden/>
              </w:rPr>
              <w:tab/>
            </w:r>
            <w:r>
              <w:rPr>
                <w:webHidden/>
              </w:rPr>
              <w:fldChar w:fldCharType="begin"/>
            </w:r>
            <w:r>
              <w:rPr>
                <w:webHidden/>
              </w:rPr>
              <w:instrText xml:space="preserve"> PAGEREF _Toc209446748 \h </w:instrText>
            </w:r>
            <w:r>
              <w:rPr>
                <w:webHidden/>
              </w:rPr>
            </w:r>
            <w:r>
              <w:rPr>
                <w:webHidden/>
              </w:rPr>
              <w:fldChar w:fldCharType="separate"/>
            </w:r>
            <w:r w:rsidR="00DD36F9">
              <w:rPr>
                <w:webHidden/>
              </w:rPr>
              <w:t>2</w:t>
            </w:r>
            <w:r>
              <w:rPr>
                <w:webHidden/>
              </w:rPr>
              <w:fldChar w:fldCharType="end"/>
            </w:r>
          </w:hyperlink>
        </w:p>
        <w:p w14:paraId="1FA4AE3B" w14:textId="32431C44" w:rsidR="00B926D2" w:rsidRDefault="00B926D2">
          <w:pPr>
            <w:pStyle w:val="TOC2"/>
            <w:rPr>
              <w:rFonts w:eastAsiaTheme="minorEastAsia"/>
              <w:kern w:val="2"/>
              <w:lang w:eastAsia="en-AU"/>
              <w14:ligatures w14:val="standardContextual"/>
            </w:rPr>
          </w:pPr>
          <w:hyperlink w:anchor="_Toc209446749" w:history="1">
            <w:r w:rsidRPr="007D6699">
              <w:rPr>
                <w:rStyle w:val="Hyperlink"/>
              </w:rPr>
              <w:t>About PWDA</w:t>
            </w:r>
            <w:r>
              <w:rPr>
                <w:webHidden/>
              </w:rPr>
              <w:tab/>
            </w:r>
            <w:r>
              <w:rPr>
                <w:webHidden/>
              </w:rPr>
              <w:fldChar w:fldCharType="begin"/>
            </w:r>
            <w:r>
              <w:rPr>
                <w:webHidden/>
              </w:rPr>
              <w:instrText xml:space="preserve"> PAGEREF _Toc209446749 \h </w:instrText>
            </w:r>
            <w:r>
              <w:rPr>
                <w:webHidden/>
              </w:rPr>
            </w:r>
            <w:r>
              <w:rPr>
                <w:webHidden/>
              </w:rPr>
              <w:fldChar w:fldCharType="separate"/>
            </w:r>
            <w:r w:rsidR="00DD36F9">
              <w:rPr>
                <w:webHidden/>
              </w:rPr>
              <w:t>3</w:t>
            </w:r>
            <w:r>
              <w:rPr>
                <w:webHidden/>
              </w:rPr>
              <w:fldChar w:fldCharType="end"/>
            </w:r>
          </w:hyperlink>
        </w:p>
        <w:p w14:paraId="0BBCD811" w14:textId="3FE41783" w:rsidR="00B926D2" w:rsidRDefault="00B926D2">
          <w:pPr>
            <w:pStyle w:val="TOC2"/>
            <w:rPr>
              <w:rFonts w:eastAsiaTheme="minorEastAsia"/>
              <w:kern w:val="2"/>
              <w:lang w:eastAsia="en-AU"/>
              <w14:ligatures w14:val="standardContextual"/>
            </w:rPr>
          </w:pPr>
          <w:hyperlink w:anchor="_Toc209446750" w:history="1">
            <w:r w:rsidRPr="007D6699">
              <w:rPr>
                <w:rStyle w:val="Hyperlink"/>
              </w:rPr>
              <w:t>Introduction</w:t>
            </w:r>
            <w:r>
              <w:rPr>
                <w:webHidden/>
              </w:rPr>
              <w:tab/>
            </w:r>
            <w:r>
              <w:rPr>
                <w:webHidden/>
              </w:rPr>
              <w:fldChar w:fldCharType="begin"/>
            </w:r>
            <w:r>
              <w:rPr>
                <w:webHidden/>
              </w:rPr>
              <w:instrText xml:space="preserve"> PAGEREF _Toc209446750 \h </w:instrText>
            </w:r>
            <w:r>
              <w:rPr>
                <w:webHidden/>
              </w:rPr>
            </w:r>
            <w:r>
              <w:rPr>
                <w:webHidden/>
              </w:rPr>
              <w:fldChar w:fldCharType="separate"/>
            </w:r>
            <w:r w:rsidR="00DD36F9">
              <w:rPr>
                <w:webHidden/>
              </w:rPr>
              <w:t>6</w:t>
            </w:r>
            <w:r>
              <w:rPr>
                <w:webHidden/>
              </w:rPr>
              <w:fldChar w:fldCharType="end"/>
            </w:r>
          </w:hyperlink>
        </w:p>
        <w:p w14:paraId="66B9B45A" w14:textId="7E2383D0" w:rsidR="00B926D2" w:rsidRDefault="00B926D2">
          <w:pPr>
            <w:pStyle w:val="TOC3"/>
            <w:rPr>
              <w:rFonts w:cstheme="minorBidi"/>
              <w:bCs w:val="0"/>
              <w:noProof/>
              <w:kern w:val="2"/>
              <w:sz w:val="24"/>
              <w:szCs w:val="24"/>
              <w:lang w:eastAsia="en-AU"/>
              <w14:ligatures w14:val="standardContextual"/>
            </w:rPr>
          </w:pPr>
          <w:hyperlink w:anchor="_Toc209446751" w:history="1">
            <w:r w:rsidRPr="007D6699">
              <w:rPr>
                <w:rStyle w:val="Hyperlink"/>
                <w:noProof/>
              </w:rPr>
              <w:t>Submission structure</w:t>
            </w:r>
            <w:r>
              <w:rPr>
                <w:noProof/>
                <w:webHidden/>
              </w:rPr>
              <w:tab/>
            </w:r>
            <w:r>
              <w:rPr>
                <w:noProof/>
                <w:webHidden/>
              </w:rPr>
              <w:fldChar w:fldCharType="begin"/>
            </w:r>
            <w:r>
              <w:rPr>
                <w:noProof/>
                <w:webHidden/>
              </w:rPr>
              <w:instrText xml:space="preserve"> PAGEREF _Toc209446751 \h </w:instrText>
            </w:r>
            <w:r>
              <w:rPr>
                <w:noProof/>
                <w:webHidden/>
              </w:rPr>
            </w:r>
            <w:r>
              <w:rPr>
                <w:noProof/>
                <w:webHidden/>
              </w:rPr>
              <w:fldChar w:fldCharType="separate"/>
            </w:r>
            <w:r w:rsidR="00DD36F9">
              <w:rPr>
                <w:noProof/>
                <w:webHidden/>
              </w:rPr>
              <w:t>6</w:t>
            </w:r>
            <w:r>
              <w:rPr>
                <w:noProof/>
                <w:webHidden/>
              </w:rPr>
              <w:fldChar w:fldCharType="end"/>
            </w:r>
          </w:hyperlink>
        </w:p>
        <w:p w14:paraId="7D48D907" w14:textId="07A0C5FC" w:rsidR="00B926D2" w:rsidRDefault="00B926D2">
          <w:pPr>
            <w:pStyle w:val="TOC2"/>
            <w:rPr>
              <w:rFonts w:eastAsiaTheme="minorEastAsia"/>
              <w:kern w:val="2"/>
              <w:lang w:eastAsia="en-AU"/>
              <w14:ligatures w14:val="standardContextual"/>
            </w:rPr>
          </w:pPr>
          <w:hyperlink w:anchor="_Toc209446752" w:history="1">
            <w:r w:rsidRPr="007D6699">
              <w:rPr>
                <w:rStyle w:val="Hyperlink"/>
              </w:rPr>
              <w:t>Executive Summary</w:t>
            </w:r>
            <w:r>
              <w:rPr>
                <w:webHidden/>
              </w:rPr>
              <w:tab/>
            </w:r>
            <w:r>
              <w:rPr>
                <w:webHidden/>
              </w:rPr>
              <w:fldChar w:fldCharType="begin"/>
            </w:r>
            <w:r>
              <w:rPr>
                <w:webHidden/>
              </w:rPr>
              <w:instrText xml:space="preserve"> PAGEREF _Toc209446752 \h </w:instrText>
            </w:r>
            <w:r>
              <w:rPr>
                <w:webHidden/>
              </w:rPr>
            </w:r>
            <w:r>
              <w:rPr>
                <w:webHidden/>
              </w:rPr>
              <w:fldChar w:fldCharType="separate"/>
            </w:r>
            <w:r w:rsidR="00DD36F9">
              <w:rPr>
                <w:webHidden/>
              </w:rPr>
              <w:t>8</w:t>
            </w:r>
            <w:r>
              <w:rPr>
                <w:webHidden/>
              </w:rPr>
              <w:fldChar w:fldCharType="end"/>
            </w:r>
          </w:hyperlink>
        </w:p>
        <w:p w14:paraId="6EBAD6CE" w14:textId="24A7351F" w:rsidR="00B926D2" w:rsidRDefault="00B926D2">
          <w:pPr>
            <w:pStyle w:val="TOC1"/>
            <w:rPr>
              <w:rFonts w:eastAsiaTheme="minorEastAsia"/>
              <w:kern w:val="2"/>
              <w:lang w:eastAsia="en-AU"/>
              <w14:ligatures w14:val="standardContextual"/>
            </w:rPr>
          </w:pPr>
          <w:hyperlink w:anchor="_Toc209446753" w:history="1">
            <w:r w:rsidRPr="007D6699">
              <w:rPr>
                <w:rStyle w:val="Hyperlink"/>
              </w:rPr>
              <w:t>Summary of Recommendations</w:t>
            </w:r>
            <w:r>
              <w:rPr>
                <w:webHidden/>
              </w:rPr>
              <w:tab/>
            </w:r>
            <w:r>
              <w:rPr>
                <w:webHidden/>
              </w:rPr>
              <w:fldChar w:fldCharType="begin"/>
            </w:r>
            <w:r>
              <w:rPr>
                <w:webHidden/>
              </w:rPr>
              <w:instrText xml:space="preserve"> PAGEREF _Toc209446753 \h </w:instrText>
            </w:r>
            <w:r>
              <w:rPr>
                <w:webHidden/>
              </w:rPr>
            </w:r>
            <w:r>
              <w:rPr>
                <w:webHidden/>
              </w:rPr>
              <w:fldChar w:fldCharType="separate"/>
            </w:r>
            <w:r w:rsidR="00DD36F9">
              <w:rPr>
                <w:webHidden/>
              </w:rPr>
              <w:t>9</w:t>
            </w:r>
            <w:r>
              <w:rPr>
                <w:webHidden/>
              </w:rPr>
              <w:fldChar w:fldCharType="end"/>
            </w:r>
          </w:hyperlink>
        </w:p>
        <w:p w14:paraId="10CF8105" w14:textId="485A148C" w:rsidR="00B926D2" w:rsidRDefault="00B926D2">
          <w:pPr>
            <w:pStyle w:val="TOC3"/>
            <w:rPr>
              <w:rFonts w:cstheme="minorBidi"/>
              <w:bCs w:val="0"/>
              <w:noProof/>
              <w:kern w:val="2"/>
              <w:sz w:val="24"/>
              <w:szCs w:val="24"/>
              <w:lang w:eastAsia="en-AU"/>
              <w14:ligatures w14:val="standardContextual"/>
            </w:rPr>
          </w:pPr>
          <w:hyperlink w:anchor="_Toc209446754" w:history="1">
            <w:r w:rsidRPr="007D6699">
              <w:rPr>
                <w:rStyle w:val="Hyperlink"/>
                <w:noProof/>
              </w:rPr>
              <w:t>Part 1 Research with people with disability</w:t>
            </w:r>
            <w:r>
              <w:rPr>
                <w:noProof/>
                <w:webHidden/>
              </w:rPr>
              <w:tab/>
            </w:r>
            <w:r>
              <w:rPr>
                <w:noProof/>
                <w:webHidden/>
              </w:rPr>
              <w:fldChar w:fldCharType="begin"/>
            </w:r>
            <w:r>
              <w:rPr>
                <w:noProof/>
                <w:webHidden/>
              </w:rPr>
              <w:instrText xml:space="preserve"> PAGEREF _Toc209446754 \h </w:instrText>
            </w:r>
            <w:r>
              <w:rPr>
                <w:noProof/>
                <w:webHidden/>
              </w:rPr>
            </w:r>
            <w:r>
              <w:rPr>
                <w:noProof/>
                <w:webHidden/>
              </w:rPr>
              <w:fldChar w:fldCharType="separate"/>
            </w:r>
            <w:r w:rsidR="00DD36F9">
              <w:rPr>
                <w:noProof/>
                <w:webHidden/>
              </w:rPr>
              <w:t>9</w:t>
            </w:r>
            <w:r>
              <w:rPr>
                <w:noProof/>
                <w:webHidden/>
              </w:rPr>
              <w:fldChar w:fldCharType="end"/>
            </w:r>
          </w:hyperlink>
        </w:p>
        <w:p w14:paraId="03954AC0" w14:textId="377B7BCB" w:rsidR="00B926D2" w:rsidRDefault="00B926D2">
          <w:pPr>
            <w:pStyle w:val="TOC3"/>
            <w:rPr>
              <w:rFonts w:cstheme="minorBidi"/>
              <w:bCs w:val="0"/>
              <w:noProof/>
              <w:kern w:val="2"/>
              <w:sz w:val="24"/>
              <w:szCs w:val="24"/>
              <w:lang w:eastAsia="en-AU"/>
              <w14:ligatures w14:val="standardContextual"/>
            </w:rPr>
          </w:pPr>
          <w:hyperlink w:anchor="_Toc209446755" w:history="1">
            <w:r w:rsidRPr="007D6699">
              <w:rPr>
                <w:rStyle w:val="Hyperlink"/>
                <w:noProof/>
              </w:rPr>
              <w:t>Part 2 Addressing submission questions</w:t>
            </w:r>
            <w:r>
              <w:rPr>
                <w:noProof/>
                <w:webHidden/>
              </w:rPr>
              <w:tab/>
            </w:r>
            <w:r>
              <w:rPr>
                <w:noProof/>
                <w:webHidden/>
              </w:rPr>
              <w:fldChar w:fldCharType="begin"/>
            </w:r>
            <w:r>
              <w:rPr>
                <w:noProof/>
                <w:webHidden/>
              </w:rPr>
              <w:instrText xml:space="preserve"> PAGEREF _Toc209446755 \h </w:instrText>
            </w:r>
            <w:r>
              <w:rPr>
                <w:noProof/>
                <w:webHidden/>
              </w:rPr>
            </w:r>
            <w:r>
              <w:rPr>
                <w:noProof/>
                <w:webHidden/>
              </w:rPr>
              <w:fldChar w:fldCharType="separate"/>
            </w:r>
            <w:r w:rsidR="00DD36F9">
              <w:rPr>
                <w:noProof/>
                <w:webHidden/>
              </w:rPr>
              <w:t>10</w:t>
            </w:r>
            <w:r>
              <w:rPr>
                <w:noProof/>
                <w:webHidden/>
              </w:rPr>
              <w:fldChar w:fldCharType="end"/>
            </w:r>
          </w:hyperlink>
        </w:p>
        <w:p w14:paraId="1161687E" w14:textId="6637C083" w:rsidR="00B926D2" w:rsidRDefault="00B926D2">
          <w:pPr>
            <w:pStyle w:val="TOC1"/>
            <w:rPr>
              <w:rFonts w:eastAsiaTheme="minorEastAsia"/>
              <w:kern w:val="2"/>
              <w:lang w:eastAsia="en-AU"/>
              <w14:ligatures w14:val="standardContextual"/>
            </w:rPr>
          </w:pPr>
          <w:hyperlink w:anchor="_Toc209446756" w:history="1">
            <w:r w:rsidRPr="007D6699">
              <w:rPr>
                <w:rStyle w:val="Hyperlink"/>
                <w:rFonts w:eastAsia="Times New Roman"/>
              </w:rPr>
              <w:t>Part 1- Research with people with disability</w:t>
            </w:r>
            <w:r>
              <w:rPr>
                <w:webHidden/>
              </w:rPr>
              <w:tab/>
            </w:r>
            <w:r>
              <w:rPr>
                <w:webHidden/>
              </w:rPr>
              <w:fldChar w:fldCharType="begin"/>
            </w:r>
            <w:r>
              <w:rPr>
                <w:webHidden/>
              </w:rPr>
              <w:instrText xml:space="preserve"> PAGEREF _Toc209446756 \h </w:instrText>
            </w:r>
            <w:r>
              <w:rPr>
                <w:webHidden/>
              </w:rPr>
            </w:r>
            <w:r>
              <w:rPr>
                <w:webHidden/>
              </w:rPr>
              <w:fldChar w:fldCharType="separate"/>
            </w:r>
            <w:r w:rsidR="00DD36F9">
              <w:rPr>
                <w:webHidden/>
              </w:rPr>
              <w:t>12</w:t>
            </w:r>
            <w:r>
              <w:rPr>
                <w:webHidden/>
              </w:rPr>
              <w:fldChar w:fldCharType="end"/>
            </w:r>
          </w:hyperlink>
        </w:p>
        <w:p w14:paraId="60F25ADA" w14:textId="78631B10" w:rsidR="00B926D2" w:rsidRDefault="00B926D2">
          <w:pPr>
            <w:pStyle w:val="TOC2"/>
            <w:rPr>
              <w:rFonts w:eastAsiaTheme="minorEastAsia"/>
              <w:kern w:val="2"/>
              <w:lang w:eastAsia="en-AU"/>
              <w14:ligatures w14:val="standardContextual"/>
            </w:rPr>
          </w:pPr>
          <w:hyperlink w:anchor="_Toc209446757" w:history="1">
            <w:r w:rsidRPr="007D6699">
              <w:rPr>
                <w:rStyle w:val="Hyperlink"/>
              </w:rPr>
              <w:t>About survey participants</w:t>
            </w:r>
            <w:r>
              <w:rPr>
                <w:webHidden/>
              </w:rPr>
              <w:tab/>
            </w:r>
            <w:r>
              <w:rPr>
                <w:webHidden/>
              </w:rPr>
              <w:fldChar w:fldCharType="begin"/>
            </w:r>
            <w:r>
              <w:rPr>
                <w:webHidden/>
              </w:rPr>
              <w:instrText xml:space="preserve"> PAGEREF _Toc209446757 \h </w:instrText>
            </w:r>
            <w:r>
              <w:rPr>
                <w:webHidden/>
              </w:rPr>
            </w:r>
            <w:r>
              <w:rPr>
                <w:webHidden/>
              </w:rPr>
              <w:fldChar w:fldCharType="separate"/>
            </w:r>
            <w:r w:rsidR="00DD36F9">
              <w:rPr>
                <w:webHidden/>
              </w:rPr>
              <w:t>13</w:t>
            </w:r>
            <w:r>
              <w:rPr>
                <w:webHidden/>
              </w:rPr>
              <w:fldChar w:fldCharType="end"/>
            </w:r>
          </w:hyperlink>
        </w:p>
        <w:p w14:paraId="4C94360F" w14:textId="0BCE2B8E" w:rsidR="00B926D2" w:rsidRDefault="00B926D2">
          <w:pPr>
            <w:pStyle w:val="TOC2"/>
            <w:rPr>
              <w:rFonts w:eastAsiaTheme="minorEastAsia"/>
              <w:kern w:val="2"/>
              <w:lang w:eastAsia="en-AU"/>
              <w14:ligatures w14:val="standardContextual"/>
            </w:rPr>
          </w:pPr>
          <w:hyperlink w:anchor="_Toc209446758" w:history="1">
            <w:r w:rsidRPr="007D6699">
              <w:rPr>
                <w:rStyle w:val="Hyperlink"/>
              </w:rPr>
              <w:t>Hospital Care</w:t>
            </w:r>
            <w:r>
              <w:rPr>
                <w:webHidden/>
              </w:rPr>
              <w:tab/>
            </w:r>
            <w:r>
              <w:rPr>
                <w:webHidden/>
              </w:rPr>
              <w:fldChar w:fldCharType="begin"/>
            </w:r>
            <w:r>
              <w:rPr>
                <w:webHidden/>
              </w:rPr>
              <w:instrText xml:space="preserve"> PAGEREF _Toc209446758 \h </w:instrText>
            </w:r>
            <w:r>
              <w:rPr>
                <w:webHidden/>
              </w:rPr>
            </w:r>
            <w:r>
              <w:rPr>
                <w:webHidden/>
              </w:rPr>
              <w:fldChar w:fldCharType="separate"/>
            </w:r>
            <w:r w:rsidR="00DD36F9">
              <w:rPr>
                <w:webHidden/>
              </w:rPr>
              <w:t>13</w:t>
            </w:r>
            <w:r>
              <w:rPr>
                <w:webHidden/>
              </w:rPr>
              <w:fldChar w:fldCharType="end"/>
            </w:r>
          </w:hyperlink>
        </w:p>
        <w:p w14:paraId="6CEAC79F" w14:textId="11CF4369" w:rsidR="00B926D2" w:rsidRDefault="00B926D2">
          <w:pPr>
            <w:pStyle w:val="TOC3"/>
            <w:rPr>
              <w:rFonts w:cstheme="minorBidi"/>
              <w:bCs w:val="0"/>
              <w:noProof/>
              <w:kern w:val="2"/>
              <w:sz w:val="24"/>
              <w:szCs w:val="24"/>
              <w:lang w:eastAsia="en-AU"/>
              <w14:ligatures w14:val="standardContextual"/>
            </w:rPr>
          </w:pPr>
          <w:hyperlink w:anchor="_Toc209446759" w:history="1">
            <w:r w:rsidRPr="007D6699">
              <w:rPr>
                <w:rStyle w:val="Hyperlink"/>
                <w:noProof/>
              </w:rPr>
              <w:t>Recommendations</w:t>
            </w:r>
            <w:r>
              <w:rPr>
                <w:noProof/>
                <w:webHidden/>
              </w:rPr>
              <w:tab/>
            </w:r>
            <w:r>
              <w:rPr>
                <w:noProof/>
                <w:webHidden/>
              </w:rPr>
              <w:fldChar w:fldCharType="begin"/>
            </w:r>
            <w:r>
              <w:rPr>
                <w:noProof/>
                <w:webHidden/>
              </w:rPr>
              <w:instrText xml:space="preserve"> PAGEREF _Toc209446759 \h </w:instrText>
            </w:r>
            <w:r>
              <w:rPr>
                <w:noProof/>
                <w:webHidden/>
              </w:rPr>
            </w:r>
            <w:r>
              <w:rPr>
                <w:noProof/>
                <w:webHidden/>
              </w:rPr>
              <w:fldChar w:fldCharType="separate"/>
            </w:r>
            <w:r w:rsidR="00DD36F9">
              <w:rPr>
                <w:noProof/>
                <w:webHidden/>
              </w:rPr>
              <w:t>16</w:t>
            </w:r>
            <w:r>
              <w:rPr>
                <w:noProof/>
                <w:webHidden/>
              </w:rPr>
              <w:fldChar w:fldCharType="end"/>
            </w:r>
          </w:hyperlink>
        </w:p>
        <w:p w14:paraId="05F9075E" w14:textId="29CF5751" w:rsidR="00B926D2" w:rsidRDefault="00B926D2">
          <w:pPr>
            <w:pStyle w:val="TOC2"/>
            <w:rPr>
              <w:rFonts w:eastAsiaTheme="minorEastAsia"/>
              <w:kern w:val="2"/>
              <w:lang w:eastAsia="en-AU"/>
              <w14:ligatures w14:val="standardContextual"/>
            </w:rPr>
          </w:pPr>
          <w:hyperlink w:anchor="_Toc209446760" w:history="1">
            <w:r w:rsidRPr="007D6699">
              <w:rPr>
                <w:rStyle w:val="Hyperlink"/>
              </w:rPr>
              <w:t>General Practice Care</w:t>
            </w:r>
            <w:r>
              <w:rPr>
                <w:webHidden/>
              </w:rPr>
              <w:tab/>
            </w:r>
            <w:r>
              <w:rPr>
                <w:webHidden/>
              </w:rPr>
              <w:fldChar w:fldCharType="begin"/>
            </w:r>
            <w:r>
              <w:rPr>
                <w:webHidden/>
              </w:rPr>
              <w:instrText xml:space="preserve"> PAGEREF _Toc209446760 \h </w:instrText>
            </w:r>
            <w:r>
              <w:rPr>
                <w:webHidden/>
              </w:rPr>
            </w:r>
            <w:r>
              <w:rPr>
                <w:webHidden/>
              </w:rPr>
              <w:fldChar w:fldCharType="separate"/>
            </w:r>
            <w:r w:rsidR="00DD36F9">
              <w:rPr>
                <w:webHidden/>
              </w:rPr>
              <w:t>16</w:t>
            </w:r>
            <w:r>
              <w:rPr>
                <w:webHidden/>
              </w:rPr>
              <w:fldChar w:fldCharType="end"/>
            </w:r>
          </w:hyperlink>
        </w:p>
        <w:p w14:paraId="3D9C4424" w14:textId="7435EE9F" w:rsidR="00B926D2" w:rsidRDefault="00B926D2">
          <w:pPr>
            <w:pStyle w:val="TOC3"/>
            <w:rPr>
              <w:rFonts w:cstheme="minorBidi"/>
              <w:bCs w:val="0"/>
              <w:noProof/>
              <w:kern w:val="2"/>
              <w:sz w:val="24"/>
              <w:szCs w:val="24"/>
              <w:lang w:eastAsia="en-AU"/>
              <w14:ligatures w14:val="standardContextual"/>
            </w:rPr>
          </w:pPr>
          <w:hyperlink w:anchor="_Toc209446761" w:history="1">
            <w:r w:rsidRPr="007D6699">
              <w:rPr>
                <w:rStyle w:val="Hyperlink"/>
                <w:noProof/>
              </w:rPr>
              <w:t>Recommendations</w:t>
            </w:r>
            <w:r>
              <w:rPr>
                <w:noProof/>
                <w:webHidden/>
              </w:rPr>
              <w:tab/>
            </w:r>
            <w:r>
              <w:rPr>
                <w:noProof/>
                <w:webHidden/>
              </w:rPr>
              <w:fldChar w:fldCharType="begin"/>
            </w:r>
            <w:r>
              <w:rPr>
                <w:noProof/>
                <w:webHidden/>
              </w:rPr>
              <w:instrText xml:space="preserve"> PAGEREF _Toc209446761 \h </w:instrText>
            </w:r>
            <w:r>
              <w:rPr>
                <w:noProof/>
                <w:webHidden/>
              </w:rPr>
            </w:r>
            <w:r>
              <w:rPr>
                <w:noProof/>
                <w:webHidden/>
              </w:rPr>
              <w:fldChar w:fldCharType="separate"/>
            </w:r>
            <w:r w:rsidR="00DD36F9">
              <w:rPr>
                <w:noProof/>
                <w:webHidden/>
              </w:rPr>
              <w:t>18</w:t>
            </w:r>
            <w:r>
              <w:rPr>
                <w:noProof/>
                <w:webHidden/>
              </w:rPr>
              <w:fldChar w:fldCharType="end"/>
            </w:r>
          </w:hyperlink>
        </w:p>
        <w:p w14:paraId="2EEEEC40" w14:textId="0C6BC317" w:rsidR="00B926D2" w:rsidRDefault="00B926D2">
          <w:pPr>
            <w:pStyle w:val="TOC2"/>
            <w:rPr>
              <w:rFonts w:eastAsiaTheme="minorEastAsia"/>
              <w:kern w:val="2"/>
              <w:lang w:eastAsia="en-AU"/>
              <w14:ligatures w14:val="standardContextual"/>
            </w:rPr>
          </w:pPr>
          <w:hyperlink w:anchor="_Toc209446762" w:history="1">
            <w:r w:rsidRPr="007D6699">
              <w:rPr>
                <w:rStyle w:val="Hyperlink"/>
              </w:rPr>
              <w:t>Other Healthcare</w:t>
            </w:r>
            <w:r>
              <w:rPr>
                <w:webHidden/>
              </w:rPr>
              <w:tab/>
            </w:r>
            <w:r>
              <w:rPr>
                <w:webHidden/>
              </w:rPr>
              <w:fldChar w:fldCharType="begin"/>
            </w:r>
            <w:r>
              <w:rPr>
                <w:webHidden/>
              </w:rPr>
              <w:instrText xml:space="preserve"> PAGEREF _Toc209446762 \h </w:instrText>
            </w:r>
            <w:r>
              <w:rPr>
                <w:webHidden/>
              </w:rPr>
            </w:r>
            <w:r>
              <w:rPr>
                <w:webHidden/>
              </w:rPr>
              <w:fldChar w:fldCharType="separate"/>
            </w:r>
            <w:r w:rsidR="00DD36F9">
              <w:rPr>
                <w:webHidden/>
              </w:rPr>
              <w:t>18</w:t>
            </w:r>
            <w:r>
              <w:rPr>
                <w:webHidden/>
              </w:rPr>
              <w:fldChar w:fldCharType="end"/>
            </w:r>
          </w:hyperlink>
        </w:p>
        <w:p w14:paraId="1EEA1E8E" w14:textId="2188AFA6" w:rsidR="00B926D2" w:rsidRDefault="00B926D2">
          <w:pPr>
            <w:pStyle w:val="TOC3"/>
            <w:rPr>
              <w:rFonts w:cstheme="minorBidi"/>
              <w:bCs w:val="0"/>
              <w:noProof/>
              <w:kern w:val="2"/>
              <w:sz w:val="24"/>
              <w:szCs w:val="24"/>
              <w:lang w:eastAsia="en-AU"/>
              <w14:ligatures w14:val="standardContextual"/>
            </w:rPr>
          </w:pPr>
          <w:hyperlink w:anchor="_Toc209446763" w:history="1">
            <w:r w:rsidRPr="007D6699">
              <w:rPr>
                <w:rStyle w:val="Hyperlink"/>
                <w:noProof/>
              </w:rPr>
              <w:t>Recommendations</w:t>
            </w:r>
            <w:r>
              <w:rPr>
                <w:noProof/>
                <w:webHidden/>
              </w:rPr>
              <w:tab/>
            </w:r>
            <w:r>
              <w:rPr>
                <w:noProof/>
                <w:webHidden/>
              </w:rPr>
              <w:fldChar w:fldCharType="begin"/>
            </w:r>
            <w:r>
              <w:rPr>
                <w:noProof/>
                <w:webHidden/>
              </w:rPr>
              <w:instrText xml:space="preserve"> PAGEREF _Toc209446763 \h </w:instrText>
            </w:r>
            <w:r>
              <w:rPr>
                <w:noProof/>
                <w:webHidden/>
              </w:rPr>
            </w:r>
            <w:r>
              <w:rPr>
                <w:noProof/>
                <w:webHidden/>
              </w:rPr>
              <w:fldChar w:fldCharType="separate"/>
            </w:r>
            <w:r w:rsidR="00DD36F9">
              <w:rPr>
                <w:noProof/>
                <w:webHidden/>
              </w:rPr>
              <w:t>19</w:t>
            </w:r>
            <w:r>
              <w:rPr>
                <w:noProof/>
                <w:webHidden/>
              </w:rPr>
              <w:fldChar w:fldCharType="end"/>
            </w:r>
          </w:hyperlink>
        </w:p>
        <w:p w14:paraId="16A2F61F" w14:textId="5CD6996B" w:rsidR="00B926D2" w:rsidRDefault="00B926D2">
          <w:pPr>
            <w:pStyle w:val="TOC2"/>
            <w:rPr>
              <w:rFonts w:eastAsiaTheme="minorEastAsia"/>
              <w:kern w:val="2"/>
              <w:lang w:eastAsia="en-AU"/>
              <w14:ligatures w14:val="standardContextual"/>
            </w:rPr>
          </w:pPr>
          <w:hyperlink w:anchor="_Toc209446764" w:history="1">
            <w:r w:rsidRPr="007D6699">
              <w:rPr>
                <w:rStyle w:val="Hyperlink"/>
              </w:rPr>
              <w:t>Mental Healthcare</w:t>
            </w:r>
            <w:r>
              <w:rPr>
                <w:webHidden/>
              </w:rPr>
              <w:tab/>
            </w:r>
            <w:r>
              <w:rPr>
                <w:webHidden/>
              </w:rPr>
              <w:fldChar w:fldCharType="begin"/>
            </w:r>
            <w:r>
              <w:rPr>
                <w:webHidden/>
              </w:rPr>
              <w:instrText xml:space="preserve"> PAGEREF _Toc209446764 \h </w:instrText>
            </w:r>
            <w:r>
              <w:rPr>
                <w:webHidden/>
              </w:rPr>
            </w:r>
            <w:r>
              <w:rPr>
                <w:webHidden/>
              </w:rPr>
              <w:fldChar w:fldCharType="separate"/>
            </w:r>
            <w:r w:rsidR="00DD36F9">
              <w:rPr>
                <w:webHidden/>
              </w:rPr>
              <w:t>19</w:t>
            </w:r>
            <w:r>
              <w:rPr>
                <w:webHidden/>
              </w:rPr>
              <w:fldChar w:fldCharType="end"/>
            </w:r>
          </w:hyperlink>
        </w:p>
        <w:p w14:paraId="04C8B026" w14:textId="3A741DF8" w:rsidR="00B926D2" w:rsidRDefault="00B926D2">
          <w:pPr>
            <w:pStyle w:val="TOC3"/>
            <w:rPr>
              <w:rFonts w:cstheme="minorBidi"/>
              <w:bCs w:val="0"/>
              <w:noProof/>
              <w:kern w:val="2"/>
              <w:sz w:val="24"/>
              <w:szCs w:val="24"/>
              <w:lang w:eastAsia="en-AU"/>
              <w14:ligatures w14:val="standardContextual"/>
            </w:rPr>
          </w:pPr>
          <w:hyperlink w:anchor="_Toc209446765" w:history="1">
            <w:r w:rsidRPr="007D6699">
              <w:rPr>
                <w:rStyle w:val="Hyperlink"/>
                <w:noProof/>
              </w:rPr>
              <w:t>Recommendations</w:t>
            </w:r>
            <w:r>
              <w:rPr>
                <w:noProof/>
                <w:webHidden/>
              </w:rPr>
              <w:tab/>
            </w:r>
            <w:r>
              <w:rPr>
                <w:noProof/>
                <w:webHidden/>
              </w:rPr>
              <w:fldChar w:fldCharType="begin"/>
            </w:r>
            <w:r>
              <w:rPr>
                <w:noProof/>
                <w:webHidden/>
              </w:rPr>
              <w:instrText xml:space="preserve"> PAGEREF _Toc209446765 \h </w:instrText>
            </w:r>
            <w:r>
              <w:rPr>
                <w:noProof/>
                <w:webHidden/>
              </w:rPr>
            </w:r>
            <w:r>
              <w:rPr>
                <w:noProof/>
                <w:webHidden/>
              </w:rPr>
              <w:fldChar w:fldCharType="separate"/>
            </w:r>
            <w:r w:rsidR="00DD36F9">
              <w:rPr>
                <w:noProof/>
                <w:webHidden/>
              </w:rPr>
              <w:t>20</w:t>
            </w:r>
            <w:r>
              <w:rPr>
                <w:noProof/>
                <w:webHidden/>
              </w:rPr>
              <w:fldChar w:fldCharType="end"/>
            </w:r>
          </w:hyperlink>
        </w:p>
        <w:p w14:paraId="221A4DB7" w14:textId="289E32CD" w:rsidR="00B926D2" w:rsidRDefault="00B926D2">
          <w:pPr>
            <w:pStyle w:val="TOC1"/>
            <w:rPr>
              <w:rFonts w:eastAsiaTheme="minorEastAsia"/>
              <w:kern w:val="2"/>
              <w:lang w:eastAsia="en-AU"/>
              <w14:ligatures w14:val="standardContextual"/>
            </w:rPr>
          </w:pPr>
          <w:hyperlink w:anchor="_Toc209446766" w:history="1">
            <w:r w:rsidRPr="007D6699">
              <w:rPr>
                <w:rStyle w:val="Hyperlink"/>
                <w:rFonts w:eastAsia="Times New Roman"/>
              </w:rPr>
              <w:t>Part 2 Addressing submission questions</w:t>
            </w:r>
            <w:r>
              <w:rPr>
                <w:webHidden/>
              </w:rPr>
              <w:tab/>
            </w:r>
            <w:r>
              <w:rPr>
                <w:webHidden/>
              </w:rPr>
              <w:fldChar w:fldCharType="begin"/>
            </w:r>
            <w:r>
              <w:rPr>
                <w:webHidden/>
              </w:rPr>
              <w:instrText xml:space="preserve"> PAGEREF _Toc209446766 \h </w:instrText>
            </w:r>
            <w:r>
              <w:rPr>
                <w:webHidden/>
              </w:rPr>
            </w:r>
            <w:r>
              <w:rPr>
                <w:webHidden/>
              </w:rPr>
              <w:fldChar w:fldCharType="separate"/>
            </w:r>
            <w:r w:rsidR="00DD36F9">
              <w:rPr>
                <w:webHidden/>
              </w:rPr>
              <w:t>21</w:t>
            </w:r>
            <w:r>
              <w:rPr>
                <w:webHidden/>
              </w:rPr>
              <w:fldChar w:fldCharType="end"/>
            </w:r>
          </w:hyperlink>
        </w:p>
        <w:p w14:paraId="662429E3" w14:textId="6DE0846E" w:rsidR="00B926D2" w:rsidRDefault="00B926D2">
          <w:pPr>
            <w:pStyle w:val="TOC2"/>
            <w:rPr>
              <w:rFonts w:eastAsiaTheme="minorEastAsia"/>
              <w:kern w:val="2"/>
              <w:lang w:eastAsia="en-AU"/>
              <w14:ligatures w14:val="standardContextual"/>
            </w:rPr>
          </w:pPr>
          <w:hyperlink w:anchor="_Toc209446767" w:history="1">
            <w:r w:rsidRPr="007D6699">
              <w:rPr>
                <w:rStyle w:val="Hyperlink"/>
              </w:rPr>
              <w:t>Submission questions</w:t>
            </w:r>
            <w:r>
              <w:rPr>
                <w:webHidden/>
              </w:rPr>
              <w:tab/>
            </w:r>
            <w:r>
              <w:rPr>
                <w:webHidden/>
              </w:rPr>
              <w:fldChar w:fldCharType="begin"/>
            </w:r>
            <w:r>
              <w:rPr>
                <w:webHidden/>
              </w:rPr>
              <w:instrText xml:space="preserve"> PAGEREF _Toc209446767 \h </w:instrText>
            </w:r>
            <w:r>
              <w:rPr>
                <w:webHidden/>
              </w:rPr>
            </w:r>
            <w:r>
              <w:rPr>
                <w:webHidden/>
              </w:rPr>
              <w:fldChar w:fldCharType="separate"/>
            </w:r>
            <w:r w:rsidR="00DD36F9">
              <w:rPr>
                <w:webHidden/>
              </w:rPr>
              <w:t>22</w:t>
            </w:r>
            <w:r>
              <w:rPr>
                <w:webHidden/>
              </w:rPr>
              <w:fldChar w:fldCharType="end"/>
            </w:r>
          </w:hyperlink>
        </w:p>
        <w:p w14:paraId="1467E373" w14:textId="582EEA1B" w:rsidR="00B926D2" w:rsidRDefault="00B926D2">
          <w:pPr>
            <w:pStyle w:val="TOC3"/>
            <w:tabs>
              <w:tab w:val="left" w:pos="1200"/>
            </w:tabs>
            <w:rPr>
              <w:rFonts w:cstheme="minorBidi"/>
              <w:bCs w:val="0"/>
              <w:noProof/>
              <w:kern w:val="2"/>
              <w:sz w:val="24"/>
              <w:szCs w:val="24"/>
              <w:lang w:eastAsia="en-AU"/>
              <w14:ligatures w14:val="standardContextual"/>
            </w:rPr>
          </w:pPr>
          <w:hyperlink w:anchor="_Toc209446768" w:history="1">
            <w:r w:rsidRPr="007D6699">
              <w:rPr>
                <w:rStyle w:val="Hyperlink"/>
                <w:rFonts w:eastAsia="Arial"/>
                <w:noProof/>
              </w:rPr>
              <w:t>1.</w:t>
            </w:r>
            <w:r>
              <w:rPr>
                <w:rFonts w:cstheme="minorBidi"/>
                <w:bCs w:val="0"/>
                <w:noProof/>
                <w:kern w:val="2"/>
                <w:sz w:val="24"/>
                <w:szCs w:val="24"/>
                <w:lang w:eastAsia="en-AU"/>
                <w14:ligatures w14:val="standardContextual"/>
              </w:rPr>
              <w:tab/>
            </w:r>
            <w:r w:rsidRPr="007D6699">
              <w:rPr>
                <w:rStyle w:val="Hyperlink"/>
                <w:rFonts w:eastAsia="Arial"/>
                <w:noProof/>
              </w:rPr>
              <w:t>What existing and emerging safety and quality risks should the Commission be considering in the third edition?</w:t>
            </w:r>
            <w:r>
              <w:rPr>
                <w:noProof/>
                <w:webHidden/>
              </w:rPr>
              <w:tab/>
            </w:r>
            <w:r>
              <w:rPr>
                <w:noProof/>
                <w:webHidden/>
              </w:rPr>
              <w:fldChar w:fldCharType="begin"/>
            </w:r>
            <w:r>
              <w:rPr>
                <w:noProof/>
                <w:webHidden/>
              </w:rPr>
              <w:instrText xml:space="preserve"> PAGEREF _Toc209446768 \h </w:instrText>
            </w:r>
            <w:r>
              <w:rPr>
                <w:noProof/>
                <w:webHidden/>
              </w:rPr>
            </w:r>
            <w:r>
              <w:rPr>
                <w:noProof/>
                <w:webHidden/>
              </w:rPr>
              <w:fldChar w:fldCharType="separate"/>
            </w:r>
            <w:r w:rsidR="00DD36F9">
              <w:rPr>
                <w:noProof/>
                <w:webHidden/>
              </w:rPr>
              <w:t>22</w:t>
            </w:r>
            <w:r>
              <w:rPr>
                <w:noProof/>
                <w:webHidden/>
              </w:rPr>
              <w:fldChar w:fldCharType="end"/>
            </w:r>
          </w:hyperlink>
        </w:p>
        <w:p w14:paraId="708D8186" w14:textId="672F44DD" w:rsidR="00B926D2" w:rsidRDefault="00B926D2">
          <w:pPr>
            <w:pStyle w:val="TOC3"/>
            <w:rPr>
              <w:rFonts w:cstheme="minorBidi"/>
              <w:bCs w:val="0"/>
              <w:noProof/>
              <w:kern w:val="2"/>
              <w:sz w:val="24"/>
              <w:szCs w:val="24"/>
              <w:lang w:eastAsia="en-AU"/>
              <w14:ligatures w14:val="standardContextual"/>
            </w:rPr>
          </w:pPr>
          <w:hyperlink w:anchor="_Toc209446769" w:history="1">
            <w:r w:rsidRPr="007D6699">
              <w:rPr>
                <w:rStyle w:val="Hyperlink"/>
                <w:noProof/>
              </w:rPr>
              <w:t>Recommendations</w:t>
            </w:r>
            <w:r>
              <w:rPr>
                <w:noProof/>
                <w:webHidden/>
              </w:rPr>
              <w:tab/>
            </w:r>
            <w:r>
              <w:rPr>
                <w:noProof/>
                <w:webHidden/>
              </w:rPr>
              <w:fldChar w:fldCharType="begin"/>
            </w:r>
            <w:r>
              <w:rPr>
                <w:noProof/>
                <w:webHidden/>
              </w:rPr>
              <w:instrText xml:space="preserve"> PAGEREF _Toc209446769 \h </w:instrText>
            </w:r>
            <w:r>
              <w:rPr>
                <w:noProof/>
                <w:webHidden/>
              </w:rPr>
            </w:r>
            <w:r>
              <w:rPr>
                <w:noProof/>
                <w:webHidden/>
              </w:rPr>
              <w:fldChar w:fldCharType="separate"/>
            </w:r>
            <w:r w:rsidR="00DD36F9">
              <w:rPr>
                <w:noProof/>
                <w:webHidden/>
              </w:rPr>
              <w:t>23</w:t>
            </w:r>
            <w:r>
              <w:rPr>
                <w:noProof/>
                <w:webHidden/>
              </w:rPr>
              <w:fldChar w:fldCharType="end"/>
            </w:r>
          </w:hyperlink>
        </w:p>
        <w:p w14:paraId="7FAEEE35" w14:textId="76015578" w:rsidR="00B926D2" w:rsidRDefault="00B926D2">
          <w:pPr>
            <w:pStyle w:val="TOC3"/>
            <w:tabs>
              <w:tab w:val="left" w:pos="1200"/>
            </w:tabs>
            <w:rPr>
              <w:rFonts w:cstheme="minorBidi"/>
              <w:bCs w:val="0"/>
              <w:noProof/>
              <w:kern w:val="2"/>
              <w:sz w:val="24"/>
              <w:szCs w:val="24"/>
              <w:lang w:eastAsia="en-AU"/>
              <w14:ligatures w14:val="standardContextual"/>
            </w:rPr>
          </w:pPr>
          <w:hyperlink w:anchor="_Toc209446770" w:history="1">
            <w:r w:rsidRPr="007D6699">
              <w:rPr>
                <w:rStyle w:val="Hyperlink"/>
                <w:rFonts w:eastAsia="Arial"/>
                <w:noProof/>
              </w:rPr>
              <w:t>2.</w:t>
            </w:r>
            <w:r>
              <w:rPr>
                <w:rFonts w:cstheme="minorBidi"/>
                <w:bCs w:val="0"/>
                <w:noProof/>
                <w:kern w:val="2"/>
                <w:sz w:val="24"/>
                <w:szCs w:val="24"/>
                <w:lang w:eastAsia="en-AU"/>
                <w14:ligatures w14:val="standardContextual"/>
              </w:rPr>
              <w:tab/>
            </w:r>
            <w:r w:rsidRPr="007D6699">
              <w:rPr>
                <w:rStyle w:val="Hyperlink"/>
                <w:rFonts w:eastAsia="Arial"/>
                <w:noProof/>
              </w:rPr>
              <w:t>How can the third edition have a greater impact on driving high performance?</w:t>
            </w:r>
            <w:r>
              <w:rPr>
                <w:noProof/>
                <w:webHidden/>
              </w:rPr>
              <w:tab/>
            </w:r>
            <w:r>
              <w:rPr>
                <w:noProof/>
                <w:webHidden/>
              </w:rPr>
              <w:fldChar w:fldCharType="begin"/>
            </w:r>
            <w:r>
              <w:rPr>
                <w:noProof/>
                <w:webHidden/>
              </w:rPr>
              <w:instrText xml:space="preserve"> PAGEREF _Toc209446770 \h </w:instrText>
            </w:r>
            <w:r>
              <w:rPr>
                <w:noProof/>
                <w:webHidden/>
              </w:rPr>
            </w:r>
            <w:r>
              <w:rPr>
                <w:noProof/>
                <w:webHidden/>
              </w:rPr>
              <w:fldChar w:fldCharType="separate"/>
            </w:r>
            <w:r w:rsidR="00DD36F9">
              <w:rPr>
                <w:noProof/>
                <w:webHidden/>
              </w:rPr>
              <w:t>23</w:t>
            </w:r>
            <w:r>
              <w:rPr>
                <w:noProof/>
                <w:webHidden/>
              </w:rPr>
              <w:fldChar w:fldCharType="end"/>
            </w:r>
          </w:hyperlink>
        </w:p>
        <w:p w14:paraId="74F56342" w14:textId="1DD1608B" w:rsidR="00B926D2" w:rsidRDefault="00B926D2">
          <w:pPr>
            <w:pStyle w:val="TOC3"/>
            <w:tabs>
              <w:tab w:val="left" w:pos="1200"/>
            </w:tabs>
            <w:rPr>
              <w:rFonts w:cstheme="minorBidi"/>
              <w:bCs w:val="0"/>
              <w:noProof/>
              <w:kern w:val="2"/>
              <w:sz w:val="24"/>
              <w:szCs w:val="24"/>
              <w:lang w:eastAsia="en-AU"/>
              <w14:ligatures w14:val="standardContextual"/>
            </w:rPr>
          </w:pPr>
          <w:hyperlink w:anchor="_Toc209446771" w:history="1">
            <w:r w:rsidRPr="007D6699">
              <w:rPr>
                <w:rStyle w:val="Hyperlink"/>
                <w:rFonts w:eastAsia="Arial"/>
                <w:noProof/>
              </w:rPr>
              <w:t>3.</w:t>
            </w:r>
            <w:r>
              <w:rPr>
                <w:rFonts w:cstheme="minorBidi"/>
                <w:bCs w:val="0"/>
                <w:noProof/>
                <w:kern w:val="2"/>
                <w:sz w:val="24"/>
                <w:szCs w:val="24"/>
                <w:lang w:eastAsia="en-AU"/>
                <w14:ligatures w14:val="standardContextual"/>
              </w:rPr>
              <w:tab/>
            </w:r>
            <w:r w:rsidRPr="007D6699">
              <w:rPr>
                <w:rStyle w:val="Hyperlink"/>
                <w:rFonts w:eastAsia="Arial"/>
                <w:noProof/>
              </w:rPr>
              <w:t>How can the third edition support integration of services, within and across health services?</w:t>
            </w:r>
            <w:r>
              <w:rPr>
                <w:noProof/>
                <w:webHidden/>
              </w:rPr>
              <w:tab/>
            </w:r>
            <w:r>
              <w:rPr>
                <w:noProof/>
                <w:webHidden/>
              </w:rPr>
              <w:fldChar w:fldCharType="begin"/>
            </w:r>
            <w:r>
              <w:rPr>
                <w:noProof/>
                <w:webHidden/>
              </w:rPr>
              <w:instrText xml:space="preserve"> PAGEREF _Toc209446771 \h </w:instrText>
            </w:r>
            <w:r>
              <w:rPr>
                <w:noProof/>
                <w:webHidden/>
              </w:rPr>
            </w:r>
            <w:r>
              <w:rPr>
                <w:noProof/>
                <w:webHidden/>
              </w:rPr>
              <w:fldChar w:fldCharType="separate"/>
            </w:r>
            <w:r w:rsidR="00DD36F9">
              <w:rPr>
                <w:noProof/>
                <w:webHidden/>
              </w:rPr>
              <w:t>24</w:t>
            </w:r>
            <w:r>
              <w:rPr>
                <w:noProof/>
                <w:webHidden/>
              </w:rPr>
              <w:fldChar w:fldCharType="end"/>
            </w:r>
          </w:hyperlink>
        </w:p>
        <w:p w14:paraId="04EDCC7F" w14:textId="10F30780" w:rsidR="00B926D2" w:rsidRDefault="00B926D2">
          <w:pPr>
            <w:pStyle w:val="TOC3"/>
            <w:rPr>
              <w:rFonts w:cstheme="minorBidi"/>
              <w:bCs w:val="0"/>
              <w:noProof/>
              <w:kern w:val="2"/>
              <w:sz w:val="24"/>
              <w:szCs w:val="24"/>
              <w:lang w:eastAsia="en-AU"/>
              <w14:ligatures w14:val="standardContextual"/>
            </w:rPr>
          </w:pPr>
          <w:hyperlink w:anchor="_Toc209446772" w:history="1">
            <w:r w:rsidRPr="007D6699">
              <w:rPr>
                <w:rStyle w:val="Hyperlink"/>
                <w:noProof/>
              </w:rPr>
              <w:t>Recommendations</w:t>
            </w:r>
            <w:r>
              <w:rPr>
                <w:noProof/>
                <w:webHidden/>
              </w:rPr>
              <w:tab/>
            </w:r>
            <w:r>
              <w:rPr>
                <w:noProof/>
                <w:webHidden/>
              </w:rPr>
              <w:fldChar w:fldCharType="begin"/>
            </w:r>
            <w:r>
              <w:rPr>
                <w:noProof/>
                <w:webHidden/>
              </w:rPr>
              <w:instrText xml:space="preserve"> PAGEREF _Toc209446772 \h </w:instrText>
            </w:r>
            <w:r>
              <w:rPr>
                <w:noProof/>
                <w:webHidden/>
              </w:rPr>
            </w:r>
            <w:r>
              <w:rPr>
                <w:noProof/>
                <w:webHidden/>
              </w:rPr>
              <w:fldChar w:fldCharType="separate"/>
            </w:r>
            <w:r w:rsidR="00DD36F9">
              <w:rPr>
                <w:noProof/>
                <w:webHidden/>
              </w:rPr>
              <w:t>24</w:t>
            </w:r>
            <w:r>
              <w:rPr>
                <w:noProof/>
                <w:webHidden/>
              </w:rPr>
              <w:fldChar w:fldCharType="end"/>
            </w:r>
          </w:hyperlink>
        </w:p>
        <w:p w14:paraId="31CADECF" w14:textId="2398F678" w:rsidR="00B926D2" w:rsidRDefault="00B926D2">
          <w:pPr>
            <w:pStyle w:val="TOC3"/>
            <w:rPr>
              <w:rFonts w:cstheme="minorBidi"/>
              <w:bCs w:val="0"/>
              <w:noProof/>
              <w:kern w:val="2"/>
              <w:sz w:val="24"/>
              <w:szCs w:val="24"/>
              <w:lang w:eastAsia="en-AU"/>
              <w14:ligatures w14:val="standardContextual"/>
            </w:rPr>
          </w:pPr>
          <w:hyperlink w:anchor="_Toc209446773" w:history="1">
            <w:r w:rsidRPr="007D6699">
              <w:rPr>
                <w:rStyle w:val="Hyperlink"/>
                <w:rFonts w:eastAsia="Arial"/>
                <w:noProof/>
              </w:rPr>
              <w:t>4. How can the third edition support a continuous learning approach and minimise a compliance mindset?</w:t>
            </w:r>
            <w:r>
              <w:rPr>
                <w:noProof/>
                <w:webHidden/>
              </w:rPr>
              <w:tab/>
            </w:r>
            <w:r>
              <w:rPr>
                <w:noProof/>
                <w:webHidden/>
              </w:rPr>
              <w:fldChar w:fldCharType="begin"/>
            </w:r>
            <w:r>
              <w:rPr>
                <w:noProof/>
                <w:webHidden/>
              </w:rPr>
              <w:instrText xml:space="preserve"> PAGEREF _Toc209446773 \h </w:instrText>
            </w:r>
            <w:r>
              <w:rPr>
                <w:noProof/>
                <w:webHidden/>
              </w:rPr>
            </w:r>
            <w:r>
              <w:rPr>
                <w:noProof/>
                <w:webHidden/>
              </w:rPr>
              <w:fldChar w:fldCharType="separate"/>
            </w:r>
            <w:r w:rsidR="00DD36F9">
              <w:rPr>
                <w:noProof/>
                <w:webHidden/>
              </w:rPr>
              <w:t>25</w:t>
            </w:r>
            <w:r>
              <w:rPr>
                <w:noProof/>
                <w:webHidden/>
              </w:rPr>
              <w:fldChar w:fldCharType="end"/>
            </w:r>
          </w:hyperlink>
        </w:p>
        <w:p w14:paraId="4ED2674B" w14:textId="7330204C" w:rsidR="00B926D2" w:rsidRDefault="00B926D2">
          <w:pPr>
            <w:pStyle w:val="TOC3"/>
            <w:tabs>
              <w:tab w:val="left" w:pos="1200"/>
            </w:tabs>
            <w:rPr>
              <w:rFonts w:cstheme="minorBidi"/>
              <w:bCs w:val="0"/>
              <w:noProof/>
              <w:kern w:val="2"/>
              <w:sz w:val="24"/>
              <w:szCs w:val="24"/>
              <w:lang w:eastAsia="en-AU"/>
              <w14:ligatures w14:val="standardContextual"/>
            </w:rPr>
          </w:pPr>
          <w:hyperlink w:anchor="_Toc209446774" w:history="1">
            <w:r w:rsidRPr="007D6699">
              <w:rPr>
                <w:rStyle w:val="Hyperlink"/>
                <w:rFonts w:eastAsia="Arial"/>
                <w:noProof/>
              </w:rPr>
              <w:t>5.</w:t>
            </w:r>
            <w:r>
              <w:rPr>
                <w:rFonts w:cstheme="minorBidi"/>
                <w:bCs w:val="0"/>
                <w:noProof/>
                <w:kern w:val="2"/>
                <w:sz w:val="24"/>
                <w:szCs w:val="24"/>
                <w:lang w:eastAsia="en-AU"/>
                <w14:ligatures w14:val="standardContextual"/>
              </w:rPr>
              <w:tab/>
            </w:r>
            <w:r w:rsidRPr="007D6699">
              <w:rPr>
                <w:rStyle w:val="Hyperlink"/>
                <w:rFonts w:eastAsia="Arial"/>
                <w:noProof/>
              </w:rPr>
              <w:t>What needs to change in the current format and structure of the standards for the third edition to be easier to understand and act on?</w:t>
            </w:r>
            <w:r>
              <w:rPr>
                <w:noProof/>
                <w:webHidden/>
              </w:rPr>
              <w:tab/>
            </w:r>
            <w:r>
              <w:rPr>
                <w:noProof/>
                <w:webHidden/>
              </w:rPr>
              <w:fldChar w:fldCharType="begin"/>
            </w:r>
            <w:r>
              <w:rPr>
                <w:noProof/>
                <w:webHidden/>
              </w:rPr>
              <w:instrText xml:space="preserve"> PAGEREF _Toc209446774 \h </w:instrText>
            </w:r>
            <w:r>
              <w:rPr>
                <w:noProof/>
                <w:webHidden/>
              </w:rPr>
            </w:r>
            <w:r>
              <w:rPr>
                <w:noProof/>
                <w:webHidden/>
              </w:rPr>
              <w:fldChar w:fldCharType="separate"/>
            </w:r>
            <w:r w:rsidR="00DD36F9">
              <w:rPr>
                <w:noProof/>
                <w:webHidden/>
              </w:rPr>
              <w:t>25</w:t>
            </w:r>
            <w:r>
              <w:rPr>
                <w:noProof/>
                <w:webHidden/>
              </w:rPr>
              <w:fldChar w:fldCharType="end"/>
            </w:r>
          </w:hyperlink>
        </w:p>
        <w:p w14:paraId="78D175A5" w14:textId="66A51C74" w:rsidR="00B926D2" w:rsidRDefault="00B926D2">
          <w:pPr>
            <w:pStyle w:val="TOC3"/>
            <w:tabs>
              <w:tab w:val="left" w:pos="1200"/>
            </w:tabs>
            <w:rPr>
              <w:rFonts w:cstheme="minorBidi"/>
              <w:bCs w:val="0"/>
              <w:noProof/>
              <w:kern w:val="2"/>
              <w:sz w:val="24"/>
              <w:szCs w:val="24"/>
              <w:lang w:eastAsia="en-AU"/>
              <w14:ligatures w14:val="standardContextual"/>
            </w:rPr>
          </w:pPr>
          <w:hyperlink w:anchor="_Toc209446775" w:history="1">
            <w:r w:rsidRPr="007D6699">
              <w:rPr>
                <w:rStyle w:val="Hyperlink"/>
                <w:rFonts w:eastAsia="Arial"/>
                <w:noProof/>
              </w:rPr>
              <w:t>6.</w:t>
            </w:r>
            <w:r>
              <w:rPr>
                <w:rFonts w:cstheme="minorBidi"/>
                <w:bCs w:val="0"/>
                <w:noProof/>
                <w:kern w:val="2"/>
                <w:sz w:val="24"/>
                <w:szCs w:val="24"/>
                <w:lang w:eastAsia="en-AU"/>
                <w14:ligatures w14:val="standardContextual"/>
              </w:rPr>
              <w:tab/>
            </w:r>
            <w:r w:rsidRPr="007D6699">
              <w:rPr>
                <w:rStyle w:val="Hyperlink"/>
                <w:rFonts w:eastAsia="Arial"/>
                <w:noProof/>
              </w:rPr>
              <w:t>Are there areas of duplication or redundancies that could be removed from the current standards?</w:t>
            </w:r>
            <w:r>
              <w:rPr>
                <w:noProof/>
                <w:webHidden/>
              </w:rPr>
              <w:tab/>
            </w:r>
            <w:r>
              <w:rPr>
                <w:noProof/>
                <w:webHidden/>
              </w:rPr>
              <w:fldChar w:fldCharType="begin"/>
            </w:r>
            <w:r>
              <w:rPr>
                <w:noProof/>
                <w:webHidden/>
              </w:rPr>
              <w:instrText xml:space="preserve"> PAGEREF _Toc209446775 \h </w:instrText>
            </w:r>
            <w:r>
              <w:rPr>
                <w:noProof/>
                <w:webHidden/>
              </w:rPr>
            </w:r>
            <w:r>
              <w:rPr>
                <w:noProof/>
                <w:webHidden/>
              </w:rPr>
              <w:fldChar w:fldCharType="separate"/>
            </w:r>
            <w:r w:rsidR="00DD36F9">
              <w:rPr>
                <w:noProof/>
                <w:webHidden/>
              </w:rPr>
              <w:t>26</w:t>
            </w:r>
            <w:r>
              <w:rPr>
                <w:noProof/>
                <w:webHidden/>
              </w:rPr>
              <w:fldChar w:fldCharType="end"/>
            </w:r>
          </w:hyperlink>
        </w:p>
        <w:p w14:paraId="169B2D23" w14:textId="55865F9A" w:rsidR="00B926D2" w:rsidRDefault="00B926D2">
          <w:pPr>
            <w:pStyle w:val="TOC3"/>
            <w:rPr>
              <w:rFonts w:cstheme="minorBidi"/>
              <w:bCs w:val="0"/>
              <w:noProof/>
              <w:kern w:val="2"/>
              <w:sz w:val="24"/>
              <w:szCs w:val="24"/>
              <w:lang w:eastAsia="en-AU"/>
              <w14:ligatures w14:val="standardContextual"/>
            </w:rPr>
          </w:pPr>
          <w:hyperlink w:anchor="_Toc209446776" w:history="1">
            <w:r w:rsidRPr="007D6699">
              <w:rPr>
                <w:rStyle w:val="Hyperlink"/>
                <w:rFonts w:eastAsia="Arial"/>
                <w:noProof/>
              </w:rPr>
              <w:t>7. Please provide any additional comments you think will assist the Commission with the development of the third edition of the NSQHS Standards.</w:t>
            </w:r>
            <w:r>
              <w:rPr>
                <w:noProof/>
                <w:webHidden/>
              </w:rPr>
              <w:tab/>
            </w:r>
            <w:r>
              <w:rPr>
                <w:noProof/>
                <w:webHidden/>
              </w:rPr>
              <w:fldChar w:fldCharType="begin"/>
            </w:r>
            <w:r>
              <w:rPr>
                <w:noProof/>
                <w:webHidden/>
              </w:rPr>
              <w:instrText xml:space="preserve"> PAGEREF _Toc209446776 \h </w:instrText>
            </w:r>
            <w:r>
              <w:rPr>
                <w:noProof/>
                <w:webHidden/>
              </w:rPr>
            </w:r>
            <w:r>
              <w:rPr>
                <w:noProof/>
                <w:webHidden/>
              </w:rPr>
              <w:fldChar w:fldCharType="separate"/>
            </w:r>
            <w:r w:rsidR="00DD36F9">
              <w:rPr>
                <w:noProof/>
                <w:webHidden/>
              </w:rPr>
              <w:t>26</w:t>
            </w:r>
            <w:r>
              <w:rPr>
                <w:noProof/>
                <w:webHidden/>
              </w:rPr>
              <w:fldChar w:fldCharType="end"/>
            </w:r>
          </w:hyperlink>
        </w:p>
        <w:p w14:paraId="5A1F444C" w14:textId="0914F4AB" w:rsidR="00B926D2" w:rsidRDefault="00B926D2">
          <w:pPr>
            <w:pStyle w:val="TOC3"/>
            <w:rPr>
              <w:rFonts w:cstheme="minorBidi"/>
              <w:bCs w:val="0"/>
              <w:noProof/>
              <w:kern w:val="2"/>
              <w:sz w:val="24"/>
              <w:szCs w:val="24"/>
              <w:lang w:eastAsia="en-AU"/>
              <w14:ligatures w14:val="standardContextual"/>
            </w:rPr>
          </w:pPr>
          <w:hyperlink w:anchor="_Toc209446777" w:history="1">
            <w:r w:rsidRPr="007D6699">
              <w:rPr>
                <w:rStyle w:val="Hyperlink"/>
                <w:noProof/>
              </w:rPr>
              <w:t>Recommendations</w:t>
            </w:r>
            <w:r>
              <w:rPr>
                <w:noProof/>
                <w:webHidden/>
              </w:rPr>
              <w:tab/>
            </w:r>
            <w:r>
              <w:rPr>
                <w:noProof/>
                <w:webHidden/>
              </w:rPr>
              <w:fldChar w:fldCharType="begin"/>
            </w:r>
            <w:r>
              <w:rPr>
                <w:noProof/>
                <w:webHidden/>
              </w:rPr>
              <w:instrText xml:space="preserve"> PAGEREF _Toc209446777 \h </w:instrText>
            </w:r>
            <w:r>
              <w:rPr>
                <w:noProof/>
                <w:webHidden/>
              </w:rPr>
            </w:r>
            <w:r>
              <w:rPr>
                <w:noProof/>
                <w:webHidden/>
              </w:rPr>
              <w:fldChar w:fldCharType="separate"/>
            </w:r>
            <w:r w:rsidR="00DD36F9">
              <w:rPr>
                <w:noProof/>
                <w:webHidden/>
              </w:rPr>
              <w:t>27</w:t>
            </w:r>
            <w:r>
              <w:rPr>
                <w:noProof/>
                <w:webHidden/>
              </w:rPr>
              <w:fldChar w:fldCharType="end"/>
            </w:r>
          </w:hyperlink>
        </w:p>
        <w:p w14:paraId="7C8BF45E" w14:textId="4DF69A62" w:rsidR="00B926D2" w:rsidRDefault="00B926D2">
          <w:pPr>
            <w:pStyle w:val="TOC1"/>
            <w:rPr>
              <w:rFonts w:eastAsiaTheme="minorEastAsia"/>
              <w:kern w:val="2"/>
              <w:lang w:eastAsia="en-AU"/>
              <w14:ligatures w14:val="standardContextual"/>
            </w:rPr>
          </w:pPr>
          <w:hyperlink w:anchor="_Toc209446778" w:history="1">
            <w:r w:rsidRPr="007D6699">
              <w:rPr>
                <w:rStyle w:val="Hyperlink"/>
                <w:rFonts w:eastAsia="Times New Roman"/>
              </w:rPr>
              <w:t>Part 3 Conclusion</w:t>
            </w:r>
            <w:r>
              <w:rPr>
                <w:webHidden/>
              </w:rPr>
              <w:tab/>
            </w:r>
            <w:r>
              <w:rPr>
                <w:webHidden/>
              </w:rPr>
              <w:fldChar w:fldCharType="begin"/>
            </w:r>
            <w:r>
              <w:rPr>
                <w:webHidden/>
              </w:rPr>
              <w:instrText xml:space="preserve"> PAGEREF _Toc209446778 \h </w:instrText>
            </w:r>
            <w:r>
              <w:rPr>
                <w:webHidden/>
              </w:rPr>
            </w:r>
            <w:r>
              <w:rPr>
                <w:webHidden/>
              </w:rPr>
              <w:fldChar w:fldCharType="separate"/>
            </w:r>
            <w:r w:rsidR="00DD36F9">
              <w:rPr>
                <w:webHidden/>
              </w:rPr>
              <w:t>27</w:t>
            </w:r>
            <w:r>
              <w:rPr>
                <w:webHidden/>
              </w:rPr>
              <w:fldChar w:fldCharType="end"/>
            </w:r>
          </w:hyperlink>
        </w:p>
        <w:p w14:paraId="202AB568" w14:textId="37524963" w:rsidR="00B926D2" w:rsidRDefault="00B926D2">
          <w:pPr>
            <w:pStyle w:val="TOC1"/>
            <w:rPr>
              <w:rFonts w:eastAsiaTheme="minorEastAsia"/>
              <w:kern w:val="2"/>
              <w:lang w:eastAsia="en-AU"/>
              <w14:ligatures w14:val="standardContextual"/>
            </w:rPr>
          </w:pPr>
          <w:hyperlink w:anchor="_Toc209446779" w:history="1">
            <w:r w:rsidRPr="007D6699">
              <w:rPr>
                <w:rStyle w:val="Hyperlink"/>
              </w:rPr>
              <w:t>Appendices</w:t>
            </w:r>
            <w:r>
              <w:rPr>
                <w:webHidden/>
              </w:rPr>
              <w:tab/>
            </w:r>
            <w:r>
              <w:rPr>
                <w:webHidden/>
              </w:rPr>
              <w:fldChar w:fldCharType="begin"/>
            </w:r>
            <w:r>
              <w:rPr>
                <w:webHidden/>
              </w:rPr>
              <w:instrText xml:space="preserve"> PAGEREF _Toc209446779 \h </w:instrText>
            </w:r>
            <w:r>
              <w:rPr>
                <w:webHidden/>
              </w:rPr>
            </w:r>
            <w:r>
              <w:rPr>
                <w:webHidden/>
              </w:rPr>
              <w:fldChar w:fldCharType="separate"/>
            </w:r>
            <w:r w:rsidR="00DD36F9">
              <w:rPr>
                <w:webHidden/>
              </w:rPr>
              <w:t>29</w:t>
            </w:r>
            <w:r>
              <w:rPr>
                <w:webHidden/>
              </w:rPr>
              <w:fldChar w:fldCharType="end"/>
            </w:r>
          </w:hyperlink>
        </w:p>
        <w:p w14:paraId="217E28FB" w14:textId="351F46BE" w:rsidR="00B926D2" w:rsidRDefault="00B926D2">
          <w:pPr>
            <w:pStyle w:val="TOC3"/>
            <w:rPr>
              <w:rFonts w:cstheme="minorBidi"/>
              <w:bCs w:val="0"/>
              <w:noProof/>
              <w:kern w:val="2"/>
              <w:sz w:val="24"/>
              <w:szCs w:val="24"/>
              <w:lang w:eastAsia="en-AU"/>
              <w14:ligatures w14:val="standardContextual"/>
            </w:rPr>
          </w:pPr>
          <w:hyperlink w:anchor="_Toc209446780" w:history="1">
            <w:r w:rsidRPr="007D6699">
              <w:rPr>
                <w:rStyle w:val="Hyperlink"/>
                <w:noProof/>
              </w:rPr>
              <w:t>Appendix A – PWDA Survey: National Safety and Quality Health Service (NSQHS) Standards</w:t>
            </w:r>
            <w:r>
              <w:rPr>
                <w:noProof/>
                <w:webHidden/>
              </w:rPr>
              <w:tab/>
            </w:r>
            <w:r>
              <w:rPr>
                <w:noProof/>
                <w:webHidden/>
              </w:rPr>
              <w:fldChar w:fldCharType="begin"/>
            </w:r>
            <w:r>
              <w:rPr>
                <w:noProof/>
                <w:webHidden/>
              </w:rPr>
              <w:instrText xml:space="preserve"> PAGEREF _Toc209446780 \h </w:instrText>
            </w:r>
            <w:r>
              <w:rPr>
                <w:noProof/>
                <w:webHidden/>
              </w:rPr>
            </w:r>
            <w:r>
              <w:rPr>
                <w:noProof/>
                <w:webHidden/>
              </w:rPr>
              <w:fldChar w:fldCharType="separate"/>
            </w:r>
            <w:r w:rsidR="00DD36F9">
              <w:rPr>
                <w:noProof/>
                <w:webHidden/>
              </w:rPr>
              <w:t>29</w:t>
            </w:r>
            <w:r>
              <w:rPr>
                <w:noProof/>
                <w:webHidden/>
              </w:rPr>
              <w:fldChar w:fldCharType="end"/>
            </w:r>
          </w:hyperlink>
        </w:p>
        <w:p w14:paraId="7FF6E29F" w14:textId="2261E6E8" w:rsidR="00B926D2" w:rsidRDefault="00B926D2">
          <w:pPr>
            <w:pStyle w:val="TOC1"/>
            <w:rPr>
              <w:rFonts w:eastAsiaTheme="minorEastAsia"/>
              <w:kern w:val="2"/>
              <w:lang w:eastAsia="en-AU"/>
              <w14:ligatures w14:val="standardContextual"/>
            </w:rPr>
          </w:pPr>
          <w:hyperlink w:anchor="_Toc209446781" w:history="1">
            <w:r w:rsidRPr="007D6699">
              <w:rPr>
                <w:rStyle w:val="Hyperlink"/>
              </w:rPr>
              <w:t>Introduction</w:t>
            </w:r>
            <w:r>
              <w:rPr>
                <w:webHidden/>
              </w:rPr>
              <w:tab/>
            </w:r>
            <w:r>
              <w:rPr>
                <w:webHidden/>
              </w:rPr>
              <w:fldChar w:fldCharType="begin"/>
            </w:r>
            <w:r>
              <w:rPr>
                <w:webHidden/>
              </w:rPr>
              <w:instrText xml:space="preserve"> PAGEREF _Toc209446781 \h </w:instrText>
            </w:r>
            <w:r>
              <w:rPr>
                <w:webHidden/>
              </w:rPr>
            </w:r>
            <w:r>
              <w:rPr>
                <w:webHidden/>
              </w:rPr>
              <w:fldChar w:fldCharType="separate"/>
            </w:r>
            <w:r w:rsidR="00DD36F9">
              <w:rPr>
                <w:webHidden/>
              </w:rPr>
              <w:t>29</w:t>
            </w:r>
            <w:r>
              <w:rPr>
                <w:webHidden/>
              </w:rPr>
              <w:fldChar w:fldCharType="end"/>
            </w:r>
          </w:hyperlink>
        </w:p>
        <w:p w14:paraId="3D60EBDE" w14:textId="696F961C" w:rsidR="00B926D2" w:rsidRDefault="00B926D2">
          <w:pPr>
            <w:pStyle w:val="TOC2"/>
            <w:rPr>
              <w:rFonts w:eastAsiaTheme="minorEastAsia"/>
              <w:kern w:val="2"/>
              <w:lang w:eastAsia="en-AU"/>
              <w14:ligatures w14:val="standardContextual"/>
            </w:rPr>
          </w:pPr>
          <w:hyperlink w:anchor="_Toc209446782" w:history="1">
            <w:r w:rsidRPr="007D6699">
              <w:rPr>
                <w:rStyle w:val="Hyperlink"/>
              </w:rPr>
              <w:t>Summary of key findings</w:t>
            </w:r>
            <w:r>
              <w:rPr>
                <w:webHidden/>
              </w:rPr>
              <w:tab/>
            </w:r>
            <w:r>
              <w:rPr>
                <w:webHidden/>
              </w:rPr>
              <w:fldChar w:fldCharType="begin"/>
            </w:r>
            <w:r>
              <w:rPr>
                <w:webHidden/>
              </w:rPr>
              <w:instrText xml:space="preserve"> PAGEREF _Toc209446782 \h </w:instrText>
            </w:r>
            <w:r>
              <w:rPr>
                <w:webHidden/>
              </w:rPr>
            </w:r>
            <w:r>
              <w:rPr>
                <w:webHidden/>
              </w:rPr>
              <w:fldChar w:fldCharType="separate"/>
            </w:r>
            <w:r w:rsidR="00DD36F9">
              <w:rPr>
                <w:webHidden/>
              </w:rPr>
              <w:t>31</w:t>
            </w:r>
            <w:r>
              <w:rPr>
                <w:webHidden/>
              </w:rPr>
              <w:fldChar w:fldCharType="end"/>
            </w:r>
          </w:hyperlink>
        </w:p>
        <w:p w14:paraId="19F4F3DC" w14:textId="25A744FB" w:rsidR="005A1098" w:rsidRDefault="00B467AB" w:rsidP="004224C9">
          <w:pPr>
            <w:pStyle w:val="TOC3"/>
            <w:ind w:left="1440"/>
          </w:pPr>
          <w:r>
            <w:rPr>
              <w:b/>
              <w:bCs w:val="0"/>
              <w:noProof/>
            </w:rPr>
            <w:fldChar w:fldCharType="end"/>
          </w:r>
        </w:p>
      </w:sdtContent>
    </w:sdt>
    <w:p w14:paraId="63623FC8" w14:textId="77777777" w:rsidR="00556A8A" w:rsidRDefault="001805F9" w:rsidP="00296133">
      <w:pPr>
        <w:pStyle w:val="Heading2"/>
        <w:tabs>
          <w:tab w:val="left" w:pos="4320"/>
        </w:tabs>
      </w:pPr>
      <w:r w:rsidRPr="00B3070A">
        <w:br w:type="page"/>
      </w:r>
    </w:p>
    <w:p w14:paraId="6163C627" w14:textId="3195306D" w:rsidR="00E566BA" w:rsidRDefault="00A43A35" w:rsidP="00296133">
      <w:pPr>
        <w:pStyle w:val="Heading2"/>
        <w:tabs>
          <w:tab w:val="left" w:pos="4320"/>
        </w:tabs>
      </w:pPr>
      <w:bookmarkStart w:id="53" w:name="_Toc209446750"/>
      <w:r>
        <w:lastRenderedPageBreak/>
        <w:t>Introduction</w:t>
      </w:r>
      <w:bookmarkEnd w:id="53"/>
      <w:r>
        <w:t xml:space="preserve"> </w:t>
      </w:r>
    </w:p>
    <w:p w14:paraId="311A72EF" w14:textId="7424117F" w:rsidR="00AC42CE" w:rsidRDefault="002D13D1" w:rsidP="002D13D1">
      <w:pPr>
        <w:pStyle w:val="BodyText"/>
        <w:rPr>
          <w:rFonts w:asciiTheme="minorHAnsi" w:hAnsiTheme="minorHAnsi" w:cstheme="minorHAnsi"/>
        </w:rPr>
      </w:pPr>
      <w:r w:rsidRPr="00871656">
        <w:rPr>
          <w:rFonts w:asciiTheme="minorHAnsi" w:hAnsiTheme="minorHAnsi" w:cstheme="minorHAnsi"/>
        </w:rPr>
        <w:t xml:space="preserve">PWDA welcomes the opportunity to </w:t>
      </w:r>
      <w:r>
        <w:rPr>
          <w:rFonts w:asciiTheme="minorHAnsi" w:hAnsiTheme="minorHAnsi" w:cstheme="minorHAnsi"/>
        </w:rPr>
        <w:t xml:space="preserve">provide </w:t>
      </w:r>
      <w:r w:rsidR="00AA67EA">
        <w:rPr>
          <w:rFonts w:asciiTheme="minorHAnsi" w:hAnsiTheme="minorHAnsi" w:cstheme="minorHAnsi"/>
        </w:rPr>
        <w:t xml:space="preserve">a submission to the </w:t>
      </w:r>
      <w:hyperlink r:id="rId15" w:history="1">
        <w:r w:rsidR="00B73D83" w:rsidRPr="00AC42CE">
          <w:rPr>
            <w:rStyle w:val="Hyperlink"/>
            <w:rFonts w:asciiTheme="minorHAnsi" w:hAnsiTheme="minorHAnsi" w:cstheme="minorHAnsi"/>
          </w:rPr>
          <w:t xml:space="preserve">National Safety and Quality Health Service </w:t>
        </w:r>
        <w:r w:rsidR="00C727CD" w:rsidRPr="00AC42CE">
          <w:rPr>
            <w:rStyle w:val="Hyperlink"/>
            <w:rFonts w:asciiTheme="minorHAnsi" w:hAnsiTheme="minorHAnsi" w:cstheme="minorHAnsi"/>
          </w:rPr>
          <w:t xml:space="preserve">(NSQHS) </w:t>
        </w:r>
        <w:r w:rsidR="00B73D83" w:rsidRPr="00AC42CE">
          <w:rPr>
            <w:rStyle w:val="Hyperlink"/>
            <w:rFonts w:asciiTheme="minorHAnsi" w:hAnsiTheme="minorHAnsi" w:cstheme="minorHAnsi"/>
          </w:rPr>
          <w:t>Standards</w:t>
        </w:r>
      </w:hyperlink>
      <w:r w:rsidR="00C727CD">
        <w:rPr>
          <w:rFonts w:asciiTheme="minorHAnsi" w:hAnsiTheme="minorHAnsi" w:cstheme="minorHAnsi"/>
        </w:rPr>
        <w:t xml:space="preserve"> (third edition)</w:t>
      </w:r>
      <w:r w:rsidR="00AC42CE">
        <w:rPr>
          <w:rFonts w:asciiTheme="minorHAnsi" w:hAnsiTheme="minorHAnsi" w:cstheme="minorHAnsi"/>
        </w:rPr>
        <w:t>.</w:t>
      </w:r>
    </w:p>
    <w:p w14:paraId="7D331AF1" w14:textId="6A1F3502" w:rsidR="0087584E" w:rsidRPr="00871656" w:rsidRDefault="002D13D1" w:rsidP="002D13D1">
      <w:pPr>
        <w:spacing w:before="1"/>
        <w:ind w:right="277"/>
        <w:rPr>
          <w:rFonts w:eastAsia="Arial" w:cstheme="minorHAnsi"/>
        </w:rPr>
      </w:pPr>
      <w:r w:rsidRPr="00755E1A">
        <w:rPr>
          <w:rFonts w:cstheme="minorHAnsi"/>
        </w:rPr>
        <w:t>PWDA is Australia’s peak cross-disability Disability Representative Organisation</w:t>
      </w:r>
      <w:r w:rsidR="00EB1ED9">
        <w:rPr>
          <w:rFonts w:cstheme="minorHAnsi"/>
        </w:rPr>
        <w:t xml:space="preserve">. </w:t>
      </w:r>
      <w:r w:rsidRPr="00871656">
        <w:rPr>
          <w:rFonts w:eastAsia="Arial" w:cstheme="minorHAnsi"/>
          <w:color w:val="000000"/>
          <w:lang w:val="en-US"/>
        </w:rPr>
        <w:t xml:space="preserve">Nationally </w:t>
      </w:r>
      <w:r w:rsidR="00E43D00">
        <w:rPr>
          <w:rFonts w:eastAsia="Arial" w:cstheme="minorHAnsi"/>
          <w:color w:val="000000"/>
          <w:lang w:val="en-US"/>
        </w:rPr>
        <w:t>5</w:t>
      </w:r>
      <w:r w:rsidRPr="00871656">
        <w:rPr>
          <w:rFonts w:eastAsia="Arial" w:cstheme="minorHAnsi"/>
          <w:color w:val="000000"/>
          <w:lang w:val="en-US"/>
        </w:rPr>
        <w:t>.</w:t>
      </w:r>
      <w:r w:rsidR="00E43D00">
        <w:rPr>
          <w:rFonts w:eastAsia="Arial" w:cstheme="minorHAnsi"/>
          <w:color w:val="000000"/>
          <w:lang w:val="en-US"/>
        </w:rPr>
        <w:t>5</w:t>
      </w:r>
      <w:r w:rsidRPr="00871656">
        <w:rPr>
          <w:rFonts w:eastAsia="Arial" w:cstheme="minorHAnsi"/>
          <w:color w:val="000000"/>
          <w:lang w:val="en-US"/>
        </w:rPr>
        <w:t xml:space="preserve"> million Australians have a disability, around </w:t>
      </w:r>
      <w:r w:rsidR="00E43D00">
        <w:rPr>
          <w:rFonts w:eastAsia="Arial" w:cstheme="minorHAnsi"/>
          <w:color w:val="000000"/>
          <w:lang w:val="en-US"/>
        </w:rPr>
        <w:t>21.4</w:t>
      </w:r>
      <w:r w:rsidRPr="00871656">
        <w:rPr>
          <w:rFonts w:eastAsia="Arial" w:cstheme="minorHAnsi"/>
          <w:color w:val="000000"/>
          <w:lang w:val="en-US"/>
        </w:rPr>
        <w:t>% of the population.</w:t>
      </w:r>
      <w:r w:rsidR="0087584E" w:rsidRPr="00871656">
        <w:rPr>
          <w:rFonts w:eastAsia="Arial" w:cstheme="minorHAnsi"/>
          <w:color w:val="000000"/>
          <w:vertAlign w:val="superscript"/>
          <w:lang w:val="en-US"/>
        </w:rPr>
        <w:endnoteReference w:id="1"/>
      </w:r>
      <w:r w:rsidR="0087584E" w:rsidRPr="00871656">
        <w:rPr>
          <w:rFonts w:eastAsia="Arial" w:cstheme="minorHAnsi"/>
          <w:color w:val="000000"/>
          <w:lang w:val="en-US"/>
        </w:rPr>
        <w:t xml:space="preserve"> </w:t>
      </w:r>
    </w:p>
    <w:p w14:paraId="2C9D9154" w14:textId="77777777" w:rsidR="0087584E" w:rsidRPr="00871656" w:rsidRDefault="0087584E" w:rsidP="002D13D1">
      <w:pPr>
        <w:pStyle w:val="BodyText"/>
        <w:rPr>
          <w:rFonts w:asciiTheme="minorHAnsi" w:hAnsiTheme="minorHAnsi" w:cstheme="minorHAnsi"/>
          <w:color w:val="auto"/>
        </w:rPr>
      </w:pPr>
      <w:r w:rsidRPr="00871656">
        <w:rPr>
          <w:rFonts w:asciiTheme="minorHAnsi" w:hAnsiTheme="minorHAnsi" w:cstheme="minorHAnsi"/>
        </w:rPr>
        <w:t>When compared with people without disability, people with disability continue to experience discrimination and poorer life outcomes across all life domains.</w:t>
      </w:r>
      <w:r w:rsidRPr="00871656">
        <w:rPr>
          <w:rFonts w:asciiTheme="minorHAnsi" w:hAnsiTheme="minorHAnsi" w:cstheme="minorHAnsi"/>
          <w:vertAlign w:val="superscript"/>
        </w:rPr>
        <w:endnoteReference w:id="2"/>
      </w:r>
      <w:r w:rsidRPr="00871656">
        <w:rPr>
          <w:rFonts w:asciiTheme="minorHAnsi" w:hAnsiTheme="minorHAnsi" w:cstheme="minorHAnsi"/>
        </w:rPr>
        <w:t xml:space="preserve"> It is estimated that 22% of people aged over 15 with disability in Australia have experienced some form of discrimination compared with 15% of those without disability.</w:t>
      </w:r>
      <w:r w:rsidRPr="00871656">
        <w:rPr>
          <w:rStyle w:val="EndnoteReference"/>
          <w:rFonts w:asciiTheme="minorHAnsi" w:hAnsiTheme="minorHAnsi" w:cstheme="minorHAnsi"/>
        </w:rPr>
        <w:endnoteReference w:id="3"/>
      </w:r>
      <w:r w:rsidRPr="00871656">
        <w:rPr>
          <w:rFonts w:asciiTheme="minorHAnsi" w:hAnsiTheme="minorHAnsi" w:cstheme="minorHAnsi"/>
        </w:rPr>
        <w:t xml:space="preserve"> Disability discrimination is the largest ground of complaint to Anti-Discrimination NSW (ADNSW)</w:t>
      </w:r>
      <w:r w:rsidRPr="00871656">
        <w:rPr>
          <w:rStyle w:val="EndnoteReference"/>
          <w:rFonts w:asciiTheme="minorHAnsi" w:hAnsiTheme="minorHAnsi" w:cstheme="minorHAnsi"/>
        </w:rPr>
        <w:endnoteReference w:id="4"/>
      </w:r>
      <w:r w:rsidRPr="00871656">
        <w:rPr>
          <w:rFonts w:asciiTheme="minorHAnsi" w:hAnsiTheme="minorHAnsi" w:cstheme="minorHAnsi"/>
        </w:rPr>
        <w:t xml:space="preserve"> and the Australian Human Rights Commission (AHRC).</w:t>
      </w:r>
      <w:r w:rsidRPr="00871656">
        <w:rPr>
          <w:rStyle w:val="EndnoteReference"/>
          <w:rFonts w:asciiTheme="minorHAnsi" w:hAnsiTheme="minorHAnsi" w:cstheme="minorHAnsi"/>
        </w:rPr>
        <w:endnoteReference w:id="5"/>
      </w:r>
      <w:r w:rsidRPr="00871656">
        <w:rPr>
          <w:rFonts w:asciiTheme="minorHAnsi" w:hAnsiTheme="minorHAnsi" w:cstheme="minorHAnsi"/>
        </w:rPr>
        <w:t xml:space="preserve"> </w:t>
      </w:r>
      <w:r>
        <w:rPr>
          <w:rFonts w:asciiTheme="minorHAnsi" w:hAnsiTheme="minorHAnsi" w:cstheme="minorHAnsi"/>
        </w:rPr>
        <w:t>D</w:t>
      </w:r>
      <w:r w:rsidRPr="00871656">
        <w:rPr>
          <w:rFonts w:asciiTheme="minorHAnsi" w:hAnsiTheme="minorHAnsi" w:cstheme="minorHAnsi"/>
        </w:rPr>
        <w:t xml:space="preserve">iscrimination </w:t>
      </w:r>
      <w:r>
        <w:rPr>
          <w:rFonts w:asciiTheme="minorHAnsi" w:hAnsiTheme="minorHAnsi" w:cstheme="minorHAnsi"/>
        </w:rPr>
        <w:t xml:space="preserve">against people with disability </w:t>
      </w:r>
      <w:r w:rsidRPr="00871656">
        <w:rPr>
          <w:rFonts w:asciiTheme="minorHAnsi" w:hAnsiTheme="minorHAnsi" w:cstheme="minorHAnsi"/>
        </w:rPr>
        <w:t>appears deeply entrenched across systems.</w:t>
      </w:r>
    </w:p>
    <w:p w14:paraId="224BC018" w14:textId="77777777" w:rsidR="0087584E" w:rsidRDefault="0087584E" w:rsidP="002D13D1">
      <w:pPr>
        <w:pStyle w:val="BodyText"/>
        <w:rPr>
          <w:rFonts w:asciiTheme="minorHAnsi" w:hAnsiTheme="minorHAnsi" w:cstheme="minorHAnsi"/>
          <w:color w:val="auto"/>
        </w:rPr>
      </w:pPr>
      <w:r w:rsidRPr="00871656">
        <w:rPr>
          <w:rFonts w:asciiTheme="minorHAnsi" w:eastAsia="Calibri" w:hAnsiTheme="minorHAnsi" w:cstheme="minorHAnsi"/>
          <w:color w:val="auto"/>
          <w:kern w:val="2"/>
          <w14:ligatures w14:val="standardContextual"/>
        </w:rPr>
        <w:t>Governments have an obligation to respect, protect and fulfil human rights.</w:t>
      </w:r>
      <w:r w:rsidRPr="00871656">
        <w:rPr>
          <w:rStyle w:val="EndnoteReference"/>
          <w:rFonts w:asciiTheme="minorHAnsi" w:eastAsia="Calibri" w:hAnsiTheme="minorHAnsi" w:cstheme="minorHAnsi"/>
          <w:color w:val="auto"/>
          <w:kern w:val="2"/>
          <w14:ligatures w14:val="standardContextual"/>
        </w:rPr>
        <w:endnoteReference w:id="6"/>
      </w:r>
      <w:r w:rsidRPr="00871656">
        <w:rPr>
          <w:rFonts w:asciiTheme="minorHAnsi" w:eastAsia="Calibri" w:hAnsiTheme="minorHAnsi" w:cstheme="minorHAnsi"/>
          <w:color w:val="auto"/>
          <w:kern w:val="2"/>
          <w14:ligatures w14:val="standardContextual"/>
        </w:rPr>
        <w:t xml:space="preserve"> Disability Rights are Human Rights. </w:t>
      </w:r>
    </w:p>
    <w:p w14:paraId="3C0A264E" w14:textId="093268AD" w:rsidR="0087584E" w:rsidRDefault="0087584E" w:rsidP="002D13D1">
      <w:pPr>
        <w:pStyle w:val="BodyText"/>
        <w:rPr>
          <w:rFonts w:asciiTheme="minorHAnsi" w:hAnsiTheme="minorHAnsi" w:cstheme="minorHAnsi"/>
          <w:color w:val="auto"/>
        </w:rPr>
      </w:pPr>
      <w:r w:rsidRPr="00C073FC">
        <w:rPr>
          <w:rFonts w:asciiTheme="minorHAnsi" w:hAnsiTheme="minorHAnsi" w:cstheme="minorHAnsi"/>
          <w:color w:val="auto"/>
        </w:rPr>
        <w:t xml:space="preserve">The overarching theme of this submission is that </w:t>
      </w:r>
      <w:r>
        <w:rPr>
          <w:rFonts w:asciiTheme="minorHAnsi" w:hAnsiTheme="minorHAnsi" w:cstheme="minorHAnsi"/>
          <w:color w:val="auto"/>
        </w:rPr>
        <w:t>greater consideration, understanding and resourcing of disability healthcare is needed to achieve quality, safe standards.</w:t>
      </w:r>
    </w:p>
    <w:p w14:paraId="47B12991" w14:textId="77777777" w:rsidR="0087584E" w:rsidRPr="00426E6D" w:rsidRDefault="0087584E" w:rsidP="002D13D1">
      <w:pPr>
        <w:pStyle w:val="BodyText"/>
        <w:rPr>
          <w:rFonts w:asciiTheme="minorHAnsi" w:hAnsiTheme="minorHAnsi" w:cstheme="minorHAnsi"/>
          <w:color w:val="auto"/>
        </w:rPr>
      </w:pPr>
      <w:r w:rsidRPr="00426E6D">
        <w:rPr>
          <w:rFonts w:asciiTheme="minorHAnsi" w:hAnsiTheme="minorHAnsi" w:cstheme="minorHAnsi"/>
          <w:color w:val="auto"/>
        </w:rPr>
        <w:t>The third edition of the NSQHS needs to ensure that health system resourcing, health staff training, health service access and health facility accessibility are inclusive, equitable and support the rights and needs of people with disability to enjoy quality healthcare on an equitable basis with others.</w:t>
      </w:r>
    </w:p>
    <w:p w14:paraId="79BFBA43" w14:textId="77777777" w:rsidR="0087584E" w:rsidRPr="00871656" w:rsidRDefault="0087584E" w:rsidP="00B25342">
      <w:pPr>
        <w:spacing w:before="0" w:after="120" w:line="280" w:lineRule="atLeast"/>
        <w:rPr>
          <w:rFonts w:cstheme="minorHAnsi"/>
        </w:rPr>
      </w:pPr>
    </w:p>
    <w:p w14:paraId="277BA0DB" w14:textId="77777777" w:rsidR="0087584E" w:rsidRPr="00940780" w:rsidRDefault="0087584E" w:rsidP="002D13D1">
      <w:pPr>
        <w:pStyle w:val="Heading3"/>
        <w:spacing w:line="312" w:lineRule="auto"/>
      </w:pPr>
      <w:bookmarkStart w:id="54" w:name="_Toc146291273"/>
      <w:bookmarkStart w:id="55" w:name="_Toc146877516"/>
      <w:bookmarkStart w:id="56" w:name="_Toc209446751"/>
      <w:r w:rsidRPr="00940780">
        <w:t>Submission structure</w:t>
      </w:r>
      <w:bookmarkEnd w:id="54"/>
      <w:bookmarkEnd w:id="55"/>
      <w:bookmarkEnd w:id="56"/>
    </w:p>
    <w:p w14:paraId="4CD6AC01" w14:textId="2786D2FA" w:rsidR="0087584E" w:rsidRPr="00871656" w:rsidRDefault="0087584E" w:rsidP="00C60DD1">
      <w:pPr>
        <w:pStyle w:val="BodyText"/>
        <w:spacing w:before="0" w:after="0" w:line="300" w:lineRule="auto"/>
        <w:rPr>
          <w:rFonts w:asciiTheme="minorHAnsi" w:hAnsiTheme="minorHAnsi" w:cstheme="minorHAnsi"/>
          <w:color w:val="auto"/>
        </w:rPr>
      </w:pPr>
      <w:r w:rsidRPr="00871656">
        <w:rPr>
          <w:rFonts w:asciiTheme="minorHAnsi" w:hAnsiTheme="minorHAnsi" w:cstheme="minorHAnsi"/>
          <w:color w:val="auto"/>
        </w:rPr>
        <w:t>The</w:t>
      </w:r>
      <w:r>
        <w:rPr>
          <w:i/>
          <w:iCs/>
        </w:rPr>
        <w:t xml:space="preserve"> </w:t>
      </w:r>
      <w:r w:rsidRPr="00C60DD1">
        <w:t>Australian Commission on Safety and Quality in Healthcare</w:t>
      </w:r>
      <w:r>
        <w:t xml:space="preserve"> </w:t>
      </w:r>
      <w:r w:rsidRPr="00871656">
        <w:rPr>
          <w:rFonts w:asciiTheme="minorHAnsi" w:hAnsiTheme="minorHAnsi" w:cstheme="minorHAnsi"/>
          <w:color w:val="auto"/>
        </w:rPr>
        <w:t xml:space="preserve">has asked for </w:t>
      </w:r>
      <w:r>
        <w:rPr>
          <w:rFonts w:asciiTheme="minorHAnsi" w:hAnsiTheme="minorHAnsi" w:cstheme="minorHAnsi"/>
          <w:color w:val="auto"/>
        </w:rPr>
        <w:t xml:space="preserve">written feedback to address </w:t>
      </w:r>
      <w:hyperlink r:id="rId16" w:history="1">
        <w:r w:rsidRPr="009C758D">
          <w:rPr>
            <w:rStyle w:val="Hyperlink"/>
            <w:rFonts w:asciiTheme="minorHAnsi" w:hAnsiTheme="minorHAnsi" w:cstheme="minorHAnsi"/>
          </w:rPr>
          <w:t>7 questions</w:t>
        </w:r>
      </w:hyperlink>
      <w:r w:rsidRPr="00871656">
        <w:rPr>
          <w:rFonts w:asciiTheme="minorHAnsi" w:hAnsiTheme="minorHAnsi" w:cstheme="minorHAnsi"/>
          <w:color w:val="auto"/>
        </w:rPr>
        <w:t xml:space="preserve">. This </w:t>
      </w:r>
      <w:r>
        <w:rPr>
          <w:rFonts w:asciiTheme="minorHAnsi" w:hAnsiTheme="minorHAnsi" w:cstheme="minorHAnsi"/>
          <w:color w:val="auto"/>
        </w:rPr>
        <w:t xml:space="preserve">response to the request </w:t>
      </w:r>
      <w:r w:rsidRPr="00871656">
        <w:rPr>
          <w:rFonts w:asciiTheme="minorHAnsi" w:hAnsiTheme="minorHAnsi" w:cstheme="minorHAnsi"/>
          <w:color w:val="auto"/>
        </w:rPr>
        <w:t xml:space="preserve">is </w:t>
      </w:r>
      <w:proofErr w:type="spellStart"/>
      <w:r w:rsidRPr="00871656">
        <w:rPr>
          <w:rFonts w:asciiTheme="minorHAnsi" w:hAnsiTheme="minorHAnsi" w:cstheme="minorHAnsi"/>
          <w:color w:val="auto"/>
        </w:rPr>
        <w:t>organised</w:t>
      </w:r>
      <w:proofErr w:type="spellEnd"/>
      <w:r w:rsidRPr="00871656">
        <w:rPr>
          <w:rFonts w:asciiTheme="minorHAnsi" w:hAnsiTheme="minorHAnsi" w:cstheme="minorHAnsi"/>
          <w:color w:val="auto"/>
        </w:rPr>
        <w:t xml:space="preserve"> into </w:t>
      </w:r>
      <w:r>
        <w:rPr>
          <w:rFonts w:asciiTheme="minorHAnsi" w:hAnsiTheme="minorHAnsi" w:cstheme="minorHAnsi"/>
          <w:color w:val="auto"/>
        </w:rPr>
        <w:t>two</w:t>
      </w:r>
      <w:r w:rsidRPr="00871656">
        <w:rPr>
          <w:rFonts w:asciiTheme="minorHAnsi" w:hAnsiTheme="minorHAnsi" w:cstheme="minorHAnsi"/>
          <w:color w:val="auto"/>
        </w:rPr>
        <w:t xml:space="preserve"> parts and a conclusion:</w:t>
      </w:r>
    </w:p>
    <w:p w14:paraId="7C578804" w14:textId="77777777" w:rsidR="0087584E" w:rsidRDefault="0087584E" w:rsidP="00A3769E">
      <w:pPr>
        <w:pStyle w:val="BodyText"/>
        <w:numPr>
          <w:ilvl w:val="0"/>
          <w:numId w:val="6"/>
        </w:numPr>
        <w:rPr>
          <w:rFonts w:asciiTheme="minorHAnsi" w:hAnsiTheme="minorHAnsi" w:cstheme="minorHAnsi"/>
          <w:color w:val="auto"/>
        </w:rPr>
      </w:pPr>
      <w:r>
        <w:rPr>
          <w:rFonts w:asciiTheme="minorHAnsi" w:hAnsiTheme="minorHAnsi" w:cstheme="minorHAnsi"/>
          <w:color w:val="auto"/>
        </w:rPr>
        <w:lastRenderedPageBreak/>
        <w:t>Summary of Recommendations</w:t>
      </w:r>
    </w:p>
    <w:p w14:paraId="62916FEA" w14:textId="62517E6D" w:rsidR="0087584E" w:rsidRDefault="0087584E" w:rsidP="00A3769E">
      <w:pPr>
        <w:pStyle w:val="BodyText"/>
        <w:numPr>
          <w:ilvl w:val="0"/>
          <w:numId w:val="6"/>
        </w:numPr>
        <w:rPr>
          <w:rFonts w:asciiTheme="minorHAnsi" w:hAnsiTheme="minorHAnsi" w:cstheme="minorHAnsi"/>
          <w:color w:val="auto"/>
        </w:rPr>
      </w:pPr>
      <w:r w:rsidRPr="00871656">
        <w:rPr>
          <w:rFonts w:asciiTheme="minorHAnsi" w:hAnsiTheme="minorHAnsi" w:cstheme="minorHAnsi"/>
          <w:color w:val="auto"/>
        </w:rPr>
        <w:t xml:space="preserve">Part </w:t>
      </w:r>
      <w:r>
        <w:rPr>
          <w:rFonts w:asciiTheme="minorHAnsi" w:hAnsiTheme="minorHAnsi" w:cstheme="minorHAnsi"/>
          <w:color w:val="auto"/>
        </w:rPr>
        <w:t>1</w:t>
      </w:r>
      <w:r w:rsidRPr="00871656">
        <w:rPr>
          <w:rFonts w:asciiTheme="minorHAnsi" w:hAnsiTheme="minorHAnsi" w:cstheme="minorHAnsi"/>
          <w:color w:val="auto"/>
        </w:rPr>
        <w:t xml:space="preserve"> </w:t>
      </w:r>
      <w:r>
        <w:rPr>
          <w:rFonts w:asciiTheme="minorHAnsi" w:hAnsiTheme="minorHAnsi" w:cstheme="minorHAnsi"/>
          <w:color w:val="auto"/>
        </w:rPr>
        <w:t>Examines the r</w:t>
      </w:r>
      <w:r>
        <w:rPr>
          <w:rFonts w:eastAsia="Times New Roman"/>
        </w:rPr>
        <w:t>esearch we conducted with people with disability to understand their concerns and recommendations.</w:t>
      </w:r>
    </w:p>
    <w:p w14:paraId="007F3DC7" w14:textId="68C526D9" w:rsidR="0087584E" w:rsidRPr="00871656" w:rsidRDefault="0087584E" w:rsidP="00A3769E">
      <w:pPr>
        <w:pStyle w:val="BodyText"/>
        <w:numPr>
          <w:ilvl w:val="0"/>
          <w:numId w:val="6"/>
        </w:numPr>
        <w:rPr>
          <w:rFonts w:asciiTheme="minorHAnsi" w:hAnsiTheme="minorHAnsi" w:cstheme="minorHAnsi"/>
          <w:color w:val="auto"/>
        </w:rPr>
      </w:pPr>
      <w:r w:rsidRPr="00871656">
        <w:rPr>
          <w:rFonts w:asciiTheme="minorHAnsi" w:hAnsiTheme="minorHAnsi" w:cstheme="minorHAnsi"/>
          <w:color w:val="auto"/>
        </w:rPr>
        <w:t xml:space="preserve">Part </w:t>
      </w:r>
      <w:r>
        <w:rPr>
          <w:rFonts w:asciiTheme="minorHAnsi" w:hAnsiTheme="minorHAnsi" w:cstheme="minorHAnsi"/>
          <w:color w:val="auto"/>
        </w:rPr>
        <w:t>2</w:t>
      </w:r>
      <w:r w:rsidRPr="00871656">
        <w:rPr>
          <w:rFonts w:asciiTheme="minorHAnsi" w:hAnsiTheme="minorHAnsi" w:cstheme="minorHAnsi"/>
          <w:color w:val="auto"/>
        </w:rPr>
        <w:t xml:space="preserve"> </w:t>
      </w:r>
      <w:r>
        <w:rPr>
          <w:rFonts w:asciiTheme="minorHAnsi" w:hAnsiTheme="minorHAnsi" w:cstheme="minorHAnsi"/>
          <w:color w:val="auto"/>
        </w:rPr>
        <w:t>Addresses each of the seven questions we were asked to address, informed by our research from Part 1</w:t>
      </w:r>
    </w:p>
    <w:p w14:paraId="2C719FA2" w14:textId="398FCEDF" w:rsidR="0087584E" w:rsidRPr="00871656" w:rsidRDefault="0087584E" w:rsidP="00A3769E">
      <w:pPr>
        <w:pStyle w:val="BodyText"/>
        <w:numPr>
          <w:ilvl w:val="0"/>
          <w:numId w:val="6"/>
        </w:numPr>
        <w:rPr>
          <w:rFonts w:asciiTheme="minorHAnsi" w:hAnsiTheme="minorHAnsi" w:cstheme="minorHAnsi"/>
          <w:color w:val="auto"/>
        </w:rPr>
      </w:pPr>
      <w:r w:rsidRPr="00871656">
        <w:rPr>
          <w:rFonts w:asciiTheme="minorHAnsi" w:hAnsiTheme="minorHAnsi" w:cstheme="minorHAnsi"/>
          <w:color w:val="auto"/>
        </w:rPr>
        <w:t xml:space="preserve">Part </w:t>
      </w:r>
      <w:r>
        <w:rPr>
          <w:rFonts w:asciiTheme="minorHAnsi" w:hAnsiTheme="minorHAnsi" w:cstheme="minorHAnsi"/>
          <w:color w:val="auto"/>
        </w:rPr>
        <w:t>3</w:t>
      </w:r>
      <w:r w:rsidRPr="00871656">
        <w:rPr>
          <w:rFonts w:asciiTheme="minorHAnsi" w:hAnsiTheme="minorHAnsi" w:cstheme="minorHAnsi"/>
          <w:color w:val="auto"/>
        </w:rPr>
        <w:t xml:space="preserve"> </w:t>
      </w:r>
      <w:r>
        <w:rPr>
          <w:rFonts w:asciiTheme="minorHAnsi" w:hAnsiTheme="minorHAnsi" w:cstheme="minorHAnsi"/>
          <w:color w:val="auto"/>
        </w:rPr>
        <w:t>Conclusion</w:t>
      </w:r>
    </w:p>
    <w:p w14:paraId="50219A38" w14:textId="77777777" w:rsidR="0087584E" w:rsidRDefault="0087584E" w:rsidP="00BD6CCE">
      <w:pPr>
        <w:pStyle w:val="BodyText"/>
      </w:pPr>
    </w:p>
    <w:p w14:paraId="23D74E0E" w14:textId="77777777" w:rsidR="0087584E" w:rsidRDefault="0087584E" w:rsidP="00BD6CCE">
      <w:pPr>
        <w:pStyle w:val="BodyText"/>
      </w:pPr>
    </w:p>
    <w:p w14:paraId="6CDFBACF" w14:textId="77777777" w:rsidR="0087584E" w:rsidRDefault="0087584E" w:rsidP="00BD6CCE">
      <w:pPr>
        <w:pStyle w:val="BodyText"/>
      </w:pPr>
    </w:p>
    <w:p w14:paraId="6F0CF098" w14:textId="77777777" w:rsidR="0087584E" w:rsidRDefault="0087584E" w:rsidP="00BD6CCE">
      <w:pPr>
        <w:pStyle w:val="BodyText"/>
      </w:pPr>
    </w:p>
    <w:p w14:paraId="05215891" w14:textId="77777777" w:rsidR="0087584E" w:rsidRDefault="0087584E">
      <w:pPr>
        <w:spacing w:before="0" w:after="120" w:line="280" w:lineRule="atLeast"/>
        <w:rPr>
          <w:rFonts w:ascii="VAG Rounded" w:eastAsia="Times New Roman" w:hAnsi="VAG Rounded" w:cs="Times New Roman"/>
          <w:b/>
          <w:color w:val="005496"/>
          <w:sz w:val="52"/>
          <w:szCs w:val="26"/>
        </w:rPr>
      </w:pPr>
      <w:r>
        <w:br w:type="page"/>
      </w:r>
    </w:p>
    <w:p w14:paraId="0E934F84" w14:textId="13F6FBAA" w:rsidR="0087584E" w:rsidRDefault="0087584E" w:rsidP="009D698C">
      <w:pPr>
        <w:pStyle w:val="Heading2"/>
      </w:pPr>
      <w:bookmarkStart w:id="57" w:name="_Toc209446752"/>
      <w:r>
        <w:lastRenderedPageBreak/>
        <w:t>Executive Summary</w:t>
      </w:r>
      <w:bookmarkEnd w:id="57"/>
    </w:p>
    <w:p w14:paraId="3827C74A" w14:textId="43E8860C" w:rsidR="0087584E" w:rsidRDefault="0087584E" w:rsidP="00BD6CCE">
      <w:pPr>
        <w:pStyle w:val="BodyText"/>
      </w:pPr>
      <w:r>
        <w:t>This submission and its recommendations have been underpinned by survey research that PWDA conducted with people with disability. Respondents shared their lived experiences of skilled, kind, accessible, holistic healthcare where they felt listened to, respected, and their adjustment needs were met.</w:t>
      </w:r>
    </w:p>
    <w:p w14:paraId="6D232918" w14:textId="62D5A76F" w:rsidR="0087584E" w:rsidRDefault="0087584E" w:rsidP="009D698C">
      <w:pPr>
        <w:pStyle w:val="BodyText"/>
      </w:pPr>
      <w:r>
        <w:t>They also shared their experience of the many barriers to good healthcare, whether these were financial, a lack of knowledge on the part of healthcare staff about disability, poor communication, physical inaccessibility, a lack of communication or other adjustments, or poor integration with other health services or the care and support services the person needed.</w:t>
      </w:r>
      <w:bookmarkStart w:id="58" w:name="_Hlk138314465"/>
    </w:p>
    <w:p w14:paraId="461DA4A6" w14:textId="0326AB15" w:rsidR="0087584E" w:rsidRDefault="0087584E" w:rsidP="009D698C">
      <w:pPr>
        <w:pStyle w:val="BodyText"/>
      </w:pPr>
      <w:r>
        <w:t xml:space="preserve">We have provided recommendations to address the issues raised by respondents, as well as the questions asked </w:t>
      </w:r>
      <w:proofErr w:type="gramStart"/>
      <w:r>
        <w:t>of</w:t>
      </w:r>
      <w:proofErr w:type="gramEnd"/>
      <w:r>
        <w:t xml:space="preserve"> those preparing submissions. This is important because the second edition of the National Safety and Quality Healthcare Service (NSQHS) Standards did not address the needs or concerns of people with disability in a detailed or meaningful way. </w:t>
      </w:r>
    </w:p>
    <w:p w14:paraId="7448F4CF" w14:textId="77777777" w:rsidR="0087584E" w:rsidRDefault="0087584E" w:rsidP="009D698C">
      <w:pPr>
        <w:pStyle w:val="BodyText"/>
      </w:pPr>
      <w:r>
        <w:t xml:space="preserve">People with disability face great disadvantage in health outcomes, compared with non-disabled people. PWDA wants to ensure that the NSQHS third edition includes requirements to change so that people with </w:t>
      </w:r>
      <w:proofErr w:type="gramStart"/>
      <w:r>
        <w:t>disability</w:t>
      </w:r>
      <w:proofErr w:type="gramEnd"/>
      <w:r>
        <w:t xml:space="preserve"> receive accessible, inclusive, equitable health care that meets their needs.</w:t>
      </w:r>
    </w:p>
    <w:p w14:paraId="2D22DCC4" w14:textId="008D0E2B" w:rsidR="0087584E" w:rsidRPr="009D698C" w:rsidRDefault="0087584E" w:rsidP="009D698C">
      <w:pPr>
        <w:pStyle w:val="BodyText"/>
      </w:pPr>
      <w:r>
        <w:br w:type="page"/>
      </w:r>
    </w:p>
    <w:p w14:paraId="027A7F71" w14:textId="6B6C19B3" w:rsidR="0087584E" w:rsidRDefault="0087584E" w:rsidP="00AC3B6D">
      <w:pPr>
        <w:pStyle w:val="Heading1"/>
      </w:pPr>
      <w:bookmarkStart w:id="59" w:name="_Toc209446753"/>
      <w:r>
        <w:lastRenderedPageBreak/>
        <w:t>Summary of Recommendations</w:t>
      </w:r>
      <w:bookmarkEnd w:id="59"/>
    </w:p>
    <w:p w14:paraId="0E1222D2" w14:textId="35E46484" w:rsidR="0087584E" w:rsidRDefault="0087584E" w:rsidP="00642D70">
      <w:pPr>
        <w:pStyle w:val="Heading3"/>
      </w:pPr>
      <w:bookmarkStart w:id="60" w:name="_Toc209446754"/>
      <w:r>
        <w:t>Part 1 Research with people with disability</w:t>
      </w:r>
      <w:bookmarkEnd w:id="60"/>
    </w:p>
    <w:p w14:paraId="2088418C" w14:textId="6ACC151F" w:rsidR="0087584E" w:rsidRDefault="0087584E" w:rsidP="00925F34">
      <w:pPr>
        <w:pStyle w:val="BodyText"/>
      </w:pPr>
      <w:bookmarkStart w:id="61" w:name="_Toc146877518"/>
      <w:r w:rsidRPr="007636E7">
        <w:rPr>
          <w:b/>
          <w:bCs/>
        </w:rPr>
        <w:t>Recommendation 1</w:t>
      </w:r>
      <w:r>
        <w:t xml:space="preserve"> Require all hospitals to enable patients or their carers to report, and if necessary, escalate, critical safety concerns. </w:t>
      </w:r>
    </w:p>
    <w:p w14:paraId="264765DD" w14:textId="2E7D45D2" w:rsidR="0087584E" w:rsidRDefault="0087584E" w:rsidP="00925F34">
      <w:pPr>
        <w:pStyle w:val="BodyText"/>
      </w:pPr>
      <w:r w:rsidRPr="007636E7">
        <w:rPr>
          <w:b/>
          <w:bCs/>
        </w:rPr>
        <w:t>Recommendation 2</w:t>
      </w:r>
      <w:r>
        <w:t xml:space="preserve"> Require all hospitals to appoint Disability Liaison Officers and empower them to plan for and authorize the adjustments people need.</w:t>
      </w:r>
    </w:p>
    <w:p w14:paraId="1C1B8623" w14:textId="03C41E4E" w:rsidR="0087584E" w:rsidRDefault="0087584E" w:rsidP="00925F34">
      <w:pPr>
        <w:pStyle w:val="BodyText"/>
      </w:pPr>
      <w:r w:rsidRPr="007636E7">
        <w:rPr>
          <w:b/>
          <w:bCs/>
        </w:rPr>
        <w:t>Recommendation 3</w:t>
      </w:r>
      <w:r>
        <w:t xml:space="preserve"> Require all hospitals to gather patient feedback, outcomes, identify and act on issues to improve healthcare quality and safety for people with disability, and report on this annually.</w:t>
      </w:r>
    </w:p>
    <w:p w14:paraId="66F59EB1" w14:textId="632AFFF4" w:rsidR="0087584E" w:rsidRDefault="0087584E" w:rsidP="00925F34">
      <w:pPr>
        <w:pStyle w:val="BodyText"/>
      </w:pPr>
      <w:r w:rsidRPr="007636E7">
        <w:rPr>
          <w:b/>
          <w:bCs/>
        </w:rPr>
        <w:t>Recommendation 4</w:t>
      </w:r>
      <w:r>
        <w:t xml:space="preserve"> Require all hospitals to appoint a co-design group that includes people with lived experience of different disabilities, to examine all aspects of patient care and recommend reforms.</w:t>
      </w:r>
    </w:p>
    <w:p w14:paraId="77D5CC0E" w14:textId="77777777" w:rsidR="0087584E" w:rsidRDefault="0087584E" w:rsidP="00925F34">
      <w:r w:rsidRPr="007636E7">
        <w:rPr>
          <w:b/>
          <w:bCs/>
        </w:rPr>
        <w:t>Recommendation 5</w:t>
      </w:r>
      <w:r>
        <w:t xml:space="preserve"> Require all health staff to undergo disability awareness training appropriate to their roles, facilitated by a person with lived experience of disability</w:t>
      </w:r>
    </w:p>
    <w:p w14:paraId="60023A88" w14:textId="540CAB34" w:rsidR="0087584E" w:rsidRPr="00DB49B1" w:rsidRDefault="0087584E" w:rsidP="00925F34">
      <w:r w:rsidRPr="007636E7">
        <w:rPr>
          <w:b/>
          <w:bCs/>
        </w:rPr>
        <w:t>Recommendation 6</w:t>
      </w:r>
      <w:r>
        <w:t xml:space="preserve"> Require all hospitals to provide accessible communication formats for all patients.</w:t>
      </w:r>
    </w:p>
    <w:p w14:paraId="10A4508E" w14:textId="77777777" w:rsidR="0087584E" w:rsidRDefault="0087584E" w:rsidP="00925F34">
      <w:r w:rsidRPr="007636E7">
        <w:rPr>
          <w:b/>
          <w:bCs/>
        </w:rPr>
        <w:t xml:space="preserve">Recommendation </w:t>
      </w:r>
      <w:r>
        <w:rPr>
          <w:b/>
          <w:bCs/>
        </w:rPr>
        <w:t>7</w:t>
      </w:r>
      <w:r>
        <w:t xml:space="preserve"> In addition to requiring all General Practitioners to complete training recommended above, fund the development of a Continuing Professional Development (CPD) resource library and work with Disability Representative Organisations and people with disability to develop training resources on different health and accessibility topics.</w:t>
      </w:r>
    </w:p>
    <w:p w14:paraId="0AB30260" w14:textId="77777777" w:rsidR="0087584E" w:rsidRDefault="0087584E" w:rsidP="00925F34">
      <w:r w:rsidRPr="007636E7">
        <w:rPr>
          <w:b/>
          <w:bCs/>
        </w:rPr>
        <w:t xml:space="preserve">Recommendation </w:t>
      </w:r>
      <w:r>
        <w:rPr>
          <w:b/>
          <w:bCs/>
        </w:rPr>
        <w:t>8</w:t>
      </w:r>
      <w:r>
        <w:t xml:space="preserve"> Undertake mapping of places where healthcare is inaccessible or absent, require annual reporting against how these inequities are being addressed.</w:t>
      </w:r>
    </w:p>
    <w:p w14:paraId="106EC57D" w14:textId="475503D0" w:rsidR="0087584E" w:rsidRPr="007E4A10" w:rsidRDefault="0087584E" w:rsidP="00925F34">
      <w:r w:rsidRPr="007636E7">
        <w:rPr>
          <w:b/>
          <w:bCs/>
        </w:rPr>
        <w:t xml:space="preserve">Recommendation </w:t>
      </w:r>
      <w:r>
        <w:rPr>
          <w:b/>
          <w:bCs/>
        </w:rPr>
        <w:t xml:space="preserve">9 </w:t>
      </w:r>
      <w:r>
        <w:t>Work with health professionals and their associations to expand access to bulk billing, especially in rural, regional and lower income areas.</w:t>
      </w:r>
    </w:p>
    <w:p w14:paraId="3664DE6A" w14:textId="7E13FAC0" w:rsidR="0087584E" w:rsidRDefault="0087584E" w:rsidP="00DF098A">
      <w:pPr>
        <w:pStyle w:val="BodyText"/>
      </w:pPr>
      <w:r w:rsidRPr="00E06F82">
        <w:rPr>
          <w:b/>
          <w:bCs/>
        </w:rPr>
        <w:lastRenderedPageBreak/>
        <w:t>Recommendation 10</w:t>
      </w:r>
      <w:r>
        <w:t xml:space="preserve"> In addition to expanding </w:t>
      </w:r>
      <w:r w:rsidR="00D76F64">
        <w:t xml:space="preserve">bulk billing, </w:t>
      </w:r>
      <w:proofErr w:type="gramStart"/>
      <w:r>
        <w:t>similar</w:t>
      </w:r>
      <w:r w:rsidR="00D76F64">
        <w:rPr>
          <w:rStyle w:val="CommentReference"/>
          <w:rFonts w:asciiTheme="minorHAnsi" w:eastAsiaTheme="minorHAnsi" w:hAnsiTheme="minorHAnsi" w:cstheme="minorBidi"/>
          <w:color w:val="auto"/>
          <w:lang w:val="en-AU"/>
        </w:rPr>
        <w:t xml:space="preserve"> </w:t>
      </w:r>
      <w:r>
        <w:t>to</w:t>
      </w:r>
      <w:proofErr w:type="gramEnd"/>
      <w:r>
        <w:t xml:space="preserve"> general practice, </w:t>
      </w:r>
      <w:proofErr w:type="gramStart"/>
      <w:r>
        <w:t>require</w:t>
      </w:r>
      <w:proofErr w:type="gramEnd"/>
      <w:r>
        <w:t xml:space="preserve"> the publication of waitlists and gap fees wherever these exist.</w:t>
      </w:r>
    </w:p>
    <w:p w14:paraId="1AD8E167" w14:textId="2E3225CF" w:rsidR="0087584E" w:rsidRDefault="0087584E" w:rsidP="00DF098A">
      <w:pPr>
        <w:pStyle w:val="BodyText"/>
      </w:pPr>
      <w:r w:rsidRPr="003C1208">
        <w:rPr>
          <w:b/>
          <w:bCs/>
        </w:rPr>
        <w:t>Recommendation 11</w:t>
      </w:r>
      <w:r>
        <w:t xml:space="preserve"> Require mental healthcare facilities to form an advisory board of people with lived experience of different disabilities and service use, to examine all aspects of patient care and recommend reforms.</w:t>
      </w:r>
    </w:p>
    <w:p w14:paraId="0D4BF434" w14:textId="4648AF79" w:rsidR="0087584E" w:rsidRDefault="0087584E" w:rsidP="00DF098A">
      <w:pPr>
        <w:pStyle w:val="BodyText"/>
      </w:pPr>
      <w:r w:rsidRPr="003C1208">
        <w:rPr>
          <w:b/>
          <w:bCs/>
        </w:rPr>
        <w:t>Recommendation 1</w:t>
      </w:r>
      <w:r>
        <w:rPr>
          <w:b/>
          <w:bCs/>
        </w:rPr>
        <w:t xml:space="preserve">2 </w:t>
      </w:r>
      <w:r>
        <w:t xml:space="preserve">Require mental health professionals to undertake the training at recommendation 5, </w:t>
      </w:r>
      <w:proofErr w:type="gramStart"/>
      <w:r>
        <w:t>and also</w:t>
      </w:r>
      <w:proofErr w:type="gramEnd"/>
      <w:r>
        <w:t xml:space="preserve"> training related to intersectional and disability specific issues with mental healthcare.</w:t>
      </w:r>
    </w:p>
    <w:p w14:paraId="1DF38E5A" w14:textId="61AF637B" w:rsidR="0087584E" w:rsidRDefault="0087584E" w:rsidP="00642D70">
      <w:pPr>
        <w:spacing w:before="0" w:after="5"/>
        <w:contextualSpacing/>
        <w:rPr>
          <w:b/>
          <w:bCs/>
        </w:rPr>
      </w:pPr>
    </w:p>
    <w:p w14:paraId="7217AE05" w14:textId="77777777" w:rsidR="0087584E" w:rsidRPr="00642D70" w:rsidRDefault="0087584E" w:rsidP="00642D70">
      <w:pPr>
        <w:spacing w:before="0" w:after="5"/>
        <w:contextualSpacing/>
        <w:rPr>
          <w:b/>
          <w:bCs/>
        </w:rPr>
      </w:pPr>
    </w:p>
    <w:p w14:paraId="6C9B259B" w14:textId="7C2F8657" w:rsidR="0087584E" w:rsidRDefault="0087584E" w:rsidP="004C1B24">
      <w:pPr>
        <w:pStyle w:val="Heading3"/>
      </w:pPr>
      <w:bookmarkStart w:id="62" w:name="_Toc209446755"/>
      <w:bookmarkEnd w:id="61"/>
      <w:r>
        <w:t>Part 2 Addressing submission questions</w:t>
      </w:r>
      <w:bookmarkEnd w:id="62"/>
    </w:p>
    <w:p w14:paraId="1ECC1BD9" w14:textId="66773D6D" w:rsidR="0087584E" w:rsidRDefault="0087584E" w:rsidP="00DF098A">
      <w:pPr>
        <w:pStyle w:val="BodyText"/>
      </w:pPr>
      <w:bookmarkStart w:id="63" w:name="_Toc146877519"/>
      <w:r w:rsidRPr="00D45DB7">
        <w:rPr>
          <w:b/>
          <w:bCs/>
        </w:rPr>
        <w:t>Recommendation</w:t>
      </w:r>
      <w:r>
        <w:rPr>
          <w:b/>
          <w:bCs/>
        </w:rPr>
        <w:t xml:space="preserve"> 13 </w:t>
      </w:r>
      <w:r>
        <w:t>R</w:t>
      </w:r>
      <w:r w:rsidRPr="00B6084D">
        <w:t>equire</w:t>
      </w:r>
      <w:r>
        <w:t xml:space="preserve"> that a capacity audit be undertaken, and map created of under-served areas in terms of general practice, specialist care and hospital services</w:t>
      </w:r>
    </w:p>
    <w:p w14:paraId="17551B3E" w14:textId="77777777" w:rsidR="0087584E" w:rsidRDefault="0087584E" w:rsidP="00DF098A">
      <w:pPr>
        <w:pStyle w:val="BodyText"/>
      </w:pPr>
      <w:r w:rsidRPr="00D45DB7">
        <w:rPr>
          <w:b/>
          <w:bCs/>
        </w:rPr>
        <w:t>Recommendation</w:t>
      </w:r>
      <w:r>
        <w:t xml:space="preserve"> </w:t>
      </w:r>
      <w:r w:rsidRPr="003537EF">
        <w:rPr>
          <w:b/>
          <w:bCs/>
        </w:rPr>
        <w:t>14</w:t>
      </w:r>
      <w:r>
        <w:t xml:space="preserve"> Require annual reporting of the actions taken to improve health services in areas identified under the capacity audit</w:t>
      </w:r>
    </w:p>
    <w:p w14:paraId="3702D0F9" w14:textId="77777777" w:rsidR="0087584E" w:rsidRDefault="0087584E" w:rsidP="00DF098A">
      <w:pPr>
        <w:pStyle w:val="BodyText"/>
      </w:pPr>
      <w:r w:rsidRPr="00D45DB7">
        <w:rPr>
          <w:b/>
          <w:bCs/>
        </w:rPr>
        <w:t>Recommendation</w:t>
      </w:r>
      <w:r>
        <w:rPr>
          <w:b/>
          <w:bCs/>
        </w:rPr>
        <w:t xml:space="preserve"> 15</w:t>
      </w:r>
      <w:r>
        <w:t xml:space="preserve"> Co-design disability awareness training for health professionals with </w:t>
      </w:r>
      <w:proofErr w:type="gramStart"/>
      <w:r>
        <w:t>disability</w:t>
      </w:r>
      <w:proofErr w:type="gramEnd"/>
      <w:r>
        <w:t xml:space="preserve"> and require rollout, the implementation of performance measures and reporting</w:t>
      </w:r>
    </w:p>
    <w:p w14:paraId="393280DF" w14:textId="262053DA" w:rsidR="0087584E" w:rsidRDefault="0087584E" w:rsidP="00DF098A">
      <w:r w:rsidRPr="00C03A51">
        <w:rPr>
          <w:b/>
          <w:bCs/>
        </w:rPr>
        <w:t>Recommendation</w:t>
      </w:r>
      <w:r>
        <w:t xml:space="preserve"> </w:t>
      </w:r>
      <w:r w:rsidRPr="00136491">
        <w:rPr>
          <w:b/>
          <w:bCs/>
        </w:rPr>
        <w:t>16</w:t>
      </w:r>
      <w:r>
        <w:t xml:space="preserve"> Develop and implement communication tools and processes that promote service integration.</w:t>
      </w:r>
    </w:p>
    <w:p w14:paraId="745FC6D9" w14:textId="77777777" w:rsidR="0087584E" w:rsidRDefault="0087584E" w:rsidP="00402E7F">
      <w:pPr>
        <w:pStyle w:val="BodyText"/>
        <w:spacing w:before="120" w:after="120"/>
        <w:rPr>
          <w:lang w:val="en-AU"/>
        </w:rPr>
      </w:pPr>
      <w:r w:rsidRPr="00C03A51">
        <w:rPr>
          <w:b/>
          <w:bCs/>
          <w:lang w:val="en-AU"/>
        </w:rPr>
        <w:t>Recommendation</w:t>
      </w:r>
      <w:r>
        <w:rPr>
          <w:lang w:val="en-AU"/>
        </w:rPr>
        <w:t xml:space="preserve"> </w:t>
      </w:r>
      <w:r w:rsidRPr="005B0483">
        <w:rPr>
          <w:b/>
          <w:bCs/>
          <w:lang w:val="en-AU"/>
        </w:rPr>
        <w:t>17</w:t>
      </w:r>
      <w:r>
        <w:rPr>
          <w:lang w:val="en-AU"/>
        </w:rPr>
        <w:t xml:space="preserve"> Co-design care with patients and create accountability for prompt and effective care</w:t>
      </w:r>
    </w:p>
    <w:p w14:paraId="195C7223" w14:textId="77777777" w:rsidR="0087584E" w:rsidRPr="00D82540" w:rsidRDefault="0087584E" w:rsidP="00402E7F">
      <w:pPr>
        <w:pStyle w:val="BodyText"/>
        <w:spacing w:before="120" w:after="120"/>
        <w:rPr>
          <w:lang w:val="en-AU"/>
        </w:rPr>
      </w:pPr>
      <w:r w:rsidRPr="00F2193F">
        <w:rPr>
          <w:b/>
          <w:bCs/>
          <w:lang w:val="en-AU"/>
        </w:rPr>
        <w:t>Recommendation</w:t>
      </w:r>
      <w:r>
        <w:rPr>
          <w:lang w:val="en-AU"/>
        </w:rPr>
        <w:t xml:space="preserve"> </w:t>
      </w:r>
      <w:r w:rsidRPr="005B0483">
        <w:rPr>
          <w:b/>
          <w:bCs/>
          <w:lang w:val="en-AU"/>
        </w:rPr>
        <w:t>18</w:t>
      </w:r>
      <w:r>
        <w:rPr>
          <w:lang w:val="en-AU"/>
        </w:rPr>
        <w:t xml:space="preserve"> Follow nutrition research to provide high energy meals, appropriate diets and assistance to eat and drink for patients who need it</w:t>
      </w:r>
    </w:p>
    <w:p w14:paraId="0A937392" w14:textId="77777777" w:rsidR="0087584E" w:rsidRDefault="0087584E" w:rsidP="00402E7F">
      <w:pPr>
        <w:pStyle w:val="BodyText"/>
        <w:spacing w:before="120" w:after="120"/>
        <w:rPr>
          <w:lang w:val="en-AU"/>
        </w:rPr>
      </w:pPr>
      <w:r w:rsidRPr="00E339F0">
        <w:rPr>
          <w:b/>
          <w:bCs/>
          <w:lang w:val="en-AU"/>
        </w:rPr>
        <w:t>Recommendation</w:t>
      </w:r>
      <w:r>
        <w:rPr>
          <w:lang w:val="en-AU"/>
        </w:rPr>
        <w:t xml:space="preserve"> </w:t>
      </w:r>
      <w:r w:rsidRPr="005B0483">
        <w:rPr>
          <w:b/>
          <w:bCs/>
          <w:lang w:val="en-AU"/>
        </w:rPr>
        <w:t>19</w:t>
      </w:r>
      <w:r>
        <w:rPr>
          <w:lang w:val="en-AU"/>
        </w:rPr>
        <w:t xml:space="preserve"> Establish an anonymous complaints line and web portal to avoid repercussions and enable photographs to be shared</w:t>
      </w:r>
    </w:p>
    <w:p w14:paraId="55C56D1F" w14:textId="77777777" w:rsidR="0087584E" w:rsidRDefault="0087584E" w:rsidP="00402E7F">
      <w:pPr>
        <w:pStyle w:val="BodyText"/>
        <w:spacing w:before="120" w:after="120"/>
        <w:rPr>
          <w:lang w:val="en-AU"/>
        </w:rPr>
      </w:pPr>
      <w:r w:rsidRPr="00D347BE">
        <w:rPr>
          <w:b/>
          <w:bCs/>
          <w:lang w:val="en-AU"/>
        </w:rPr>
        <w:lastRenderedPageBreak/>
        <w:t>Recommendation</w:t>
      </w:r>
      <w:r>
        <w:rPr>
          <w:lang w:val="en-AU"/>
        </w:rPr>
        <w:t xml:space="preserve"> </w:t>
      </w:r>
      <w:r w:rsidRPr="005B0483">
        <w:rPr>
          <w:b/>
          <w:bCs/>
          <w:lang w:val="en-AU"/>
        </w:rPr>
        <w:t>20</w:t>
      </w:r>
      <w:r>
        <w:rPr>
          <w:lang w:val="en-AU"/>
        </w:rPr>
        <w:t xml:space="preserve"> Require all healthcare facilities and providers to meet quality standards</w:t>
      </w:r>
    </w:p>
    <w:p w14:paraId="11F82A3D" w14:textId="77777777" w:rsidR="0087584E" w:rsidRDefault="0087584E" w:rsidP="00402E7F">
      <w:pPr>
        <w:pStyle w:val="BodyText"/>
        <w:spacing w:before="120" w:after="120"/>
        <w:rPr>
          <w:lang w:val="en-AU"/>
        </w:rPr>
      </w:pPr>
      <w:r w:rsidRPr="00D347BE">
        <w:rPr>
          <w:b/>
          <w:bCs/>
          <w:lang w:val="en-AU"/>
        </w:rPr>
        <w:t>Recommendation</w:t>
      </w:r>
      <w:r>
        <w:rPr>
          <w:lang w:val="en-AU"/>
        </w:rPr>
        <w:t xml:space="preserve"> </w:t>
      </w:r>
      <w:r w:rsidRPr="003215B4">
        <w:rPr>
          <w:b/>
          <w:bCs/>
          <w:lang w:val="en-AU"/>
        </w:rPr>
        <w:t>21</w:t>
      </w:r>
      <w:r>
        <w:rPr>
          <w:lang w:val="en-AU"/>
        </w:rPr>
        <w:t xml:space="preserve"> Avoid mixed wards and ensure the safety of patients especially people with disability, female and gender diverse people </w:t>
      </w:r>
    </w:p>
    <w:bookmarkEnd w:id="58"/>
    <w:bookmarkEnd w:id="63"/>
    <w:p w14:paraId="19ED2C8D" w14:textId="585FDC1A" w:rsidR="0087584E" w:rsidRDefault="0087584E" w:rsidP="00FC3D46">
      <w:pPr>
        <w:spacing w:before="0" w:after="5"/>
        <w:contextualSpacing/>
        <w:rPr>
          <w:rFonts w:ascii="VAG Rounded" w:eastAsia="Times New Roman" w:hAnsi="VAG Rounded" w:cs="Times New Roman"/>
          <w:b/>
          <w:color w:val="005496"/>
          <w:sz w:val="52"/>
          <w:szCs w:val="26"/>
        </w:rPr>
      </w:pPr>
    </w:p>
    <w:p w14:paraId="6911A082" w14:textId="77777777" w:rsidR="0087584E" w:rsidRDefault="0087584E">
      <w:pPr>
        <w:spacing w:before="0" w:after="120" w:line="280" w:lineRule="atLeast"/>
        <w:rPr>
          <w:rFonts w:ascii="VAG Rounded" w:eastAsia="Times New Roman" w:hAnsi="VAG Rounded" w:cstheme="majorBidi"/>
          <w:b/>
          <w:color w:val="005496" w:themeColor="text2"/>
          <w:spacing w:val="14"/>
          <w:sz w:val="56"/>
          <w:szCs w:val="32"/>
        </w:rPr>
      </w:pPr>
      <w:r>
        <w:rPr>
          <w:rFonts w:eastAsia="Times New Roman"/>
        </w:rPr>
        <w:br w:type="page"/>
      </w:r>
    </w:p>
    <w:p w14:paraId="490CF470" w14:textId="761A468E" w:rsidR="0087584E" w:rsidRDefault="0087584E" w:rsidP="00510568">
      <w:pPr>
        <w:pStyle w:val="Heading1"/>
        <w:rPr>
          <w:rFonts w:eastAsia="Times New Roman"/>
        </w:rPr>
      </w:pPr>
      <w:bookmarkStart w:id="64" w:name="_Toc209446756"/>
      <w:r>
        <w:rPr>
          <w:rFonts w:eastAsia="Times New Roman"/>
        </w:rPr>
        <w:lastRenderedPageBreak/>
        <w:t>Part 1- Research with people with disability</w:t>
      </w:r>
      <w:bookmarkEnd w:id="64"/>
    </w:p>
    <w:p w14:paraId="36DFE97A" w14:textId="77777777" w:rsidR="0087584E" w:rsidRDefault="0087584E" w:rsidP="00FD2A5D">
      <w:r>
        <w:t>People with disability “</w:t>
      </w:r>
      <w:r w:rsidRPr="008E54D9">
        <w:t>experience large mortality inequalities</w:t>
      </w:r>
      <w:r>
        <w:t>” compared to non-disabled people,</w:t>
      </w:r>
      <w:r>
        <w:rPr>
          <w:rStyle w:val="EndnoteReference"/>
        </w:rPr>
        <w:endnoteReference w:id="7"/>
      </w:r>
      <w:r>
        <w:t xml:space="preserve"> with adults with intellectual disability facing the greatest levels of premature death.</w:t>
      </w:r>
      <w:r>
        <w:rPr>
          <w:rStyle w:val="EndnoteReference"/>
        </w:rPr>
        <w:endnoteReference w:id="8"/>
      </w:r>
      <w:r>
        <w:t xml:space="preserve"> </w:t>
      </w:r>
    </w:p>
    <w:p w14:paraId="7830EAE9" w14:textId="58BF6A61" w:rsidR="0087584E" w:rsidRDefault="0087584E" w:rsidP="00FD2A5D">
      <w:proofErr w:type="gramStart"/>
      <w:r w:rsidRPr="00FD2A5D">
        <w:t>In order to</w:t>
      </w:r>
      <w:proofErr w:type="gramEnd"/>
      <w:r w:rsidRPr="00FD2A5D">
        <w:t xml:space="preserve"> </w:t>
      </w:r>
      <w:r>
        <w:t>understand the obstacles and barriers people with disability face when trying to access the healthcare that could prevent this, PWDA conducted research using a survey. We also provided the option to call our team to access assistance to complete the survey, for anyone who found the online survey inaccessible, and participants were able to skip questions they did not want to answer, or to stop at any time. We explained that answers would be anonymised to protect privacy.</w:t>
      </w:r>
    </w:p>
    <w:p w14:paraId="2586C82F" w14:textId="3819B5F0" w:rsidR="0087584E" w:rsidRDefault="0087584E" w:rsidP="00FD2A5D">
      <w:r>
        <w:t>We called for people with disability, or people who cared for or helped a person with disability to complete the survey, and we asked survey respondents to tell us about themselves, and their experience of:</w:t>
      </w:r>
    </w:p>
    <w:p w14:paraId="1CF5C670" w14:textId="77777777" w:rsidR="0087584E" w:rsidRDefault="0087584E" w:rsidP="00A3769E">
      <w:pPr>
        <w:pStyle w:val="ListParagraph"/>
        <w:numPr>
          <w:ilvl w:val="0"/>
          <w:numId w:val="7"/>
        </w:numPr>
      </w:pPr>
      <w:r>
        <w:t xml:space="preserve">hospital care, </w:t>
      </w:r>
    </w:p>
    <w:p w14:paraId="429C194C" w14:textId="77777777" w:rsidR="0087584E" w:rsidRDefault="0087584E" w:rsidP="00A3769E">
      <w:pPr>
        <w:pStyle w:val="ListParagraph"/>
        <w:numPr>
          <w:ilvl w:val="0"/>
          <w:numId w:val="7"/>
        </w:numPr>
      </w:pPr>
      <w:r>
        <w:t xml:space="preserve">general practice care, </w:t>
      </w:r>
    </w:p>
    <w:p w14:paraId="3A5D50F0" w14:textId="560B6F62" w:rsidR="0087584E" w:rsidRDefault="0087584E" w:rsidP="00A3769E">
      <w:pPr>
        <w:pStyle w:val="ListParagraph"/>
        <w:numPr>
          <w:ilvl w:val="0"/>
          <w:numId w:val="7"/>
        </w:numPr>
      </w:pPr>
      <w:r>
        <w:t>other healthcare- such as specialists, allied healthcare, health screening and diagnostic services,</w:t>
      </w:r>
    </w:p>
    <w:p w14:paraId="733686CB" w14:textId="3CB78DFC" w:rsidR="0087584E" w:rsidRDefault="0087584E" w:rsidP="00031090">
      <w:pPr>
        <w:pStyle w:val="ListParagraph"/>
        <w:numPr>
          <w:ilvl w:val="0"/>
          <w:numId w:val="7"/>
        </w:numPr>
      </w:pPr>
      <w:r>
        <w:t>mental healthcare</w:t>
      </w:r>
    </w:p>
    <w:p w14:paraId="560FA16E" w14:textId="287112EB" w:rsidR="0087584E" w:rsidRDefault="0087584E" w:rsidP="005C73FC">
      <w:pPr>
        <w:pStyle w:val="BodyText"/>
      </w:pPr>
      <w:r>
        <w:t>Demographic and yes/no answers have been described numerically. We asked open-ended questions so that people could describe their experiences of care, what worked well, what did not, and how they think things should change. The responses were analyzed, grouped thematically, the numbers recorded, with some answers touching on more than one theme.</w:t>
      </w:r>
    </w:p>
    <w:p w14:paraId="36E56D69" w14:textId="2586069E" w:rsidR="0087584E" w:rsidRDefault="0087584E" w:rsidP="00760125">
      <w:pPr>
        <w:pStyle w:val="Heading2"/>
      </w:pPr>
      <w:bookmarkStart w:id="65" w:name="_Toc209446757"/>
      <w:r>
        <w:lastRenderedPageBreak/>
        <w:t>About survey participants</w:t>
      </w:r>
      <w:bookmarkEnd w:id="65"/>
    </w:p>
    <w:p w14:paraId="607CB1E8" w14:textId="7F232B44" w:rsidR="0087584E" w:rsidRDefault="0087584E" w:rsidP="00FD2A5D">
      <w:r w:rsidRPr="003C0210">
        <w:t>269 people completed the survey, and 89% identified</w:t>
      </w:r>
      <w:r>
        <w:t xml:space="preserve"> that they have a disability. Across participants there was a representative demographic spread of genders, ethnicity, adults, rural and regional participants and older persons. Younger people under 25 were not well represented, </w:t>
      </w:r>
      <w:r w:rsidRPr="00487ED6">
        <w:t>but 39% of people completing the survey identified that they care for a person with disability</w:t>
      </w:r>
      <w:r>
        <w:t xml:space="preserve"> or help them to access healthcare</w:t>
      </w:r>
      <w:r w:rsidRPr="00487ED6">
        <w:t>,</w:t>
      </w:r>
      <w:r>
        <w:t xml:space="preserve"> and the answers clearly reflect that in cases these were the children of that person. The full survey report can be found at </w:t>
      </w:r>
      <w:hyperlink w:anchor="_Appendix_A_-" w:history="1">
        <w:r w:rsidRPr="005051B8">
          <w:rPr>
            <w:rStyle w:val="Hyperlink"/>
          </w:rPr>
          <w:t>Appendix A</w:t>
        </w:r>
      </w:hyperlink>
      <w:r w:rsidRPr="005051B8">
        <w:t>.</w:t>
      </w:r>
    </w:p>
    <w:p w14:paraId="10F12FCA" w14:textId="77777777" w:rsidR="0087584E" w:rsidRDefault="0087584E" w:rsidP="00760125">
      <w:pPr>
        <w:pStyle w:val="Heading2"/>
      </w:pPr>
      <w:bookmarkStart w:id="66" w:name="_Toc209446758"/>
      <w:r>
        <w:t>Hospital Care</w:t>
      </w:r>
      <w:bookmarkEnd w:id="66"/>
    </w:p>
    <w:p w14:paraId="16961679" w14:textId="3D136496" w:rsidR="0087584E" w:rsidRPr="004819B2" w:rsidRDefault="0087584E" w:rsidP="00701C44">
      <w:pPr>
        <w:pStyle w:val="BodyText"/>
      </w:pPr>
      <w:r w:rsidRPr="004819B2">
        <w:t xml:space="preserve">Of the survey participants 71.6% </w:t>
      </w:r>
      <w:proofErr w:type="gramStart"/>
      <w:r w:rsidRPr="004819B2">
        <w:t>had visited</w:t>
      </w:r>
      <w:proofErr w:type="gramEnd"/>
      <w:r w:rsidRPr="004819B2">
        <w:t xml:space="preserve"> hospital within the last 12 months, 90</w:t>
      </w:r>
      <w:proofErr w:type="gramStart"/>
      <w:r w:rsidRPr="004819B2">
        <w:t>%  within</w:t>
      </w:r>
      <w:proofErr w:type="gramEnd"/>
      <w:r w:rsidRPr="004819B2">
        <w:t xml:space="preserve"> the last 2 years, and over one third (36.68%) live in rural or regional areas.</w:t>
      </w:r>
    </w:p>
    <w:p w14:paraId="19F12827" w14:textId="77777777" w:rsidR="0087584E" w:rsidRDefault="0087584E" w:rsidP="00701C44">
      <w:pPr>
        <w:pStyle w:val="BodyText"/>
      </w:pPr>
      <w:r>
        <w:t xml:space="preserve">We asked people to reflect on their hospital experience and tell us what went well. </w:t>
      </w:r>
    </w:p>
    <w:p w14:paraId="54C745BC" w14:textId="52924BFD" w:rsidR="0087584E" w:rsidRDefault="0087584E" w:rsidP="00701C44">
      <w:pPr>
        <w:pStyle w:val="BodyText"/>
      </w:pPr>
      <w:r>
        <w:t xml:space="preserve">Over half of participants gave positive examples. Good treatment outcomes, caring and knowledgeable doctors, </w:t>
      </w:r>
      <w:proofErr w:type="gramStart"/>
      <w:r>
        <w:t>the kindness</w:t>
      </w:r>
      <w:proofErr w:type="gramEnd"/>
      <w:r>
        <w:t xml:space="preserve">, care, and good communication by hospital </w:t>
      </w:r>
      <w:proofErr w:type="gramStart"/>
      <w:r>
        <w:t>staff</w:t>
      </w:r>
      <w:r w:rsidR="00D76F64">
        <w:t>,</w:t>
      </w:r>
      <w:proofErr w:type="gramEnd"/>
      <w:r>
        <w:t xml:space="preserve"> were key themes. Whilst noted less often, specific disability </w:t>
      </w:r>
      <w:proofErr w:type="gramStart"/>
      <w:r>
        <w:t>accommodations were</w:t>
      </w:r>
      <w:proofErr w:type="gramEnd"/>
      <w:r>
        <w:t xml:space="preserve"> mentioned, as well as positive experiences with day surgery, transfers and paramedics.</w:t>
      </w:r>
    </w:p>
    <w:p w14:paraId="7C27B728" w14:textId="4677F850" w:rsidR="0087584E" w:rsidRDefault="0087584E" w:rsidP="00701C44">
      <w:pPr>
        <w:pStyle w:val="BodyText"/>
      </w:pPr>
      <w:r>
        <w:t>Unfortunately, another key theme was respondents who identified that ‘not much’ or nothing went well, with a range of issues identified including:</w:t>
      </w:r>
    </w:p>
    <w:p w14:paraId="6445939A" w14:textId="77777777" w:rsidR="0087584E" w:rsidRPr="00802C8C" w:rsidRDefault="0087584E" w:rsidP="00B10D25">
      <w:pPr>
        <w:numPr>
          <w:ilvl w:val="0"/>
          <w:numId w:val="20"/>
        </w:numPr>
      </w:pPr>
      <w:r w:rsidRPr="00802C8C">
        <w:t>Long emergency department wait times.</w:t>
      </w:r>
    </w:p>
    <w:p w14:paraId="5C3C778D" w14:textId="77777777" w:rsidR="0087584E" w:rsidRPr="00802C8C" w:rsidRDefault="0087584E" w:rsidP="00B10D25">
      <w:pPr>
        <w:numPr>
          <w:ilvl w:val="0"/>
          <w:numId w:val="20"/>
        </w:numPr>
      </w:pPr>
      <w:r w:rsidRPr="00802C8C">
        <w:t>Poor staff understanding of disability needs.</w:t>
      </w:r>
    </w:p>
    <w:p w14:paraId="16C338B0" w14:textId="2E9BDC98" w:rsidR="0087584E" w:rsidRPr="00802C8C" w:rsidRDefault="0087584E" w:rsidP="00B10D25">
      <w:pPr>
        <w:numPr>
          <w:ilvl w:val="0"/>
          <w:numId w:val="20"/>
        </w:numPr>
      </w:pPr>
      <w:r w:rsidRPr="00802C8C">
        <w:t>Instances of dismissal or lack of meaningful care</w:t>
      </w:r>
      <w:r>
        <w:t>.</w:t>
      </w:r>
    </w:p>
    <w:p w14:paraId="727153AC" w14:textId="489DEA3D" w:rsidR="0087584E" w:rsidRPr="00802C8C" w:rsidRDefault="0087584E" w:rsidP="00E166A7">
      <w:pPr>
        <w:numPr>
          <w:ilvl w:val="0"/>
          <w:numId w:val="20"/>
        </w:numPr>
      </w:pPr>
      <w:r w:rsidRPr="00802C8C">
        <w:t>Accessibility challenges (physical environment, communication barriers).</w:t>
      </w:r>
    </w:p>
    <w:p w14:paraId="00A3E78C" w14:textId="77777777" w:rsidR="0087584E" w:rsidRPr="00802C8C" w:rsidRDefault="0087584E" w:rsidP="00B10D25">
      <w:pPr>
        <w:numPr>
          <w:ilvl w:val="0"/>
          <w:numId w:val="20"/>
        </w:numPr>
      </w:pPr>
      <w:r w:rsidRPr="00802C8C">
        <w:t>Issues with hospital transfer between facilities.</w:t>
      </w:r>
    </w:p>
    <w:p w14:paraId="2AF6954A" w14:textId="77777777" w:rsidR="0087584E" w:rsidRDefault="0087584E" w:rsidP="00B10D25">
      <w:pPr>
        <w:numPr>
          <w:ilvl w:val="0"/>
          <w:numId w:val="20"/>
        </w:numPr>
      </w:pPr>
      <w:r w:rsidRPr="00802C8C">
        <w:lastRenderedPageBreak/>
        <w:t>Regional hospital delays, especially around surgery.</w:t>
      </w:r>
    </w:p>
    <w:p w14:paraId="50CA10E6" w14:textId="77777777" w:rsidR="0087584E" w:rsidRPr="00802C8C" w:rsidRDefault="0087584E" w:rsidP="00B10D25">
      <w:pPr>
        <w:numPr>
          <w:ilvl w:val="0"/>
          <w:numId w:val="20"/>
        </w:numPr>
      </w:pPr>
      <w:r>
        <w:t>Staff too overworked or stressed to provide care.</w:t>
      </w:r>
    </w:p>
    <w:p w14:paraId="72F724CD" w14:textId="77777777" w:rsidR="0087584E" w:rsidRDefault="0087584E" w:rsidP="00B10D25">
      <w:pPr>
        <w:numPr>
          <w:ilvl w:val="0"/>
          <w:numId w:val="20"/>
        </w:numPr>
      </w:pPr>
      <w:r w:rsidRPr="00802C8C">
        <w:t>Reliance on private care for better outcomes.</w:t>
      </w:r>
    </w:p>
    <w:p w14:paraId="31C04C29" w14:textId="77777777" w:rsidR="0087584E" w:rsidRDefault="0087584E" w:rsidP="00A81E7A">
      <w:r>
        <w:t xml:space="preserve">We then asked people whether they had any concerns about the care they received at the hospital. </w:t>
      </w:r>
    </w:p>
    <w:p w14:paraId="77BE41EB" w14:textId="77777777" w:rsidR="0087584E" w:rsidRDefault="0087584E" w:rsidP="00A81E7A">
      <w:r>
        <w:t xml:space="preserve">Almost a quarter of people said they had no concerns or the care was good, but many specific issues were identified including: </w:t>
      </w:r>
    </w:p>
    <w:p w14:paraId="479AB8F1" w14:textId="110B7116" w:rsidR="0087584E" w:rsidRDefault="0087584E" w:rsidP="003F478E">
      <w:pPr>
        <w:pStyle w:val="ListParagraph"/>
        <w:numPr>
          <w:ilvl w:val="0"/>
          <w:numId w:val="44"/>
        </w:numPr>
      </w:pPr>
      <w:r>
        <w:t>Long wait times – both in emergency and for call bells to be answered.</w:t>
      </w:r>
    </w:p>
    <w:p w14:paraId="146AB374" w14:textId="1B5FB450" w:rsidR="0087584E" w:rsidRPr="00B330E6" w:rsidRDefault="0087584E" w:rsidP="003F478E">
      <w:pPr>
        <w:pStyle w:val="ListParagraph"/>
        <w:numPr>
          <w:ilvl w:val="0"/>
          <w:numId w:val="44"/>
        </w:numPr>
      </w:pPr>
      <w:r w:rsidRPr="00B330E6">
        <w:t>Poor communication – between departments, with patients and in accessible formats</w:t>
      </w:r>
      <w:r>
        <w:t>.</w:t>
      </w:r>
    </w:p>
    <w:p w14:paraId="4394EDB8" w14:textId="3A757043" w:rsidR="0087584E" w:rsidRDefault="0087584E" w:rsidP="003F478E">
      <w:pPr>
        <w:pStyle w:val="ListParagraph"/>
        <w:numPr>
          <w:ilvl w:val="0"/>
          <w:numId w:val="44"/>
        </w:numPr>
      </w:pPr>
      <w:r w:rsidRPr="00A06FEE">
        <w:t xml:space="preserve">Accessibility and </w:t>
      </w:r>
      <w:proofErr w:type="gramStart"/>
      <w:r w:rsidRPr="00A06FEE">
        <w:t>accommodations</w:t>
      </w:r>
      <w:proofErr w:type="gramEnd"/>
      <w:r w:rsidRPr="00A06FEE">
        <w:t xml:space="preserve"> -</w:t>
      </w:r>
      <w:r>
        <w:t xml:space="preserve"> d</w:t>
      </w:r>
      <w:r w:rsidRPr="00EE0A5E">
        <w:t>enial of personal mobility aids</w:t>
      </w:r>
      <w:r>
        <w:t>, s</w:t>
      </w:r>
      <w:r w:rsidRPr="00EE0A5E">
        <w:t>taff untrained in neurodiversity and disability support</w:t>
      </w:r>
      <w:r>
        <w:t>, discharge without handover or planning for disability support staff, i</w:t>
      </w:r>
      <w:r w:rsidRPr="00EE0A5E">
        <w:t>nadequate adjustments for chronic illness and chemical sensitivities.</w:t>
      </w:r>
    </w:p>
    <w:p w14:paraId="29ACB50A" w14:textId="6F0C9AC1" w:rsidR="0087584E" w:rsidRDefault="0087584E" w:rsidP="003F478E">
      <w:pPr>
        <w:pStyle w:val="ListParagraph"/>
        <w:numPr>
          <w:ilvl w:val="0"/>
          <w:numId w:val="44"/>
        </w:numPr>
      </w:pPr>
      <w:r w:rsidRPr="00885DAB">
        <w:t>Essential care and safety</w:t>
      </w:r>
      <w:r>
        <w:t xml:space="preserve"> - Lack of help with feeding, drinking, toileting, personal hygiene or wound care, no suitable food for patients with dietary restrictions, medication error, loss or delayed dosage, inadequate pain management, safety issues from other patients on mixed wards.</w:t>
      </w:r>
    </w:p>
    <w:p w14:paraId="1387E72F" w14:textId="29BC3DB6" w:rsidR="0087584E" w:rsidRDefault="0087584E" w:rsidP="003F478E">
      <w:pPr>
        <w:pStyle w:val="ListParagraph"/>
        <w:numPr>
          <w:ilvl w:val="0"/>
          <w:numId w:val="44"/>
        </w:numPr>
      </w:pPr>
      <w:r w:rsidRPr="00885DAB">
        <w:t>Infection control concerns</w:t>
      </w:r>
      <w:r>
        <w:t xml:space="preserve"> – Lack </w:t>
      </w:r>
      <w:r w:rsidRPr="00EE0A5E">
        <w:t>of masks or protective measures for people with chronic illness.</w:t>
      </w:r>
    </w:p>
    <w:p w14:paraId="6059BE51" w14:textId="77777777" w:rsidR="0087584E" w:rsidRDefault="0087584E" w:rsidP="00A81E7A"/>
    <w:p w14:paraId="370A5AF5" w14:textId="75084A68" w:rsidR="0087584E" w:rsidRDefault="0087584E" w:rsidP="00A81E7A">
      <w:r>
        <w:t>We then asked people what they thought would make hospital care better. In addition to addressing the issues already raised, respondents called for:</w:t>
      </w:r>
    </w:p>
    <w:p w14:paraId="001FD213" w14:textId="0E4C90E9" w:rsidR="0087584E" w:rsidRDefault="0087584E" w:rsidP="00E82FD8">
      <w:pPr>
        <w:pStyle w:val="BodyText"/>
        <w:numPr>
          <w:ilvl w:val="0"/>
          <w:numId w:val="45"/>
        </w:numPr>
      </w:pPr>
      <w:r w:rsidRPr="00E82FD8">
        <w:lastRenderedPageBreak/>
        <w:t>Staff training and awareness</w:t>
      </w:r>
      <w:r>
        <w:t xml:space="preserve"> - T</w:t>
      </w:r>
      <w:r w:rsidRPr="00C84AC9">
        <w:t>raining in disability support, neurodiversity, sensory needs, and communication</w:t>
      </w:r>
      <w:r>
        <w:t>, and for staff to “listen, care, and understand” disability experiences.</w:t>
      </w:r>
    </w:p>
    <w:p w14:paraId="5CB5F56F" w14:textId="1C5F47A7" w:rsidR="0087584E" w:rsidRDefault="0087584E" w:rsidP="00E82FD8">
      <w:pPr>
        <w:pStyle w:val="BodyText"/>
        <w:numPr>
          <w:ilvl w:val="0"/>
          <w:numId w:val="45"/>
        </w:numPr>
      </w:pPr>
      <w:r w:rsidRPr="00E82FD8">
        <w:t>Staffing and resources</w:t>
      </w:r>
      <w:r>
        <w:t xml:space="preserve"> - </w:t>
      </w:r>
      <w:r w:rsidRPr="00C84AC9">
        <w:t>More nurses and trained staff to reduce strain</w:t>
      </w:r>
      <w:r>
        <w:t>,</w:t>
      </w:r>
      <w:r w:rsidRPr="00C84AC9">
        <w:t xml:space="preserve"> improve patient outcomes</w:t>
      </w:r>
      <w:r>
        <w:t xml:space="preserve"> and reduce waiting times, better access to assistive equipment such as wheelchairs, mobility and transfer aids.</w:t>
      </w:r>
    </w:p>
    <w:p w14:paraId="7C7A9612" w14:textId="2A8AB02F" w:rsidR="0087584E" w:rsidRDefault="0087584E" w:rsidP="00E82FD8">
      <w:pPr>
        <w:pStyle w:val="BodyText"/>
        <w:numPr>
          <w:ilvl w:val="0"/>
          <w:numId w:val="45"/>
        </w:numPr>
      </w:pPr>
      <w:r w:rsidRPr="00E82FD8">
        <w:t>Communication</w:t>
      </w:r>
      <w:r>
        <w:t xml:space="preserve"> – To make communication more accessible by facing patients who lip-read when speaking, providing forms in accessible formats for patients who are blind, adjustments for people who use assistive communication devices or need a translator or other supporter to communicate; as well as improving the clarity and consistency of communication, and engaging more respectfully with patients.</w:t>
      </w:r>
    </w:p>
    <w:p w14:paraId="6AA2F924" w14:textId="068ACC59" w:rsidR="0087584E" w:rsidRPr="00C84AC9" w:rsidRDefault="0087584E" w:rsidP="00E82FD8">
      <w:pPr>
        <w:pStyle w:val="BodyText"/>
        <w:numPr>
          <w:ilvl w:val="0"/>
          <w:numId w:val="45"/>
        </w:numPr>
      </w:pPr>
      <w:r w:rsidRPr="00E82FD8">
        <w:t>Accessibility and environment</w:t>
      </w:r>
      <w:r>
        <w:t xml:space="preserve"> – Providing sensory friendly waiting areas, improved wayfinding, access to personal aids, carers and assistive devices if needed, and mask and </w:t>
      </w:r>
      <w:proofErr w:type="gramStart"/>
      <w:r>
        <w:t>fragrance free</w:t>
      </w:r>
      <w:proofErr w:type="gramEnd"/>
      <w:r>
        <w:t xml:space="preserve"> policies.</w:t>
      </w:r>
    </w:p>
    <w:p w14:paraId="3B1C0977" w14:textId="1632226C" w:rsidR="0087584E" w:rsidRDefault="0087584E" w:rsidP="00E82FD8">
      <w:pPr>
        <w:pStyle w:val="BodyText"/>
        <w:numPr>
          <w:ilvl w:val="0"/>
          <w:numId w:val="45"/>
        </w:numPr>
      </w:pPr>
      <w:proofErr w:type="spellStart"/>
      <w:r w:rsidRPr="00E82FD8">
        <w:t>Personalised</w:t>
      </w:r>
      <w:proofErr w:type="spellEnd"/>
      <w:r w:rsidRPr="00E82FD8">
        <w:t xml:space="preserve"> care</w:t>
      </w:r>
      <w:r>
        <w:t xml:space="preserve"> - Person-centered care, r</w:t>
      </w:r>
      <w:r w:rsidRPr="00C84AC9">
        <w:t>ecognition of chronic illness and disability needs in treatment planning</w:t>
      </w:r>
      <w:r>
        <w:t>, care and discharge plans that integrate with NDIS and other supports.</w:t>
      </w:r>
    </w:p>
    <w:p w14:paraId="1CE4BE75" w14:textId="1AD343CA" w:rsidR="0087584E" w:rsidRPr="00225400" w:rsidRDefault="0087584E" w:rsidP="00A81E7A">
      <w:r w:rsidRPr="00225400">
        <w:t xml:space="preserve">Taken together this feedback shows that there are examples of good practice, care, kindness and hospital staff who </w:t>
      </w:r>
      <w:proofErr w:type="gramStart"/>
      <w:r w:rsidRPr="00225400">
        <w:t>make adjustments to</w:t>
      </w:r>
      <w:proofErr w:type="gramEnd"/>
      <w:r w:rsidRPr="00225400">
        <w:t xml:space="preserve"> ensure services are provided in an inclusive, accessible way. The safety issues raised related to abuse</w:t>
      </w:r>
      <w:r>
        <w:t xml:space="preserve"> by other patients</w:t>
      </w:r>
      <w:r w:rsidRPr="00225400">
        <w:t xml:space="preserve">, </w:t>
      </w:r>
      <w:r>
        <w:t xml:space="preserve">neglect by staff, </w:t>
      </w:r>
      <w:r w:rsidRPr="00225400">
        <w:t>medication mismanagement, overworked staff, premature discharge and communication issues undermine the very premise of hospital care. It is also difficult to see how health outcomes can be achieved when nutritional, continence and pain relief needs are not met.</w:t>
      </w:r>
    </w:p>
    <w:p w14:paraId="7D6A3D3D" w14:textId="0B6146CF" w:rsidR="0087584E" w:rsidRPr="00225400" w:rsidRDefault="0087584E" w:rsidP="00A81E7A">
      <w:r w:rsidRPr="00225400">
        <w:t>Respondent feedback clearly highlights the need for greater disability awareness training, better communication</w:t>
      </w:r>
      <w:r>
        <w:t>,</w:t>
      </w:r>
      <w:r w:rsidRPr="00225400">
        <w:t xml:space="preserve"> the need to increase hospital resources and to better integrate NDIS or other supports into healthcare. Worryingly issues related to personal safety arose </w:t>
      </w:r>
      <w:r w:rsidRPr="00225400">
        <w:lastRenderedPageBreak/>
        <w:t>related to inappropriate medication use, failure to account for dietary or nutrition needs that posed a life-threatening risk, and mixed wards where a threat was posed by other patients.</w:t>
      </w:r>
    </w:p>
    <w:p w14:paraId="65ED1974" w14:textId="6AF52FF5" w:rsidR="0087584E" w:rsidRPr="00F004BA" w:rsidRDefault="0087584E" w:rsidP="00DB49B1">
      <w:pPr>
        <w:pStyle w:val="Heading3"/>
      </w:pPr>
      <w:bookmarkStart w:id="67" w:name="_Toc209446759"/>
      <w:r>
        <w:t>Recommendations</w:t>
      </w:r>
      <w:bookmarkEnd w:id="67"/>
    </w:p>
    <w:p w14:paraId="00DF846A" w14:textId="11AFBD2F" w:rsidR="0087584E" w:rsidRDefault="0087584E" w:rsidP="00DB49B1">
      <w:pPr>
        <w:pStyle w:val="BodyText"/>
      </w:pPr>
      <w:r w:rsidRPr="007636E7">
        <w:rPr>
          <w:b/>
          <w:bCs/>
        </w:rPr>
        <w:t>Recommendation 1</w:t>
      </w:r>
      <w:r>
        <w:t xml:space="preserve"> Require all hospitals to enable patients or their carers to report, and if </w:t>
      </w:r>
      <w:proofErr w:type="gramStart"/>
      <w:r>
        <w:t>necessary</w:t>
      </w:r>
      <w:proofErr w:type="gramEnd"/>
      <w:r>
        <w:t xml:space="preserve"> escalate, critical safety concerns </w:t>
      </w:r>
    </w:p>
    <w:p w14:paraId="1DA2B8D7" w14:textId="3E82F654" w:rsidR="0087584E" w:rsidRDefault="0087584E" w:rsidP="00DB49B1">
      <w:pPr>
        <w:pStyle w:val="BodyText"/>
      </w:pPr>
      <w:r w:rsidRPr="007636E7">
        <w:rPr>
          <w:b/>
          <w:bCs/>
        </w:rPr>
        <w:t>Recommendation 2</w:t>
      </w:r>
      <w:r>
        <w:t xml:space="preserve"> Require all hospitals to appoint Disability Liaison Officers and empower them to plan for and authorize the adjustments people need</w:t>
      </w:r>
    </w:p>
    <w:p w14:paraId="316C27C5" w14:textId="3C706630" w:rsidR="0087584E" w:rsidRDefault="0087584E" w:rsidP="00DB49B1">
      <w:pPr>
        <w:pStyle w:val="BodyText"/>
      </w:pPr>
      <w:r w:rsidRPr="007636E7">
        <w:rPr>
          <w:b/>
          <w:bCs/>
        </w:rPr>
        <w:t>Recommendation 3</w:t>
      </w:r>
      <w:r>
        <w:t xml:space="preserve"> Require all hospitals to gather patient feedback, outcomes, identify and act on issues to improve healthcare quality and safety for people with disability, and report on this annually</w:t>
      </w:r>
    </w:p>
    <w:p w14:paraId="53F66B34" w14:textId="5561F454" w:rsidR="0087584E" w:rsidRDefault="0087584E" w:rsidP="00DB49B1">
      <w:pPr>
        <w:pStyle w:val="BodyText"/>
      </w:pPr>
      <w:r w:rsidRPr="007636E7">
        <w:rPr>
          <w:b/>
          <w:bCs/>
        </w:rPr>
        <w:t>Recommendation 4</w:t>
      </w:r>
      <w:r>
        <w:t xml:space="preserve"> Require all hospitals to appoint a co-design group that includes people with lived experience of different disabilities, to examine all aspects of patient care and recommend reforms</w:t>
      </w:r>
    </w:p>
    <w:p w14:paraId="788D75CC" w14:textId="2EC797AD" w:rsidR="0087584E" w:rsidRDefault="0087584E" w:rsidP="00DB49B1">
      <w:r w:rsidRPr="007636E7">
        <w:rPr>
          <w:b/>
          <w:bCs/>
        </w:rPr>
        <w:t>Recommendation 5</w:t>
      </w:r>
      <w:r>
        <w:t xml:space="preserve"> Require all health staff to undergo disability awareness training appropriate to their roles, facilitated by a person with lived experience of disability</w:t>
      </w:r>
    </w:p>
    <w:p w14:paraId="35BCD39C" w14:textId="76E06055" w:rsidR="0087584E" w:rsidRPr="00DB49B1" w:rsidRDefault="0087584E" w:rsidP="00DB49B1">
      <w:r w:rsidRPr="007636E7">
        <w:rPr>
          <w:b/>
          <w:bCs/>
        </w:rPr>
        <w:t>Recommendation 6</w:t>
      </w:r>
      <w:r>
        <w:t xml:space="preserve"> Require all hospitals to provide accessible communication formats for all patients</w:t>
      </w:r>
    </w:p>
    <w:p w14:paraId="7617726B" w14:textId="77777777" w:rsidR="0087584E" w:rsidRDefault="0087584E" w:rsidP="00760125">
      <w:pPr>
        <w:pStyle w:val="Heading2"/>
      </w:pPr>
      <w:bookmarkStart w:id="68" w:name="_Toc209446760"/>
      <w:r>
        <w:t>General Practice Care</w:t>
      </w:r>
      <w:bookmarkEnd w:id="68"/>
      <w:r>
        <w:t xml:space="preserve"> </w:t>
      </w:r>
    </w:p>
    <w:p w14:paraId="1F80F10A" w14:textId="5AEF56E7" w:rsidR="0087584E" w:rsidRDefault="0087584E" w:rsidP="00952CAD">
      <w:r>
        <w:t>PWDA acknowledges that general practitioners, specialists and allied healthcare providers run their own private businesses, independent of many government controls. However, government funding in the form of Medicare, the impact that these forms of healthcare (or a lack of them) has on the lives of patients, and the pressures on the healthcare system, speaks to the need for better planning and standards under the NSQHS third edition.</w:t>
      </w:r>
    </w:p>
    <w:p w14:paraId="3C99E2EA" w14:textId="4A469114" w:rsidR="0087584E" w:rsidRDefault="0087584E" w:rsidP="00952CAD">
      <w:r>
        <w:lastRenderedPageBreak/>
        <w:t>We asked people to reflect on the care they received from General Practitioners. Ninety per cent of respondents identified that they saw the same general practitioner at each visit. We asked what makes it hard to visit the doctor, and the key themes that arose were:</w:t>
      </w:r>
    </w:p>
    <w:p w14:paraId="144F2118" w14:textId="7FD3F552" w:rsidR="0087584E" w:rsidRPr="00D16AC8" w:rsidRDefault="0087584E" w:rsidP="002C4FAE">
      <w:pPr>
        <w:numPr>
          <w:ilvl w:val="0"/>
          <w:numId w:val="24"/>
        </w:numPr>
      </w:pPr>
      <w:r w:rsidRPr="00D16AC8">
        <w:rPr>
          <w:b/>
          <w:bCs/>
        </w:rPr>
        <w:t>Appointment access</w:t>
      </w:r>
      <w:r>
        <w:rPr>
          <w:b/>
          <w:bCs/>
        </w:rPr>
        <w:t xml:space="preserve"> </w:t>
      </w:r>
      <w:r>
        <w:t>-</w:t>
      </w:r>
      <w:r w:rsidRPr="00D16AC8">
        <w:t xml:space="preserve"> Difficulty getting appointments when needed, particularly in urgent or acute situations.</w:t>
      </w:r>
    </w:p>
    <w:p w14:paraId="3AB542E7" w14:textId="57D24AAF" w:rsidR="0087584E" w:rsidRPr="00D16AC8" w:rsidRDefault="0087584E" w:rsidP="002C4FAE">
      <w:pPr>
        <w:numPr>
          <w:ilvl w:val="0"/>
          <w:numId w:val="24"/>
        </w:numPr>
      </w:pPr>
      <w:r w:rsidRPr="00D16AC8">
        <w:rPr>
          <w:b/>
          <w:bCs/>
        </w:rPr>
        <w:t>Cost and bulk billing</w:t>
      </w:r>
      <w:r>
        <w:rPr>
          <w:b/>
          <w:bCs/>
        </w:rPr>
        <w:t xml:space="preserve"> -</w:t>
      </w:r>
      <w:r w:rsidRPr="00D16AC8">
        <w:t xml:space="preserve"> Many cannot afford GP visits unless bulk billed, and availability of bulk billing is </w:t>
      </w:r>
      <w:r>
        <w:t xml:space="preserve">poor and </w:t>
      </w:r>
      <w:r w:rsidRPr="00D16AC8">
        <w:t>shrinking.</w:t>
      </w:r>
    </w:p>
    <w:p w14:paraId="56D45FB3" w14:textId="55A37489" w:rsidR="0087584E" w:rsidRDefault="0087584E" w:rsidP="002C4FAE">
      <w:pPr>
        <w:numPr>
          <w:ilvl w:val="0"/>
          <w:numId w:val="24"/>
        </w:numPr>
      </w:pPr>
      <w:r w:rsidRPr="3B2127CB">
        <w:rPr>
          <w:b/>
          <w:bCs/>
        </w:rPr>
        <w:t>Transport and mobility</w:t>
      </w:r>
      <w:r>
        <w:t xml:space="preserve"> - </w:t>
      </w:r>
      <w:proofErr w:type="gramStart"/>
      <w:r>
        <w:t>Long</w:t>
      </w:r>
      <w:proofErr w:type="gramEnd"/>
      <w:r>
        <w:t xml:space="preserve"> travel distances, no accessible public transport, unreliable wheelchair accessible taxis, dependence on others for transport.</w:t>
      </w:r>
    </w:p>
    <w:p w14:paraId="2C683051" w14:textId="44E00862" w:rsidR="0087584E" w:rsidRPr="00D16AC8" w:rsidRDefault="0087584E" w:rsidP="002C4FAE">
      <w:pPr>
        <w:numPr>
          <w:ilvl w:val="0"/>
          <w:numId w:val="24"/>
        </w:numPr>
      </w:pPr>
      <w:r w:rsidRPr="3B2127CB">
        <w:rPr>
          <w:b/>
          <w:bCs/>
        </w:rPr>
        <w:t>Physical Inaccessibility</w:t>
      </w:r>
      <w:r>
        <w:t xml:space="preserve"> - inaccessible clinic spaces (e.g., narrow doors) create obstacles.</w:t>
      </w:r>
    </w:p>
    <w:p w14:paraId="3412688C" w14:textId="55A20B10" w:rsidR="0087584E" w:rsidRPr="00D16AC8" w:rsidRDefault="0087584E" w:rsidP="002C4FAE">
      <w:pPr>
        <w:numPr>
          <w:ilvl w:val="0"/>
          <w:numId w:val="24"/>
        </w:numPr>
      </w:pPr>
      <w:r w:rsidRPr="00D16AC8">
        <w:rPr>
          <w:b/>
          <w:bCs/>
        </w:rPr>
        <w:t>Continuity of care</w:t>
      </w:r>
      <w:r>
        <w:t xml:space="preserve"> -</w:t>
      </w:r>
      <w:r w:rsidRPr="00D16AC8">
        <w:t xml:space="preserve"> Not all patients have a regular GP available.</w:t>
      </w:r>
    </w:p>
    <w:p w14:paraId="41418386" w14:textId="09CF5956" w:rsidR="0087584E" w:rsidRPr="00D16AC8" w:rsidRDefault="0087584E" w:rsidP="002C4FAE">
      <w:pPr>
        <w:numPr>
          <w:ilvl w:val="0"/>
          <w:numId w:val="24"/>
        </w:numPr>
      </w:pPr>
      <w:r w:rsidRPr="00D16AC8">
        <w:rPr>
          <w:b/>
          <w:bCs/>
        </w:rPr>
        <w:t>COVID safety</w:t>
      </w:r>
      <w:r>
        <w:t xml:space="preserve"> -</w:t>
      </w:r>
      <w:r w:rsidRPr="00D16AC8">
        <w:t xml:space="preserve"> Some raised concerns about a lack of masks and infection control in clinics.</w:t>
      </w:r>
    </w:p>
    <w:p w14:paraId="095F7C28" w14:textId="29664DC1" w:rsidR="0087584E" w:rsidRDefault="0087584E" w:rsidP="002C4FAE">
      <w:pPr>
        <w:numPr>
          <w:ilvl w:val="0"/>
          <w:numId w:val="24"/>
        </w:numPr>
      </w:pPr>
      <w:r w:rsidRPr="00D16AC8">
        <w:rPr>
          <w:b/>
          <w:bCs/>
        </w:rPr>
        <w:t>Homebound patients</w:t>
      </w:r>
      <w:r>
        <w:t xml:space="preserve"> -</w:t>
      </w:r>
      <w:r w:rsidRPr="00D16AC8">
        <w:t xml:space="preserve"> People who are bedridden or housebound described a lack of suitable home visits or coordinated care.</w:t>
      </w:r>
    </w:p>
    <w:p w14:paraId="5ED63F39" w14:textId="77777777" w:rsidR="0087584E" w:rsidRDefault="0087584E" w:rsidP="00952CAD">
      <w:r>
        <w:t>We then asked survey participants what works well when you visit your doctor?</w:t>
      </w:r>
    </w:p>
    <w:p w14:paraId="74A1DBB4" w14:textId="243FAF2D" w:rsidR="0087584E" w:rsidRDefault="0087584E" w:rsidP="00952CAD">
      <w:r>
        <w:t>A range of positive experiences were shared including:</w:t>
      </w:r>
    </w:p>
    <w:p w14:paraId="141A6634" w14:textId="0FFFF2D0" w:rsidR="0087584E" w:rsidRPr="00B759E1" w:rsidRDefault="0087584E" w:rsidP="00CB757C">
      <w:pPr>
        <w:numPr>
          <w:ilvl w:val="0"/>
          <w:numId w:val="25"/>
        </w:numPr>
      </w:pPr>
      <w:r w:rsidRPr="00F84DD1">
        <w:rPr>
          <w:b/>
          <w:bCs/>
        </w:rPr>
        <w:t>Doctor–patient relationship</w:t>
      </w:r>
      <w:r>
        <w:t xml:space="preserve"> - </w:t>
      </w:r>
      <w:r w:rsidRPr="00B759E1">
        <w:t>Experienced, caring, and understanding doctors</w:t>
      </w:r>
      <w:r>
        <w:t>, f</w:t>
      </w:r>
      <w:r w:rsidRPr="00B759E1">
        <w:t>riendly and supportive clinic staff.</w:t>
      </w:r>
    </w:p>
    <w:p w14:paraId="77E63A1F" w14:textId="10BABC4A" w:rsidR="0087584E" w:rsidRPr="00B759E1" w:rsidRDefault="0087584E" w:rsidP="00CB757C">
      <w:pPr>
        <w:numPr>
          <w:ilvl w:val="0"/>
          <w:numId w:val="25"/>
        </w:numPr>
      </w:pPr>
      <w:r w:rsidRPr="00CC0CB5">
        <w:rPr>
          <w:b/>
          <w:bCs/>
        </w:rPr>
        <w:t>Continuity and trust</w:t>
      </w:r>
      <w:r>
        <w:t xml:space="preserve"> - </w:t>
      </w:r>
      <w:r w:rsidRPr="00B759E1">
        <w:t>Seeing the same GP consistently</w:t>
      </w:r>
      <w:r>
        <w:t>, d</w:t>
      </w:r>
      <w:r w:rsidRPr="00B759E1">
        <w:t>octors who know patient history and follow through with treatment.</w:t>
      </w:r>
    </w:p>
    <w:p w14:paraId="0FF2DF7D" w14:textId="024C796D" w:rsidR="0087584E" w:rsidRPr="00B759E1" w:rsidRDefault="0087584E" w:rsidP="00CB757C">
      <w:pPr>
        <w:numPr>
          <w:ilvl w:val="0"/>
          <w:numId w:val="25"/>
        </w:numPr>
      </w:pPr>
      <w:r w:rsidRPr="00AC2F86">
        <w:rPr>
          <w:b/>
          <w:bCs/>
        </w:rPr>
        <w:t>Telehealth</w:t>
      </w:r>
      <w:r>
        <w:t>- T</w:t>
      </w:r>
      <w:r w:rsidRPr="00B759E1">
        <w:t>elehealth and home visit options</w:t>
      </w:r>
      <w:r>
        <w:t xml:space="preserve"> were appreciated</w:t>
      </w:r>
      <w:r w:rsidRPr="00B759E1">
        <w:t>, especially for people with limited mobility, chronic illness, or who are homebound.</w:t>
      </w:r>
    </w:p>
    <w:p w14:paraId="713AED6A" w14:textId="56ABA7FF" w:rsidR="0087584E" w:rsidRPr="00B759E1" w:rsidRDefault="0087584E" w:rsidP="006B2E5A">
      <w:pPr>
        <w:numPr>
          <w:ilvl w:val="0"/>
          <w:numId w:val="25"/>
        </w:numPr>
      </w:pPr>
      <w:r w:rsidRPr="3B2127CB">
        <w:rPr>
          <w:b/>
          <w:bCs/>
        </w:rPr>
        <w:lastRenderedPageBreak/>
        <w:t>Accessibility and accommodation</w:t>
      </w:r>
      <w:r>
        <w:t xml:space="preserve"> – it </w:t>
      </w:r>
      <w:proofErr w:type="gramStart"/>
      <w:r>
        <w:t>was</w:t>
      </w:r>
      <w:proofErr w:type="gramEnd"/>
      <w:r>
        <w:t xml:space="preserve"> appreciated when practices </w:t>
      </w:r>
      <w:r w:rsidRPr="00B759E1">
        <w:t>accommodate</w:t>
      </w:r>
      <w:r>
        <w:t>d</w:t>
      </w:r>
      <w:r w:rsidRPr="00B759E1">
        <w:t xml:space="preserve"> </w:t>
      </w:r>
      <w:r>
        <w:t xml:space="preserve">adjustments needed for specific disabilities. </w:t>
      </w:r>
    </w:p>
    <w:p w14:paraId="76F9C31C" w14:textId="27AA385A" w:rsidR="0087584E" w:rsidRDefault="0087584E" w:rsidP="00C61825">
      <w:pPr>
        <w:numPr>
          <w:ilvl w:val="0"/>
          <w:numId w:val="25"/>
        </w:numPr>
      </w:pPr>
      <w:r w:rsidRPr="006B2E5A">
        <w:rPr>
          <w:b/>
          <w:bCs/>
        </w:rPr>
        <w:t>Holistic support</w:t>
      </w:r>
      <w:r>
        <w:t xml:space="preserve"> – GPs who </w:t>
      </w:r>
      <w:r w:rsidRPr="00B759E1">
        <w:t>understand the complexity of conditions and provide more than “tick-box” or prescription-only care.</w:t>
      </w:r>
    </w:p>
    <w:p w14:paraId="7F9BB6B4" w14:textId="55830B31" w:rsidR="0087584E" w:rsidRDefault="0087584E" w:rsidP="00952CAD">
      <w:r>
        <w:t>We then asked what would make the visit to the GP better, and the additional key theme related to the training of doctors and medical staff to improve their understanding of disability, cultural needs, functional medicine and chronic illness.</w:t>
      </w:r>
    </w:p>
    <w:p w14:paraId="5D7576C3" w14:textId="77777777" w:rsidR="0087584E" w:rsidRPr="00F004BA" w:rsidRDefault="0087584E" w:rsidP="00DB49B1">
      <w:pPr>
        <w:pStyle w:val="Heading3"/>
      </w:pPr>
      <w:bookmarkStart w:id="69" w:name="_Toc209446761"/>
      <w:r>
        <w:t>Recommendations</w:t>
      </w:r>
      <w:bookmarkEnd w:id="69"/>
    </w:p>
    <w:p w14:paraId="3E957EF1" w14:textId="3D17A42E" w:rsidR="0087584E" w:rsidRDefault="0087584E" w:rsidP="005715B4">
      <w:r w:rsidRPr="007636E7">
        <w:rPr>
          <w:b/>
          <w:bCs/>
        </w:rPr>
        <w:t xml:space="preserve">Recommendation </w:t>
      </w:r>
      <w:r>
        <w:rPr>
          <w:b/>
          <w:bCs/>
        </w:rPr>
        <w:t>7</w:t>
      </w:r>
      <w:r>
        <w:t xml:space="preserve"> In addition to requiring all General Practitioners to complete training recommended above, fund the development of a Continuing Professional Development (CPD) resource library and work with Disability Representative Organisations and people with disability to develop training resources on different health and accessibility topics.</w:t>
      </w:r>
    </w:p>
    <w:p w14:paraId="4D6E9DCA" w14:textId="51E3E488" w:rsidR="0087584E" w:rsidRDefault="0087584E" w:rsidP="005715B4">
      <w:r w:rsidRPr="007636E7">
        <w:rPr>
          <w:b/>
          <w:bCs/>
        </w:rPr>
        <w:t xml:space="preserve">Recommendation </w:t>
      </w:r>
      <w:r>
        <w:rPr>
          <w:b/>
          <w:bCs/>
        </w:rPr>
        <w:t>8</w:t>
      </w:r>
      <w:r>
        <w:t xml:space="preserve"> Undertake mapping of places where healthcare is inaccessible or absent, require annual reporting against how these inequities are being addressed.</w:t>
      </w:r>
    </w:p>
    <w:p w14:paraId="1249CE0A" w14:textId="632B4DB6" w:rsidR="0087584E" w:rsidRPr="007E4A10" w:rsidRDefault="0087584E" w:rsidP="005715B4">
      <w:r w:rsidRPr="007636E7">
        <w:rPr>
          <w:b/>
          <w:bCs/>
        </w:rPr>
        <w:t xml:space="preserve">Recommendation </w:t>
      </w:r>
      <w:r>
        <w:rPr>
          <w:b/>
          <w:bCs/>
        </w:rPr>
        <w:t xml:space="preserve">9 </w:t>
      </w:r>
      <w:r>
        <w:t>Work with health professionals and their associations to expand bulk billing.</w:t>
      </w:r>
    </w:p>
    <w:p w14:paraId="76A2F000" w14:textId="77777777" w:rsidR="0087584E" w:rsidRDefault="0087584E" w:rsidP="00F004BA">
      <w:pPr>
        <w:pStyle w:val="Heading4"/>
      </w:pPr>
    </w:p>
    <w:p w14:paraId="47C250DD" w14:textId="48476964" w:rsidR="0087584E" w:rsidRDefault="0087584E" w:rsidP="00760125">
      <w:pPr>
        <w:pStyle w:val="Heading2"/>
      </w:pPr>
      <w:bookmarkStart w:id="70" w:name="_Toc209446762"/>
      <w:r>
        <w:t>Other Healthcare</w:t>
      </w:r>
      <w:bookmarkEnd w:id="70"/>
      <w:r>
        <w:t xml:space="preserve"> </w:t>
      </w:r>
    </w:p>
    <w:p w14:paraId="003E24ED" w14:textId="53D872D4" w:rsidR="0087584E" w:rsidRDefault="0087584E" w:rsidP="005A0D03">
      <w:r>
        <w:t xml:space="preserve">We asked people about their </w:t>
      </w:r>
      <w:r w:rsidRPr="00A56352">
        <w:t>experiences with</w:t>
      </w:r>
      <w:r>
        <w:t xml:space="preserve"> other types of healthcare including</w:t>
      </w:r>
      <w:r w:rsidRPr="00A56352">
        <w:t xml:space="preserve"> specialist</w:t>
      </w:r>
      <w:r>
        <w:t>s</w:t>
      </w:r>
      <w:r w:rsidRPr="00A56352">
        <w:t xml:space="preserve">, allied health, and diagnostic services. Some participants praised flexibility and telehealth access, </w:t>
      </w:r>
      <w:r>
        <w:t>and supportive attitudes or specific accommodations made.  O</w:t>
      </w:r>
      <w:r w:rsidRPr="00A56352">
        <w:t xml:space="preserve">thers raised concerns about long waitlists, </w:t>
      </w:r>
      <w:r>
        <w:t xml:space="preserve">lack of access to care in rural and regional areas, </w:t>
      </w:r>
      <w:r w:rsidRPr="00A56352">
        <w:t>lack of disability accommodations, and unsafe environments.</w:t>
      </w:r>
    </w:p>
    <w:p w14:paraId="406BCE10" w14:textId="36B456FC" w:rsidR="0087584E" w:rsidRDefault="0087584E" w:rsidP="00ED5E0C">
      <w:r>
        <w:lastRenderedPageBreak/>
        <w:t>When asked what could make these types of healthcare better, similar themes arose to GP care, but affordability was emphasised due to the much higher costs of specialist and allied healthcare and the low or non-existent Medicare rebate. The complete lack of access in rural and regional areas, and long waitlists for specialists that were not disclosed where highlighted as barriers in need of addressing.</w:t>
      </w:r>
    </w:p>
    <w:p w14:paraId="6BA6B516" w14:textId="77777777" w:rsidR="0087584E" w:rsidRPr="00BF157D" w:rsidRDefault="0087584E" w:rsidP="00BF157D"/>
    <w:p w14:paraId="3736161D" w14:textId="77777777" w:rsidR="0087584E" w:rsidRPr="00F004BA" w:rsidRDefault="0087584E" w:rsidP="00DB49B1">
      <w:pPr>
        <w:pStyle w:val="Heading3"/>
      </w:pPr>
      <w:bookmarkStart w:id="71" w:name="_Toc209446763"/>
      <w:r>
        <w:t>Recommendations</w:t>
      </w:r>
      <w:bookmarkEnd w:id="71"/>
    </w:p>
    <w:p w14:paraId="30FB2DFA" w14:textId="2F84D17F" w:rsidR="0087584E" w:rsidRDefault="0087584E" w:rsidP="00DB49B1">
      <w:pPr>
        <w:pStyle w:val="BodyText"/>
      </w:pPr>
      <w:r w:rsidRPr="00E06F82">
        <w:rPr>
          <w:b/>
          <w:bCs/>
        </w:rPr>
        <w:t>Recommendation 10</w:t>
      </w:r>
      <w:r>
        <w:t xml:space="preserve"> In addition to applying similar recommendations to general practice, require the publication of waitlists and gap fees wherever these exist.</w:t>
      </w:r>
    </w:p>
    <w:p w14:paraId="4BA294DF" w14:textId="77777777" w:rsidR="0087584E" w:rsidRPr="00DB49B1" w:rsidRDefault="0087584E" w:rsidP="00DB49B1"/>
    <w:p w14:paraId="2FF5AED7" w14:textId="6A5B330C" w:rsidR="0087584E" w:rsidRDefault="0087584E" w:rsidP="00E06F82">
      <w:pPr>
        <w:pStyle w:val="Heading2"/>
      </w:pPr>
      <w:bookmarkStart w:id="72" w:name="_Toc209446764"/>
      <w:r>
        <w:t>Mental Healthcare</w:t>
      </w:r>
      <w:bookmarkEnd w:id="72"/>
    </w:p>
    <w:p w14:paraId="78A5CAA1" w14:textId="227C8696" w:rsidR="0087584E" w:rsidRDefault="0087584E" w:rsidP="002B5804">
      <w:r>
        <w:t>Sixty-five per cent of survey respondents reported that they had seen someone for mental health support, with nearly half (45%) reporting positive experiences of accessible, respectful communication and attitudes, genuine listening and trauma-informed care. 16% had negative or harmful experiences and the need for disability awareness training arose again as a theme.</w:t>
      </w:r>
    </w:p>
    <w:p w14:paraId="7C708AEB" w14:textId="72A07B43" w:rsidR="0087584E" w:rsidRDefault="0087584E" w:rsidP="002B5804">
      <w:r>
        <w:t xml:space="preserve">When asked what could make mental healthcare better, responses included: </w:t>
      </w:r>
    </w:p>
    <w:p w14:paraId="74855435" w14:textId="72F403FE" w:rsidR="0087584E" w:rsidRPr="009B0DAB" w:rsidRDefault="0087584E" w:rsidP="00C55AB0">
      <w:pPr>
        <w:numPr>
          <w:ilvl w:val="0"/>
          <w:numId w:val="31"/>
        </w:numPr>
      </w:pPr>
      <w:r w:rsidRPr="004A4852">
        <w:rPr>
          <w:b/>
          <w:bCs/>
        </w:rPr>
        <w:t>Treatment approaches</w:t>
      </w:r>
      <w:r>
        <w:t xml:space="preserve"> - requests for services tailored to </w:t>
      </w:r>
      <w:r w:rsidRPr="000F48C0">
        <w:t>chronic illness and disability literacy</w:t>
      </w:r>
      <w:r>
        <w:t>.</w:t>
      </w:r>
    </w:p>
    <w:p w14:paraId="40F6BC2A" w14:textId="7670507F" w:rsidR="0087584E" w:rsidRDefault="0087584E" w:rsidP="00C55AB0">
      <w:pPr>
        <w:numPr>
          <w:ilvl w:val="0"/>
          <w:numId w:val="31"/>
        </w:numPr>
      </w:pPr>
      <w:r w:rsidRPr="009C0B8E">
        <w:rPr>
          <w:b/>
          <w:bCs/>
        </w:rPr>
        <w:t>Access and affordability</w:t>
      </w:r>
      <w:r>
        <w:t xml:space="preserve"> - </w:t>
      </w:r>
      <w:r w:rsidRPr="009B0DAB">
        <w:t>Need for more affordable services and longer appointments</w:t>
      </w:r>
      <w:r>
        <w:t>, and g</w:t>
      </w:r>
      <w:r w:rsidRPr="009B0DAB">
        <w:t>reater access to telehealth for those unable to attend in person.</w:t>
      </w:r>
    </w:p>
    <w:p w14:paraId="17193057" w14:textId="1EA0EE60" w:rsidR="0087584E" w:rsidRDefault="0087584E" w:rsidP="00C55AB0">
      <w:pPr>
        <w:numPr>
          <w:ilvl w:val="0"/>
          <w:numId w:val="31"/>
        </w:numPr>
      </w:pPr>
      <w:r w:rsidRPr="00E7652D">
        <w:rPr>
          <w:b/>
          <w:bCs/>
        </w:rPr>
        <w:t>Workforce training and conduct</w:t>
      </w:r>
      <w:r>
        <w:t xml:space="preserve"> - </w:t>
      </w:r>
      <w:r w:rsidRPr="009B0DAB">
        <w:t>Calls for better training of professionals to avoid stigma, harmful behaviour, or dismissiveness</w:t>
      </w:r>
      <w:r>
        <w:t>, and m</w:t>
      </w:r>
      <w:r w:rsidRPr="009B0DAB">
        <w:t>onitoring of inappropriate behaviour in mental health settings.</w:t>
      </w:r>
    </w:p>
    <w:p w14:paraId="46EB1A3F" w14:textId="45CC3226" w:rsidR="0087584E" w:rsidRPr="009B0DAB" w:rsidRDefault="0087584E" w:rsidP="00C55AB0">
      <w:pPr>
        <w:numPr>
          <w:ilvl w:val="0"/>
          <w:numId w:val="31"/>
        </w:numPr>
      </w:pPr>
      <w:r w:rsidRPr="00E7652D">
        <w:rPr>
          <w:b/>
          <w:bCs/>
        </w:rPr>
        <w:lastRenderedPageBreak/>
        <w:t>Peer support</w:t>
      </w:r>
      <w:r>
        <w:t xml:space="preserve"> - </w:t>
      </w:r>
      <w:r w:rsidRPr="009B0DAB">
        <w:t>Clear demand for peer workers in all mental health services, recognising the value of lived experience.</w:t>
      </w:r>
    </w:p>
    <w:p w14:paraId="364D6920" w14:textId="6A9A47C7" w:rsidR="0087584E" w:rsidRPr="002B5804" w:rsidRDefault="0087584E" w:rsidP="00C55AB0">
      <w:pPr>
        <w:numPr>
          <w:ilvl w:val="0"/>
          <w:numId w:val="31"/>
        </w:numPr>
      </w:pPr>
      <w:r w:rsidRPr="00C55AB0">
        <w:rPr>
          <w:b/>
          <w:bCs/>
        </w:rPr>
        <w:t>Environment and safety</w:t>
      </w:r>
      <w:r>
        <w:t xml:space="preserve"> - </w:t>
      </w:r>
      <w:r w:rsidRPr="009B0DAB">
        <w:t>Need for safer, more supportive clinical environments.</w:t>
      </w:r>
    </w:p>
    <w:p w14:paraId="4844FB16" w14:textId="655F51B4" w:rsidR="0087584E" w:rsidRPr="00F004BA" w:rsidRDefault="0087584E" w:rsidP="00F004BA">
      <w:pPr>
        <w:pStyle w:val="Heading3"/>
      </w:pPr>
      <w:bookmarkStart w:id="73" w:name="_Toc209446765"/>
      <w:r>
        <w:t>Recommendations</w:t>
      </w:r>
      <w:bookmarkEnd w:id="73"/>
    </w:p>
    <w:p w14:paraId="4B7AF576" w14:textId="51DA4FE0" w:rsidR="0087584E" w:rsidRDefault="0087584E" w:rsidP="00F004BA">
      <w:pPr>
        <w:pStyle w:val="BodyText"/>
      </w:pPr>
      <w:r w:rsidRPr="003C1208">
        <w:rPr>
          <w:b/>
          <w:bCs/>
        </w:rPr>
        <w:t>Recommendation 11</w:t>
      </w:r>
      <w:r>
        <w:t xml:space="preserve"> Require mental healthcare facilities to form an advisory board of people with lived experience of different disabilities and service use, to examine all aspects of patient care and recommend reforms</w:t>
      </w:r>
    </w:p>
    <w:p w14:paraId="50A546EB" w14:textId="416C4BB2" w:rsidR="0087584E" w:rsidRDefault="0087584E" w:rsidP="00F004BA">
      <w:pPr>
        <w:pStyle w:val="BodyText"/>
      </w:pPr>
      <w:r w:rsidRPr="003C1208">
        <w:rPr>
          <w:b/>
          <w:bCs/>
        </w:rPr>
        <w:t>Recommendation 1</w:t>
      </w:r>
      <w:r>
        <w:rPr>
          <w:b/>
          <w:bCs/>
        </w:rPr>
        <w:t xml:space="preserve">2 </w:t>
      </w:r>
      <w:r>
        <w:t xml:space="preserve">Require mental health professionals to undertake the training at recommendation 5, </w:t>
      </w:r>
      <w:proofErr w:type="gramStart"/>
      <w:r>
        <w:t>and also</w:t>
      </w:r>
      <w:proofErr w:type="gramEnd"/>
      <w:r>
        <w:t xml:space="preserve"> training related to intersectional and disability specific issues with mental healthcare</w:t>
      </w:r>
    </w:p>
    <w:p w14:paraId="0D1E763E" w14:textId="77777777" w:rsidR="0087584E" w:rsidRDefault="0087584E" w:rsidP="00F004BA">
      <w:pPr>
        <w:pStyle w:val="BodyText"/>
      </w:pPr>
    </w:p>
    <w:p w14:paraId="0A287947" w14:textId="77777777" w:rsidR="0087584E" w:rsidRDefault="0087584E" w:rsidP="00F004BA">
      <w:pPr>
        <w:pStyle w:val="BodyText"/>
      </w:pPr>
    </w:p>
    <w:p w14:paraId="2388D8CF" w14:textId="77777777" w:rsidR="0087584E" w:rsidRDefault="0087584E" w:rsidP="00FC3D46">
      <w:pPr>
        <w:spacing w:before="0" w:after="5"/>
        <w:contextualSpacing/>
        <w:rPr>
          <w:rFonts w:ascii="VAG Rounded" w:eastAsia="Times New Roman" w:hAnsi="VAG Rounded" w:cs="Times New Roman"/>
          <w:b/>
          <w:color w:val="005496"/>
          <w:sz w:val="52"/>
          <w:szCs w:val="26"/>
        </w:rPr>
      </w:pPr>
    </w:p>
    <w:p w14:paraId="55E627B3" w14:textId="77777777" w:rsidR="0087584E" w:rsidRDefault="0087584E" w:rsidP="00FC3D46">
      <w:pPr>
        <w:spacing w:before="0" w:after="5"/>
        <w:contextualSpacing/>
        <w:rPr>
          <w:rFonts w:ascii="VAG Rounded" w:eastAsia="Times New Roman" w:hAnsi="VAG Rounded" w:cs="Times New Roman"/>
          <w:b/>
          <w:color w:val="005496"/>
          <w:sz w:val="52"/>
          <w:szCs w:val="26"/>
        </w:rPr>
      </w:pPr>
    </w:p>
    <w:p w14:paraId="25B33032" w14:textId="77777777" w:rsidR="0087584E" w:rsidRDefault="0087584E">
      <w:pPr>
        <w:spacing w:before="0" w:after="120" w:line="280" w:lineRule="atLeast"/>
        <w:rPr>
          <w:rFonts w:ascii="VAG Rounded" w:eastAsia="Times New Roman" w:hAnsi="VAG Rounded" w:cstheme="majorBidi"/>
          <w:b/>
          <w:color w:val="005496" w:themeColor="text2"/>
          <w:spacing w:val="14"/>
          <w:sz w:val="56"/>
          <w:szCs w:val="32"/>
        </w:rPr>
      </w:pPr>
      <w:r>
        <w:rPr>
          <w:rFonts w:eastAsia="Times New Roman"/>
        </w:rPr>
        <w:br w:type="page"/>
      </w:r>
    </w:p>
    <w:p w14:paraId="31172CDF" w14:textId="2CA73544" w:rsidR="0087584E" w:rsidRDefault="0087584E" w:rsidP="00F004BA">
      <w:pPr>
        <w:pStyle w:val="Heading1"/>
        <w:rPr>
          <w:rFonts w:eastAsia="Times New Roman"/>
        </w:rPr>
      </w:pPr>
      <w:bookmarkStart w:id="74" w:name="_Toc209446766"/>
      <w:r>
        <w:rPr>
          <w:rFonts w:eastAsia="Times New Roman"/>
        </w:rPr>
        <w:lastRenderedPageBreak/>
        <w:t>Part 2 Addressing submission questions</w:t>
      </w:r>
      <w:bookmarkEnd w:id="74"/>
      <w:r>
        <w:rPr>
          <w:rFonts w:eastAsia="Times New Roman"/>
        </w:rPr>
        <w:t xml:space="preserve"> </w:t>
      </w:r>
    </w:p>
    <w:p w14:paraId="5BDB2A3F" w14:textId="77777777" w:rsidR="0087584E" w:rsidRDefault="0087584E" w:rsidP="00E86596">
      <w:pPr>
        <w:pStyle w:val="BodyText"/>
        <w:rPr>
          <w:lang w:val="en-AU"/>
        </w:rPr>
      </w:pPr>
      <w:r>
        <w:rPr>
          <w:lang w:val="en-AU"/>
        </w:rPr>
        <w:t xml:space="preserve">Australians with disability are recognised in the </w:t>
      </w:r>
      <w:hyperlink r:id="rId17" w:history="1">
        <w:r w:rsidRPr="00206EE5">
          <w:rPr>
            <w:rStyle w:val="Hyperlink"/>
            <w:lang w:val="en-AU"/>
          </w:rPr>
          <w:t>National Preventative Health Strategy</w:t>
        </w:r>
      </w:hyperlink>
      <w:r>
        <w:rPr>
          <w:lang w:val="en-AU"/>
        </w:rPr>
        <w:t xml:space="preserve"> as a priority population that experiences a disproportionate burden of disease that is unfair, related to social disadvantage, and avoidable.</w:t>
      </w:r>
      <w:r>
        <w:rPr>
          <w:rStyle w:val="EndnoteReference"/>
          <w:lang w:val="en-AU"/>
        </w:rPr>
        <w:endnoteReference w:id="9"/>
      </w:r>
      <w:r>
        <w:rPr>
          <w:lang w:val="en-AU"/>
        </w:rPr>
        <w:t xml:space="preserve"> Access to preventive health care such as:</w:t>
      </w:r>
    </w:p>
    <w:p w14:paraId="7E98C476" w14:textId="77777777" w:rsidR="0087584E" w:rsidRDefault="0087584E" w:rsidP="00661BA4">
      <w:pPr>
        <w:pStyle w:val="BodyText"/>
        <w:numPr>
          <w:ilvl w:val="0"/>
          <w:numId w:val="13"/>
        </w:numPr>
        <w:rPr>
          <w:lang w:val="en-AU"/>
        </w:rPr>
      </w:pPr>
      <w:r>
        <w:rPr>
          <w:lang w:val="en-AU"/>
        </w:rPr>
        <w:t xml:space="preserve">vaccination, </w:t>
      </w:r>
    </w:p>
    <w:p w14:paraId="5925E68F" w14:textId="77777777" w:rsidR="0087584E" w:rsidRDefault="0087584E" w:rsidP="00661BA4">
      <w:pPr>
        <w:pStyle w:val="BodyText"/>
        <w:numPr>
          <w:ilvl w:val="0"/>
          <w:numId w:val="13"/>
        </w:numPr>
        <w:rPr>
          <w:lang w:val="en-AU"/>
        </w:rPr>
      </w:pPr>
      <w:r>
        <w:rPr>
          <w:lang w:val="en-AU"/>
        </w:rPr>
        <w:t xml:space="preserve">screening tests (e.g. for breast, bowel, skin, cervical and prostate cancer), </w:t>
      </w:r>
    </w:p>
    <w:p w14:paraId="20064013" w14:textId="77777777" w:rsidR="0087584E" w:rsidRDefault="0087584E" w:rsidP="00661BA4">
      <w:pPr>
        <w:pStyle w:val="BodyText"/>
        <w:numPr>
          <w:ilvl w:val="0"/>
          <w:numId w:val="13"/>
        </w:numPr>
        <w:rPr>
          <w:lang w:val="en-AU"/>
        </w:rPr>
      </w:pPr>
      <w:r>
        <w:rPr>
          <w:lang w:val="en-AU"/>
        </w:rPr>
        <w:t xml:space="preserve">protective measures (such as sunscreen, seatbelts and STI prevention), or to </w:t>
      </w:r>
    </w:p>
    <w:p w14:paraId="1ACDD48B" w14:textId="1E0AD125" w:rsidR="0087584E" w:rsidRDefault="0087584E" w:rsidP="00661BA4">
      <w:pPr>
        <w:pStyle w:val="BodyText"/>
        <w:numPr>
          <w:ilvl w:val="0"/>
          <w:numId w:val="13"/>
        </w:numPr>
        <w:rPr>
          <w:lang w:val="en-AU"/>
        </w:rPr>
      </w:pPr>
      <w:r>
        <w:rPr>
          <w:lang w:val="en-AU"/>
        </w:rPr>
        <w:t xml:space="preserve">health-promoting activities (such as regular exercise, eating a healthy diet), </w:t>
      </w:r>
    </w:p>
    <w:p w14:paraId="1445C9A7" w14:textId="3DA63139" w:rsidR="0087584E" w:rsidRDefault="0087584E" w:rsidP="00E86596">
      <w:pPr>
        <w:pStyle w:val="BodyText"/>
        <w:rPr>
          <w:lang w:val="en-AU"/>
        </w:rPr>
      </w:pPr>
      <w:r>
        <w:rPr>
          <w:lang w:val="en-AU"/>
        </w:rPr>
        <w:t>can substantially reduce the risk of poor or life-shortening health issues for individuals and the burden of chronic disease on the health system.</w:t>
      </w:r>
      <w:r>
        <w:rPr>
          <w:rStyle w:val="EndnoteReference"/>
          <w:lang w:val="en-AU"/>
        </w:rPr>
        <w:endnoteReference w:id="10"/>
      </w:r>
      <w:r>
        <w:rPr>
          <w:lang w:val="en-AU"/>
        </w:rPr>
        <w:t xml:space="preserve"> Addressing the inequitable burden of preventable disease for people with disability is best done through co-designing approaches with communities to improve accessibility and inclusion.</w:t>
      </w:r>
      <w:r w:rsidRPr="00F744DD">
        <w:rPr>
          <w:rStyle w:val="EndnoteReference"/>
          <w:lang w:val="en-AU"/>
        </w:rPr>
        <w:t xml:space="preserve"> </w:t>
      </w:r>
      <w:r>
        <w:rPr>
          <w:rStyle w:val="EndnoteReference"/>
          <w:lang w:val="en-AU"/>
        </w:rPr>
        <w:endnoteReference w:id="11"/>
      </w:r>
    </w:p>
    <w:p w14:paraId="78F95EEB" w14:textId="77777777" w:rsidR="0087584E" w:rsidRDefault="0087584E" w:rsidP="00E86596">
      <w:pPr>
        <w:pStyle w:val="BodyText"/>
        <w:rPr>
          <w:lang w:val="en-AU"/>
        </w:rPr>
      </w:pPr>
      <w:r>
        <w:rPr>
          <w:lang w:val="en-AU"/>
        </w:rPr>
        <w:t xml:space="preserve">From the survey work with people with disability, we can see that a range of access barriers to general practice, screening and healthcare facilities remains an obstacle to receiving this care. </w:t>
      </w:r>
    </w:p>
    <w:p w14:paraId="32C85EBE" w14:textId="179AB4D8" w:rsidR="0087584E" w:rsidRDefault="0087584E" w:rsidP="003A1025">
      <w:pPr>
        <w:pStyle w:val="BodyText"/>
        <w:rPr>
          <w:lang w:val="en-AU"/>
        </w:rPr>
      </w:pPr>
      <w:r>
        <w:rPr>
          <w:lang w:val="en-AU"/>
        </w:rPr>
        <w:t xml:space="preserve">The </w:t>
      </w:r>
      <w:r>
        <w:t xml:space="preserve">NSQHS </w:t>
      </w:r>
      <w:hyperlink r:id="rId18" w:history="1">
        <w:r w:rsidRPr="00676795">
          <w:rPr>
            <w:rStyle w:val="Hyperlink"/>
          </w:rPr>
          <w:t>second edition</w:t>
        </w:r>
      </w:hyperlink>
      <w:r>
        <w:t xml:space="preserve"> does not contemplate or address the need for preventive healthcare to be accessible, and the 3</w:t>
      </w:r>
      <w:r w:rsidRPr="00B35891">
        <w:rPr>
          <w:vertAlign w:val="superscript"/>
        </w:rPr>
        <w:t>rd</w:t>
      </w:r>
      <w:r>
        <w:t xml:space="preserve"> edition must do so. </w:t>
      </w:r>
      <w:r w:rsidRPr="00F52FEE">
        <w:t xml:space="preserve">People with disability have historically had poor access to preventative healthcare, but if access barriers were removed and the 21.4% of people with disability </w:t>
      </w:r>
      <w:r>
        <w:t xml:space="preserve">were </w:t>
      </w:r>
      <w:r w:rsidRPr="00F52FEE">
        <w:t xml:space="preserve">enabled to access in line with the Australian Medical Association recommendation, then </w:t>
      </w:r>
      <w:r>
        <w:t>$</w:t>
      </w:r>
      <w:r w:rsidRPr="00F52FEE">
        <w:t>1.19B worth of health savings could be achieved per year</w:t>
      </w:r>
      <w:r>
        <w:rPr>
          <w:rStyle w:val="EndnoteReference"/>
        </w:rPr>
        <w:endnoteReference w:id="12"/>
      </w:r>
      <w:r w:rsidRPr="00F52FEE">
        <w:t xml:space="preserve">. </w:t>
      </w:r>
    </w:p>
    <w:p w14:paraId="0B72411F" w14:textId="1EA906EE" w:rsidR="0087584E" w:rsidRPr="00300382" w:rsidRDefault="0087584E" w:rsidP="00D931AC">
      <w:pPr>
        <w:pStyle w:val="BodyText"/>
        <w:spacing w:before="120" w:after="120"/>
        <w:rPr>
          <w:lang w:val="en-AU"/>
        </w:rPr>
      </w:pPr>
      <w:r>
        <w:rPr>
          <w:lang w:val="en-AU"/>
        </w:rPr>
        <w:t xml:space="preserve">As part of this </w:t>
      </w:r>
      <w:hyperlink r:id="rId19" w:history="1">
        <w:r w:rsidRPr="00D82540">
          <w:rPr>
            <w:rStyle w:val="Hyperlink"/>
            <w:lang w:val="en-AU"/>
          </w:rPr>
          <w:t>consultation</w:t>
        </w:r>
      </w:hyperlink>
      <w:r w:rsidRPr="00D82540">
        <w:rPr>
          <w:lang w:val="en-AU"/>
        </w:rPr>
        <w:t xml:space="preserve"> </w:t>
      </w:r>
      <w:r>
        <w:rPr>
          <w:lang w:val="en-AU"/>
        </w:rPr>
        <w:t xml:space="preserve">on the </w:t>
      </w:r>
      <w:r w:rsidRPr="00D82540">
        <w:rPr>
          <w:lang w:val="en-AU"/>
        </w:rPr>
        <w:t>focus areas for the NSQHS Standards (third edition</w:t>
      </w:r>
      <w:r>
        <w:rPr>
          <w:lang w:val="en-AU"/>
        </w:rPr>
        <w:t xml:space="preserve">) we have been asked to address </w:t>
      </w:r>
      <w:hyperlink r:id="rId20" w:history="1">
        <w:r w:rsidRPr="00B637F9">
          <w:rPr>
            <w:rStyle w:val="Hyperlink"/>
            <w:lang w:val="en-AU"/>
          </w:rPr>
          <w:t>7 questions</w:t>
        </w:r>
      </w:hyperlink>
      <w:r>
        <w:rPr>
          <w:lang w:val="en-AU"/>
        </w:rPr>
        <w:t>, and this follows below.</w:t>
      </w:r>
    </w:p>
    <w:p w14:paraId="3939058C" w14:textId="77777777" w:rsidR="0087584E" w:rsidRPr="00D931AC" w:rsidRDefault="0087584E" w:rsidP="002E5CF7">
      <w:pPr>
        <w:pStyle w:val="Heading2"/>
      </w:pPr>
      <w:r w:rsidRPr="00D931AC">
        <w:lastRenderedPageBreak/>
        <w:t xml:space="preserve"> </w:t>
      </w:r>
      <w:bookmarkStart w:id="75" w:name="_Toc209446767"/>
      <w:r w:rsidRPr="00D931AC">
        <w:t>Submission questions</w:t>
      </w:r>
      <w:bookmarkEnd w:id="75"/>
      <w:r w:rsidRPr="00D931AC">
        <w:t xml:space="preserve"> </w:t>
      </w:r>
    </w:p>
    <w:p w14:paraId="5B96AA0B" w14:textId="169777B9" w:rsidR="0087584E" w:rsidRDefault="0087584E" w:rsidP="00C75CE3">
      <w:pPr>
        <w:pStyle w:val="Heading3"/>
        <w:numPr>
          <w:ilvl w:val="0"/>
          <w:numId w:val="10"/>
        </w:numPr>
        <w:rPr>
          <w:rFonts w:eastAsia="Arial"/>
        </w:rPr>
      </w:pPr>
      <w:bookmarkStart w:id="76" w:name="_Toc209446768"/>
      <w:r w:rsidRPr="00D931AC">
        <w:rPr>
          <w:rFonts w:eastAsia="Arial"/>
        </w:rPr>
        <w:t>What existing and emerging safety and quality risks should the Commission be considering in the third edition?</w:t>
      </w:r>
      <w:bookmarkEnd w:id="76"/>
      <w:r w:rsidRPr="00D931AC">
        <w:rPr>
          <w:rFonts w:eastAsia="Arial"/>
        </w:rPr>
        <w:t xml:space="preserve"> </w:t>
      </w:r>
    </w:p>
    <w:p w14:paraId="2342B89F" w14:textId="6A6C96ED" w:rsidR="0087584E" w:rsidRDefault="0087584E" w:rsidP="00C75CE3">
      <w:r>
        <w:t>As identified in our research, healthcare accessibility remains a key obstacle for people with disability. The barriers include:</w:t>
      </w:r>
    </w:p>
    <w:p w14:paraId="04E04687" w14:textId="4B867939" w:rsidR="0087584E" w:rsidRDefault="0087584E" w:rsidP="00C75CE3">
      <w:r w:rsidRPr="0051262C">
        <w:rPr>
          <w:b/>
          <w:bCs/>
        </w:rPr>
        <w:t>Physical accessibility</w:t>
      </w:r>
      <w:r>
        <w:t xml:space="preserve"> – spaces that are inaccessible to mobility devices, remotely located from public transport or unreachable to those without private transport, or too far for rural and regional patients.</w:t>
      </w:r>
    </w:p>
    <w:p w14:paraId="31F95F58" w14:textId="08D3B047" w:rsidR="0087584E" w:rsidRDefault="0087584E" w:rsidP="00C75CE3">
      <w:r w:rsidRPr="0051262C">
        <w:rPr>
          <w:b/>
          <w:bCs/>
        </w:rPr>
        <w:t>Economic</w:t>
      </w:r>
      <w:r>
        <w:t xml:space="preserve"> – Expensive/ unaffordable care, lack of bulk billing, cost of travel (taxis/ long journey to city/ cost of carer to take someone to health appointments) too great on top of healthcare cost.</w:t>
      </w:r>
    </w:p>
    <w:p w14:paraId="6F5D32DB" w14:textId="4ACCBF96" w:rsidR="0087584E" w:rsidRDefault="0087584E" w:rsidP="00C75CE3">
      <w:r w:rsidRPr="0051262C">
        <w:rPr>
          <w:b/>
          <w:bCs/>
        </w:rPr>
        <w:t>Insufficient care</w:t>
      </w:r>
      <w:r>
        <w:t xml:space="preserve"> – Hospitals or GPs too busy to see people or to get an appointment when needed, too rushed to provide care including essential health and personal care in hospitals, total lack of health/ mental health service in some areas.</w:t>
      </w:r>
    </w:p>
    <w:p w14:paraId="29EC98A6" w14:textId="6DDABDBF" w:rsidR="0087584E" w:rsidRDefault="0087584E" w:rsidP="00C75CE3">
      <w:r w:rsidRPr="001D447A">
        <w:rPr>
          <w:b/>
          <w:bCs/>
        </w:rPr>
        <w:t>Communication</w:t>
      </w:r>
      <w:r>
        <w:t xml:space="preserve"> – not listening, not in accessible formats, no translation, too rushed, dismissive of people with disability, not allowing communication supports such as care or NDIS supports in hospitals, failure of handover communication between hospital and care team or GP, failure to read or listen to instructions about essential medications or supports needed for a person’s disability in hospital.</w:t>
      </w:r>
    </w:p>
    <w:p w14:paraId="03352F3E" w14:textId="0EA0CF64" w:rsidR="0087584E" w:rsidRDefault="0087584E" w:rsidP="00C75CE3">
      <w:r w:rsidRPr="00C40EF9">
        <w:rPr>
          <w:b/>
          <w:bCs/>
        </w:rPr>
        <w:t>Discrimination or abuse</w:t>
      </w:r>
      <w:r>
        <w:t xml:space="preserve"> – Neglectful, dismissive, discriminatory or abusive communication or behaviour.</w:t>
      </w:r>
    </w:p>
    <w:p w14:paraId="06145823" w14:textId="77777777" w:rsidR="0087584E" w:rsidRDefault="0087584E" w:rsidP="00C75CE3">
      <w:r>
        <w:t xml:space="preserve">The second edition did not mention ways to screen for, stop, or sanction, these types of dangerous behaviours. No provision was made for reporting that protects patients and their carers from reprisals. </w:t>
      </w:r>
    </w:p>
    <w:p w14:paraId="78D8F943" w14:textId="11B5410B" w:rsidR="0087584E" w:rsidRDefault="0087584E" w:rsidP="00C75CE3">
      <w:r>
        <w:lastRenderedPageBreak/>
        <w:t>It is clearly unsafe when patients are unable to get appropriate medication doses, pain relief, basic feeding, toileting and hygiene assistance in hospitals. Undoubtedly this contributes to longer hospital stays and poorer health outcomes.</w:t>
      </w:r>
    </w:p>
    <w:p w14:paraId="79BA2161" w14:textId="2F3D5967" w:rsidR="0087584E" w:rsidRPr="00C75CE3" w:rsidRDefault="0087584E" w:rsidP="00C75CE3">
      <w:r>
        <w:t>The shortage of accessible and affordable healthcare services of all types poses a quality and safety risk for everyone, but especially for people with disability. Barriers to accessing GP, mental health, and planned care, then raises the risk that people will end up in hospital who would not otherwise have needed to be there. Not only do these barriers contribute to poorer health outcomes for that individual, but also to the overall stressors on the hospital system, in turn reducing availability for those in crisis.</w:t>
      </w:r>
    </w:p>
    <w:p w14:paraId="78317E10" w14:textId="77777777" w:rsidR="0087584E" w:rsidRPr="00F004BA" w:rsidRDefault="0087584E" w:rsidP="00C75CE3">
      <w:pPr>
        <w:pStyle w:val="Heading3"/>
      </w:pPr>
      <w:bookmarkStart w:id="77" w:name="_Toc209446769"/>
      <w:r>
        <w:t>Recommendations</w:t>
      </w:r>
      <w:bookmarkEnd w:id="77"/>
    </w:p>
    <w:p w14:paraId="2B04F80A" w14:textId="5BED3BA7" w:rsidR="0087584E" w:rsidRDefault="0087584E" w:rsidP="00C75CE3">
      <w:pPr>
        <w:pStyle w:val="BodyText"/>
      </w:pPr>
      <w:r w:rsidRPr="00D45DB7">
        <w:rPr>
          <w:b/>
          <w:bCs/>
        </w:rPr>
        <w:t>Recommendation</w:t>
      </w:r>
      <w:r>
        <w:rPr>
          <w:b/>
          <w:bCs/>
        </w:rPr>
        <w:t xml:space="preserve"> 13 </w:t>
      </w:r>
      <w:r>
        <w:t>R</w:t>
      </w:r>
      <w:r w:rsidRPr="00B6084D">
        <w:t>equire</w:t>
      </w:r>
      <w:r>
        <w:t xml:space="preserve"> that a capacity audit be </w:t>
      </w:r>
      <w:proofErr w:type="gramStart"/>
      <w:r>
        <w:t>undertaken</w:t>
      </w:r>
      <w:proofErr w:type="gramEnd"/>
      <w:r>
        <w:t xml:space="preserve"> and </w:t>
      </w:r>
      <w:proofErr w:type="gramStart"/>
      <w:r>
        <w:t>map</w:t>
      </w:r>
      <w:proofErr w:type="gramEnd"/>
      <w:r>
        <w:t xml:space="preserve"> under-served areas in terms of general practice, specialist care and hospital services</w:t>
      </w:r>
    </w:p>
    <w:p w14:paraId="3BD36D64" w14:textId="705C2438" w:rsidR="0087584E" w:rsidRDefault="0087584E" w:rsidP="00C75CE3">
      <w:pPr>
        <w:pStyle w:val="BodyText"/>
      </w:pPr>
      <w:r w:rsidRPr="00D45DB7">
        <w:rPr>
          <w:b/>
          <w:bCs/>
        </w:rPr>
        <w:t>Recommendation</w:t>
      </w:r>
      <w:r>
        <w:t xml:space="preserve"> </w:t>
      </w:r>
      <w:r w:rsidRPr="003537EF">
        <w:rPr>
          <w:b/>
          <w:bCs/>
        </w:rPr>
        <w:t>14</w:t>
      </w:r>
      <w:r>
        <w:t xml:space="preserve"> Require annual reporting of the actions taken to improve health services in areas identified under the capacity audit</w:t>
      </w:r>
    </w:p>
    <w:p w14:paraId="1DBE208E" w14:textId="39AB649B" w:rsidR="0087584E" w:rsidRDefault="0087584E" w:rsidP="00C75CE3">
      <w:pPr>
        <w:pStyle w:val="BodyText"/>
      </w:pPr>
      <w:r w:rsidRPr="00D45DB7">
        <w:rPr>
          <w:b/>
          <w:bCs/>
        </w:rPr>
        <w:t>Recommendation</w:t>
      </w:r>
      <w:r>
        <w:rPr>
          <w:b/>
          <w:bCs/>
        </w:rPr>
        <w:t xml:space="preserve"> 15</w:t>
      </w:r>
      <w:r>
        <w:t xml:space="preserve"> Co-design disability awareness training for health professionals with </w:t>
      </w:r>
      <w:proofErr w:type="gramStart"/>
      <w:r>
        <w:t>disability</w:t>
      </w:r>
      <w:proofErr w:type="gramEnd"/>
      <w:r>
        <w:t xml:space="preserve"> and require rollout, the implementation of performance measures and reporting</w:t>
      </w:r>
    </w:p>
    <w:p w14:paraId="7434546B" w14:textId="77777777" w:rsidR="0087584E" w:rsidRPr="00C75CE3" w:rsidRDefault="0087584E" w:rsidP="00D904FA"/>
    <w:p w14:paraId="3E064E33" w14:textId="24B2B71F" w:rsidR="0087584E" w:rsidRDefault="0087584E" w:rsidP="00872237">
      <w:pPr>
        <w:pStyle w:val="Heading3"/>
        <w:numPr>
          <w:ilvl w:val="0"/>
          <w:numId w:val="10"/>
        </w:numPr>
        <w:rPr>
          <w:rFonts w:eastAsia="Arial"/>
        </w:rPr>
      </w:pPr>
      <w:bookmarkStart w:id="78" w:name="_Toc209446770"/>
      <w:r w:rsidRPr="00D931AC">
        <w:rPr>
          <w:rFonts w:eastAsia="Arial"/>
        </w:rPr>
        <w:t>How can the third edition have a greater impact on driving high performance?</w:t>
      </w:r>
      <w:bookmarkEnd w:id="78"/>
      <w:r w:rsidRPr="00D931AC">
        <w:rPr>
          <w:rFonts w:eastAsia="Arial"/>
        </w:rPr>
        <w:t xml:space="preserve"> </w:t>
      </w:r>
    </w:p>
    <w:p w14:paraId="51469C09" w14:textId="7314B08F" w:rsidR="0087584E" w:rsidRDefault="0087584E" w:rsidP="00176470">
      <w:r>
        <w:t xml:space="preserve">As already recommended, there is a need to co-design processes and training with people with disability, and this work must include people with a wide range of different disabilities, experiences and intersections with social, cultural and health systems. It is critical then that processes for measuring performance be developed, </w:t>
      </w:r>
      <w:proofErr w:type="gramStart"/>
      <w:r>
        <w:t>in order to</w:t>
      </w:r>
      <w:proofErr w:type="gramEnd"/>
      <w:r>
        <w:t xml:space="preserve"> track and drive performance improvement.</w:t>
      </w:r>
    </w:p>
    <w:p w14:paraId="66711547" w14:textId="03E6688F" w:rsidR="0087584E" w:rsidRDefault="0087584E" w:rsidP="00176470">
      <w:r>
        <w:lastRenderedPageBreak/>
        <w:t>The second edition makes statements about performance, but rarely are they phrased in a way where performance against them is measurable. This needs to change, and annual, transparent reporting then needs to be required to drive quality.</w:t>
      </w:r>
    </w:p>
    <w:p w14:paraId="6A013DD7" w14:textId="1F069988" w:rsidR="0087584E" w:rsidRDefault="0087584E" w:rsidP="00176470">
      <w:r>
        <w:t>This reflects a fundamental shift, and doubtless will require significant investment. However reshaping healthcare to become equitable, inclusive and high quality is likely to save not only lives but costs, as earlier and preventive care can reduce the need for expensive hospital beds.</w:t>
      </w:r>
      <w:r>
        <w:rPr>
          <w:rStyle w:val="EndnoteReference"/>
        </w:rPr>
        <w:endnoteReference w:id="13"/>
      </w:r>
      <w:r>
        <w:t xml:space="preserve"> </w:t>
      </w:r>
    </w:p>
    <w:p w14:paraId="12F2CB14" w14:textId="2058E49F" w:rsidR="0087584E" w:rsidRDefault="0087584E" w:rsidP="00872237">
      <w:pPr>
        <w:pStyle w:val="Heading3"/>
        <w:numPr>
          <w:ilvl w:val="0"/>
          <w:numId w:val="10"/>
        </w:numPr>
        <w:rPr>
          <w:rFonts w:eastAsia="Arial"/>
        </w:rPr>
      </w:pPr>
      <w:bookmarkStart w:id="79" w:name="_Toc209446771"/>
      <w:r w:rsidRPr="00D931AC">
        <w:rPr>
          <w:rFonts w:eastAsia="Arial"/>
        </w:rPr>
        <w:t>How can the third edition support integration of services, within and across health services?</w:t>
      </w:r>
      <w:bookmarkEnd w:id="79"/>
      <w:r w:rsidRPr="00D931AC">
        <w:rPr>
          <w:rFonts w:eastAsia="Arial"/>
        </w:rPr>
        <w:t xml:space="preserve"> </w:t>
      </w:r>
    </w:p>
    <w:p w14:paraId="4A57CC3E" w14:textId="4ABCE866" w:rsidR="0087584E" w:rsidRDefault="0087584E" w:rsidP="006D6424">
      <w:r>
        <w:t xml:space="preserve">The Communication for Safety Standard under the NSQHS </w:t>
      </w:r>
      <w:hyperlink r:id="rId21" w:history="1">
        <w:r w:rsidRPr="00676795">
          <w:rPr>
            <w:rStyle w:val="Hyperlink"/>
          </w:rPr>
          <w:t>second edition</w:t>
        </w:r>
      </w:hyperlink>
      <w:r>
        <w:t xml:space="preserve"> requires structured clinical handover processes, but it clearly is not happening consistently. People with disability repeatedly raised in the survey issues that relate to a lack of integration with and communication between different hospital departments, hospitals and general practice, different health professionals, the healthcare providers and NDIS or other care teams. </w:t>
      </w:r>
    </w:p>
    <w:p w14:paraId="783CA81B" w14:textId="5F3417EE" w:rsidR="0087584E" w:rsidRDefault="0087584E" w:rsidP="006D6424">
      <w:r>
        <w:t xml:space="preserve">The third edition of the NSQHS needs to require that processes be put in place to ensure this is achieved, as setting standards has not been effective. The NSQHS </w:t>
      </w:r>
      <w:hyperlink r:id="rId22" w:history="1">
        <w:r w:rsidRPr="00676795">
          <w:rPr>
            <w:rStyle w:val="Hyperlink"/>
          </w:rPr>
          <w:t>second edition</w:t>
        </w:r>
      </w:hyperlink>
      <w:r>
        <w:t xml:space="preserve"> does not mention handover with NDIS or other care providers, but this needs to be required in the third edition.</w:t>
      </w:r>
    </w:p>
    <w:p w14:paraId="16DF9084" w14:textId="6C33751C" w:rsidR="0087584E" w:rsidRDefault="0087584E" w:rsidP="006D6424">
      <w:r>
        <w:t xml:space="preserve">With the evolution of digital systems such as </w:t>
      </w:r>
      <w:hyperlink r:id="rId23" w:history="1">
        <w:r w:rsidRPr="00C52083">
          <w:rPr>
            <w:rStyle w:val="Hyperlink"/>
          </w:rPr>
          <w:t>My Medicare</w:t>
        </w:r>
      </w:hyperlink>
      <w:r>
        <w:t xml:space="preserve">, </w:t>
      </w:r>
      <w:hyperlink r:id="rId24" w:history="1">
        <w:r w:rsidRPr="00EC483A">
          <w:rPr>
            <w:rStyle w:val="Hyperlink"/>
          </w:rPr>
          <w:t>My Health Record</w:t>
        </w:r>
      </w:hyperlink>
      <w:r>
        <w:t xml:space="preserve"> since publication in 2021, there are more opportunities to record and manage health information in ways that could improve health communication and patient care. </w:t>
      </w:r>
    </w:p>
    <w:p w14:paraId="29AEFB94" w14:textId="77777777" w:rsidR="0087584E" w:rsidRPr="00F004BA" w:rsidRDefault="0087584E" w:rsidP="00DF098A">
      <w:pPr>
        <w:pStyle w:val="Heading3"/>
      </w:pPr>
      <w:bookmarkStart w:id="80" w:name="_Toc209446772"/>
      <w:r>
        <w:t>Recommendations</w:t>
      </w:r>
      <w:bookmarkEnd w:id="80"/>
    </w:p>
    <w:p w14:paraId="2D12660C" w14:textId="052A4A83" w:rsidR="0087584E" w:rsidRDefault="0087584E" w:rsidP="006D6424">
      <w:r w:rsidRPr="00C03A51">
        <w:rPr>
          <w:b/>
          <w:bCs/>
        </w:rPr>
        <w:t>Recommendation</w:t>
      </w:r>
      <w:r>
        <w:t xml:space="preserve"> </w:t>
      </w:r>
      <w:r w:rsidRPr="00136491">
        <w:rPr>
          <w:b/>
          <w:bCs/>
        </w:rPr>
        <w:t>16</w:t>
      </w:r>
      <w:r>
        <w:t xml:space="preserve"> Develop and implement communication tools and processes that promote service integration.</w:t>
      </w:r>
    </w:p>
    <w:p w14:paraId="07657BDC" w14:textId="77777777" w:rsidR="0087584E" w:rsidRDefault="0087584E" w:rsidP="00B637F9">
      <w:pPr>
        <w:pStyle w:val="Heading3"/>
        <w:rPr>
          <w:rFonts w:eastAsia="Arial"/>
        </w:rPr>
      </w:pPr>
      <w:bookmarkStart w:id="81" w:name="_Toc209446773"/>
      <w:r w:rsidRPr="00D931AC">
        <w:rPr>
          <w:rFonts w:eastAsia="Arial"/>
        </w:rPr>
        <w:lastRenderedPageBreak/>
        <w:t>4. How can the third edition support a continuous learning approach and minimise a compliance mindset?</w:t>
      </w:r>
      <w:bookmarkEnd w:id="81"/>
      <w:r w:rsidRPr="00D931AC">
        <w:rPr>
          <w:rFonts w:eastAsia="Arial"/>
        </w:rPr>
        <w:t xml:space="preserve"> </w:t>
      </w:r>
    </w:p>
    <w:p w14:paraId="477A1EFC" w14:textId="58C703E7" w:rsidR="0087584E" w:rsidRDefault="0087584E" w:rsidP="00D904FA">
      <w:r>
        <w:t xml:space="preserve">The complaints and issues raised in our survey results reflect a lack of compliance with many of the standards in the NSQHS </w:t>
      </w:r>
      <w:hyperlink r:id="rId25" w:history="1">
        <w:r w:rsidRPr="00676795">
          <w:rPr>
            <w:rStyle w:val="Hyperlink"/>
          </w:rPr>
          <w:t>second edition</w:t>
        </w:r>
      </w:hyperlink>
      <w:r>
        <w:t>, and positive feedback often reflects compliance. It would be counter-productive to abandon compliance requirements in the NSQHS third edition. The nature of healthcare and its requirement for continuing professional development already requires a continuous learning approach, however the nature of what is learnt and from whom needs to change.</w:t>
      </w:r>
    </w:p>
    <w:p w14:paraId="5CC9DE2B" w14:textId="134AEEBD" w:rsidR="0087584E" w:rsidRPr="00D904FA" w:rsidRDefault="0087584E" w:rsidP="00D904FA">
      <w:r>
        <w:t xml:space="preserve">Requiring disability awareness education for all healthcare workers, developed and delivered by people with disability could greatly improve health outcomes. Similarly, gathering performance feedback at staffing, faciality and outcome levels, and then developing and delivering training to address the issues identified, offers the best opportunity to support meaningful and continuous improvement in the safety and quality of healthcare. </w:t>
      </w:r>
    </w:p>
    <w:p w14:paraId="5B4D663C" w14:textId="5D2FBFED" w:rsidR="0087584E" w:rsidRDefault="0087584E" w:rsidP="00E6746E">
      <w:pPr>
        <w:pStyle w:val="Heading3"/>
        <w:numPr>
          <w:ilvl w:val="0"/>
          <w:numId w:val="11"/>
        </w:numPr>
        <w:rPr>
          <w:rFonts w:eastAsia="Arial"/>
        </w:rPr>
      </w:pPr>
      <w:bookmarkStart w:id="82" w:name="_Toc209446774"/>
      <w:r w:rsidRPr="00D931AC">
        <w:rPr>
          <w:rFonts w:eastAsia="Arial"/>
        </w:rPr>
        <w:t>What needs to change in the current format and structure of the standards for the third edition to be easier to understand and act on?</w:t>
      </w:r>
      <w:bookmarkEnd w:id="82"/>
      <w:r w:rsidRPr="00D931AC">
        <w:rPr>
          <w:rFonts w:eastAsia="Arial"/>
        </w:rPr>
        <w:t xml:space="preserve"> </w:t>
      </w:r>
    </w:p>
    <w:p w14:paraId="476E1513" w14:textId="1E306B13" w:rsidR="0087584E" w:rsidRDefault="0087584E" w:rsidP="0049169D">
      <w:r>
        <w:t>The second edition of the guidelines</w:t>
      </w:r>
      <w:r>
        <w:rPr>
          <w:rStyle w:val="EndnoteReference"/>
        </w:rPr>
        <w:endnoteReference w:id="14"/>
      </w:r>
      <w:r>
        <w:t xml:space="preserve"> identifies diversity and high risk </w:t>
      </w:r>
      <w:proofErr w:type="gramStart"/>
      <w:r>
        <w:t>groups, but</w:t>
      </w:r>
      <w:proofErr w:type="gramEnd"/>
      <w:r>
        <w:t xml:space="preserve"> does not really address the needs of people with disability. It does not require that clinicians listen to people with disability or their families or act on concerns raised. It creates no accountability for the consequences of failing to listen or act. This must change in the third edition.</w:t>
      </w:r>
    </w:p>
    <w:p w14:paraId="148EF19C" w14:textId="03C8BF54" w:rsidR="0087584E" w:rsidRDefault="0087584E" w:rsidP="0049169D">
      <w:r>
        <w:t>The third edition also needs to make it easier for patients and family members to report concerns and have them recorded, included in the assessment of risk, and acted on in the moment – not left till a post event complaint, by which time further injury or death may have resulted.</w:t>
      </w:r>
    </w:p>
    <w:p w14:paraId="4357F84B" w14:textId="1A34E8AF" w:rsidR="0087584E" w:rsidRDefault="0087584E" w:rsidP="00323B42">
      <w:pPr>
        <w:pStyle w:val="Heading3"/>
        <w:numPr>
          <w:ilvl w:val="0"/>
          <w:numId w:val="11"/>
        </w:numPr>
        <w:rPr>
          <w:rFonts w:eastAsia="Arial"/>
        </w:rPr>
      </w:pPr>
      <w:bookmarkStart w:id="83" w:name="_Toc209446775"/>
      <w:r w:rsidRPr="00D931AC">
        <w:rPr>
          <w:rFonts w:eastAsia="Arial"/>
        </w:rPr>
        <w:lastRenderedPageBreak/>
        <w:t>Are there areas of duplication or redundancies that could be removed from the current standards?</w:t>
      </w:r>
      <w:bookmarkEnd w:id="83"/>
      <w:r w:rsidRPr="00D931AC">
        <w:rPr>
          <w:rFonts w:eastAsia="Arial"/>
        </w:rPr>
        <w:t xml:space="preserve"> </w:t>
      </w:r>
    </w:p>
    <w:p w14:paraId="7EE10976" w14:textId="1FC03147" w:rsidR="0087584E" w:rsidRPr="00323B42" w:rsidRDefault="0087584E" w:rsidP="00323B42">
      <w:r>
        <w:t>PWDA has not identified duplication or redundancies in the current standard for removal, but rather a need for additions and a re-shaping to improve the accessibility, inclusion and equity of healthcare.</w:t>
      </w:r>
    </w:p>
    <w:p w14:paraId="20DD2FB0" w14:textId="77777777" w:rsidR="0087584E" w:rsidRPr="00D931AC" w:rsidRDefault="0087584E" w:rsidP="00B637F9">
      <w:pPr>
        <w:pStyle w:val="Heading3"/>
        <w:rPr>
          <w:rFonts w:eastAsia="Arial"/>
        </w:rPr>
      </w:pPr>
      <w:bookmarkStart w:id="84" w:name="_Toc209446776"/>
      <w:r w:rsidRPr="00D931AC">
        <w:rPr>
          <w:rFonts w:eastAsia="Arial"/>
        </w:rPr>
        <w:t>7. Please provide any additional comments you think will assist the Commission with the development of the third edition of the NSQHS Standards.</w:t>
      </w:r>
      <w:bookmarkEnd w:id="84"/>
      <w:r w:rsidRPr="00D931AC">
        <w:rPr>
          <w:rFonts w:eastAsia="Arial"/>
        </w:rPr>
        <w:t xml:space="preserve"> </w:t>
      </w:r>
    </w:p>
    <w:p w14:paraId="3F278C9B" w14:textId="33217992" w:rsidR="0087584E" w:rsidRDefault="0087584E" w:rsidP="00D931AC">
      <w:pPr>
        <w:pStyle w:val="BodyText"/>
        <w:spacing w:before="120" w:after="120"/>
        <w:rPr>
          <w:lang w:val="en-AU"/>
        </w:rPr>
      </w:pPr>
      <w:r>
        <w:rPr>
          <w:lang w:val="en-AU"/>
        </w:rPr>
        <w:t>People in hospitals and closed settings such as aged care, who are too sick or unable to advocate for themselves, have a high risk of neglect. This ranges from a lack of help with toileting and regular bathing when needed, and no help with feeding</w:t>
      </w:r>
      <w:r>
        <w:rPr>
          <w:rStyle w:val="EndnoteReference"/>
          <w:lang w:val="en-AU"/>
        </w:rPr>
        <w:endnoteReference w:id="15"/>
      </w:r>
      <w:r>
        <w:rPr>
          <w:lang w:val="en-AU"/>
        </w:rPr>
        <w:t xml:space="preserve"> for those who need it </w:t>
      </w:r>
      <w:proofErr w:type="gramStart"/>
      <w:r>
        <w:rPr>
          <w:lang w:val="en-AU"/>
        </w:rPr>
        <w:t>in order to</w:t>
      </w:r>
      <w:proofErr w:type="gramEnd"/>
      <w:r>
        <w:rPr>
          <w:lang w:val="en-AU"/>
        </w:rPr>
        <w:t xml:space="preserve"> eat. This contributes </w:t>
      </w:r>
      <w:proofErr w:type="gramStart"/>
      <w:r>
        <w:rPr>
          <w:lang w:val="en-AU"/>
        </w:rPr>
        <w:t>to:</w:t>
      </w:r>
      <w:proofErr w:type="gramEnd"/>
      <w:r>
        <w:rPr>
          <w:lang w:val="en-AU"/>
        </w:rPr>
        <w:t xml:space="preserve"> frailty, urinary tract and skin infection, weight loss and nutritional deterioration,</w:t>
      </w:r>
      <w:r>
        <w:rPr>
          <w:rStyle w:val="EndnoteReference"/>
          <w:lang w:val="en-AU"/>
        </w:rPr>
        <w:endnoteReference w:id="16"/>
      </w:r>
      <w:r>
        <w:rPr>
          <w:lang w:val="en-AU"/>
        </w:rPr>
        <w:t xml:space="preserve"> worsening symptoms, delayed recovery and increased mortality. </w:t>
      </w:r>
    </w:p>
    <w:p w14:paraId="3CB54E12" w14:textId="0C58421B" w:rsidR="0087584E" w:rsidRDefault="0087584E" w:rsidP="00D931AC">
      <w:pPr>
        <w:pStyle w:val="BodyText"/>
        <w:spacing w:before="120" w:after="120"/>
        <w:rPr>
          <w:lang w:val="en-AU"/>
        </w:rPr>
      </w:pPr>
      <w:r>
        <w:rPr>
          <w:lang w:val="en-AU"/>
        </w:rPr>
        <w:t>Our survey work confirmed that this is part of the lived experiences of respondents, and it needs to be corrected urgently.</w:t>
      </w:r>
    </w:p>
    <w:p w14:paraId="3464B2E4" w14:textId="0E6004D8" w:rsidR="0087584E" w:rsidRDefault="0087584E" w:rsidP="00571072">
      <w:pPr>
        <w:pStyle w:val="BodyText"/>
        <w:spacing w:before="120" w:after="120"/>
        <w:rPr>
          <w:lang w:val="en-AU"/>
        </w:rPr>
      </w:pPr>
      <w:proofErr w:type="gramStart"/>
      <w:r>
        <w:rPr>
          <w:lang w:val="en-AU"/>
        </w:rPr>
        <w:t>In order to</w:t>
      </w:r>
      <w:proofErr w:type="gramEnd"/>
      <w:r>
        <w:rPr>
          <w:lang w:val="en-AU"/>
        </w:rPr>
        <w:t xml:space="preserve"> free up urgent hospital beds, people with disability and elderly patients can also face being relocated to sub-standard facilities with little-to-no rehabilitation services, poor-quality care, </w:t>
      </w:r>
      <w:r w:rsidR="00D76F64">
        <w:rPr>
          <w:lang w:val="en-AU"/>
        </w:rPr>
        <w:t xml:space="preserve">no handover information, </w:t>
      </w:r>
      <w:r>
        <w:rPr>
          <w:lang w:val="en-AU"/>
        </w:rPr>
        <w:t xml:space="preserve">and little infection control. This can promote deterioration and undermines the prospect of recovery from illness. </w:t>
      </w:r>
    </w:p>
    <w:p w14:paraId="13EF9874" w14:textId="7D32ED6D" w:rsidR="0087584E" w:rsidRDefault="0087584E" w:rsidP="00571072">
      <w:pPr>
        <w:pStyle w:val="BodyText"/>
        <w:spacing w:before="120" w:after="120"/>
        <w:rPr>
          <w:lang w:val="en-AU"/>
        </w:rPr>
      </w:pPr>
      <w:r>
        <w:rPr>
          <w:lang w:val="en-AU"/>
        </w:rPr>
        <w:t>Patients and family members can be too afraid to report sub-standard treatment, or share details of sub-standard facilities, lest they or their relative be punished for doing so.</w:t>
      </w:r>
    </w:p>
    <w:p w14:paraId="2E1E05CE" w14:textId="487087A8" w:rsidR="0087584E" w:rsidRDefault="0087584E" w:rsidP="00CE0799">
      <w:pPr>
        <w:pStyle w:val="BodyText"/>
        <w:spacing w:before="120" w:after="120"/>
        <w:rPr>
          <w:lang w:val="en-AU"/>
        </w:rPr>
      </w:pPr>
      <w:r>
        <w:rPr>
          <w:lang w:val="en-AU"/>
        </w:rPr>
        <w:t>Women in closed settings such as group homes, psychiatric hospitals experience high rates of sexual assault by men,</w:t>
      </w:r>
      <w:r>
        <w:rPr>
          <w:rStyle w:val="EndnoteReference"/>
          <w:lang w:val="en-AU"/>
        </w:rPr>
        <w:endnoteReference w:id="17"/>
      </w:r>
      <w:r>
        <w:rPr>
          <w:lang w:val="en-AU"/>
        </w:rPr>
        <w:t xml:space="preserve"> and our survey identified safety concerns on the part of female patients related to mixed wards in hospitals and me</w:t>
      </w:r>
      <w:r w:rsidR="00D76F64">
        <w:rPr>
          <w:lang w:val="en-AU"/>
        </w:rPr>
        <w:t xml:space="preserve">ntal healthcare </w:t>
      </w:r>
      <w:r>
        <w:rPr>
          <w:lang w:val="en-AU"/>
        </w:rPr>
        <w:t>settings.</w:t>
      </w:r>
    </w:p>
    <w:p w14:paraId="08608AF3" w14:textId="5FC65654" w:rsidR="0087584E" w:rsidRDefault="0087584E" w:rsidP="00B07E18">
      <w:pPr>
        <w:pStyle w:val="Heading3"/>
      </w:pPr>
      <w:bookmarkStart w:id="85" w:name="_Toc209446777"/>
      <w:r>
        <w:lastRenderedPageBreak/>
        <w:t>Recommendations</w:t>
      </w:r>
      <w:bookmarkEnd w:id="85"/>
    </w:p>
    <w:p w14:paraId="53F8DF05" w14:textId="5C5F9C97" w:rsidR="0087584E" w:rsidRDefault="0087584E" w:rsidP="00D931AC">
      <w:pPr>
        <w:pStyle w:val="BodyText"/>
        <w:spacing w:before="120" w:after="120"/>
        <w:rPr>
          <w:lang w:val="en-AU"/>
        </w:rPr>
      </w:pPr>
      <w:r w:rsidRPr="00C03A51">
        <w:rPr>
          <w:b/>
          <w:bCs/>
          <w:lang w:val="en-AU"/>
        </w:rPr>
        <w:t>Recommendation</w:t>
      </w:r>
      <w:r>
        <w:rPr>
          <w:lang w:val="en-AU"/>
        </w:rPr>
        <w:t xml:space="preserve"> </w:t>
      </w:r>
      <w:r w:rsidRPr="005B0483">
        <w:rPr>
          <w:b/>
          <w:bCs/>
          <w:lang w:val="en-AU"/>
        </w:rPr>
        <w:t>17</w:t>
      </w:r>
      <w:r>
        <w:rPr>
          <w:lang w:val="en-AU"/>
        </w:rPr>
        <w:t xml:space="preserve"> Co-design care with patients and create accountability for prompt and effective care</w:t>
      </w:r>
    </w:p>
    <w:p w14:paraId="74E9FC51" w14:textId="751D1AD5" w:rsidR="0087584E" w:rsidRPr="00D82540" w:rsidRDefault="0087584E" w:rsidP="00F2193F">
      <w:pPr>
        <w:pStyle w:val="BodyText"/>
        <w:spacing w:before="120" w:after="120"/>
        <w:rPr>
          <w:lang w:val="en-AU"/>
        </w:rPr>
      </w:pPr>
      <w:r w:rsidRPr="00F2193F">
        <w:rPr>
          <w:b/>
          <w:bCs/>
          <w:lang w:val="en-AU"/>
        </w:rPr>
        <w:t>Recommendation</w:t>
      </w:r>
      <w:r>
        <w:rPr>
          <w:lang w:val="en-AU"/>
        </w:rPr>
        <w:t xml:space="preserve"> </w:t>
      </w:r>
      <w:r w:rsidRPr="005B0483">
        <w:rPr>
          <w:b/>
          <w:bCs/>
          <w:lang w:val="en-AU"/>
        </w:rPr>
        <w:t>18</w:t>
      </w:r>
      <w:r>
        <w:rPr>
          <w:lang w:val="en-AU"/>
        </w:rPr>
        <w:t xml:space="preserve"> Follow nutrition research to provide high energy meals, appropriate diets and assistance to eat and drink for patients who need it</w:t>
      </w:r>
    </w:p>
    <w:p w14:paraId="7DE67326" w14:textId="6BB0D6E1" w:rsidR="0087584E" w:rsidRDefault="0087584E" w:rsidP="00D931AC">
      <w:pPr>
        <w:pStyle w:val="BodyText"/>
        <w:spacing w:before="120" w:after="120"/>
        <w:rPr>
          <w:lang w:val="en-AU"/>
        </w:rPr>
      </w:pPr>
      <w:r w:rsidRPr="00E339F0">
        <w:rPr>
          <w:b/>
          <w:bCs/>
          <w:lang w:val="en-AU"/>
        </w:rPr>
        <w:t>Recommendation</w:t>
      </w:r>
      <w:r>
        <w:rPr>
          <w:lang w:val="en-AU"/>
        </w:rPr>
        <w:t xml:space="preserve"> </w:t>
      </w:r>
      <w:r w:rsidRPr="005B0483">
        <w:rPr>
          <w:b/>
          <w:bCs/>
          <w:lang w:val="en-AU"/>
        </w:rPr>
        <w:t>19</w:t>
      </w:r>
      <w:r>
        <w:rPr>
          <w:lang w:val="en-AU"/>
        </w:rPr>
        <w:t xml:space="preserve"> Establish an anonymous complaints line and web portal to avoid repercussions and enable photographs to be shared</w:t>
      </w:r>
    </w:p>
    <w:p w14:paraId="2BB23CA5" w14:textId="785F9188" w:rsidR="0087584E" w:rsidRDefault="0087584E" w:rsidP="00D931AC">
      <w:pPr>
        <w:pStyle w:val="BodyText"/>
        <w:spacing w:before="120" w:after="120"/>
        <w:rPr>
          <w:lang w:val="en-AU"/>
        </w:rPr>
      </w:pPr>
      <w:r w:rsidRPr="00D347BE">
        <w:rPr>
          <w:b/>
          <w:bCs/>
          <w:lang w:val="en-AU"/>
        </w:rPr>
        <w:t>Recommendation</w:t>
      </w:r>
      <w:r>
        <w:rPr>
          <w:lang w:val="en-AU"/>
        </w:rPr>
        <w:t xml:space="preserve"> </w:t>
      </w:r>
      <w:r w:rsidRPr="005B0483">
        <w:rPr>
          <w:b/>
          <w:bCs/>
          <w:lang w:val="en-AU"/>
        </w:rPr>
        <w:t>20</w:t>
      </w:r>
      <w:r>
        <w:rPr>
          <w:lang w:val="en-AU"/>
        </w:rPr>
        <w:t xml:space="preserve"> Require all healthcare facilities and providers to meet quality standards</w:t>
      </w:r>
    </w:p>
    <w:p w14:paraId="1A19ECF8" w14:textId="7CE6A4A9" w:rsidR="0087584E" w:rsidRDefault="0087584E" w:rsidP="002F5F5E">
      <w:pPr>
        <w:pStyle w:val="BodyText"/>
        <w:spacing w:before="120" w:after="120"/>
        <w:rPr>
          <w:lang w:val="en-AU"/>
        </w:rPr>
      </w:pPr>
      <w:r w:rsidRPr="00D347BE">
        <w:rPr>
          <w:b/>
          <w:bCs/>
          <w:lang w:val="en-AU"/>
        </w:rPr>
        <w:t>Recommendation</w:t>
      </w:r>
      <w:r>
        <w:rPr>
          <w:lang w:val="en-AU"/>
        </w:rPr>
        <w:t xml:space="preserve"> </w:t>
      </w:r>
      <w:r w:rsidRPr="003215B4">
        <w:rPr>
          <w:b/>
          <w:bCs/>
          <w:lang w:val="en-AU"/>
        </w:rPr>
        <w:t>21</w:t>
      </w:r>
      <w:r>
        <w:rPr>
          <w:lang w:val="en-AU"/>
        </w:rPr>
        <w:t xml:space="preserve"> Avoid mixed wards and ensure the safety of patients especially people with disability, female and gender diverse people </w:t>
      </w:r>
    </w:p>
    <w:p w14:paraId="6B4FD7EF" w14:textId="77777777" w:rsidR="0087584E" w:rsidRDefault="0087584E" w:rsidP="00D931AC">
      <w:pPr>
        <w:pStyle w:val="BodyText"/>
        <w:spacing w:before="120" w:after="120"/>
        <w:rPr>
          <w:lang w:val="en-AU"/>
        </w:rPr>
      </w:pPr>
    </w:p>
    <w:p w14:paraId="76C8C04B" w14:textId="34BE0F5F" w:rsidR="0087584E" w:rsidRDefault="0087584E" w:rsidP="00972593">
      <w:pPr>
        <w:pStyle w:val="Heading1"/>
        <w:rPr>
          <w:rFonts w:eastAsia="Times New Roman"/>
        </w:rPr>
      </w:pPr>
      <w:bookmarkStart w:id="86" w:name="_Toc209446778"/>
      <w:r>
        <w:rPr>
          <w:rFonts w:eastAsia="Times New Roman"/>
        </w:rPr>
        <w:t>Part 3 Conclusion</w:t>
      </w:r>
      <w:bookmarkEnd w:id="86"/>
      <w:r>
        <w:rPr>
          <w:rFonts w:eastAsia="Times New Roman"/>
        </w:rPr>
        <w:t xml:space="preserve"> </w:t>
      </w:r>
    </w:p>
    <w:p w14:paraId="5C632CE6" w14:textId="77777777" w:rsidR="0087584E" w:rsidRDefault="0087584E" w:rsidP="00972593">
      <w:pPr>
        <w:pStyle w:val="BodyText"/>
        <w:rPr>
          <w:lang w:val="en-AU"/>
        </w:rPr>
      </w:pPr>
      <w:r>
        <w:rPr>
          <w:lang w:val="en-AU"/>
        </w:rPr>
        <w:t xml:space="preserve">Australians with disability are recognised in the </w:t>
      </w:r>
      <w:hyperlink r:id="rId26" w:history="1">
        <w:r w:rsidRPr="00206EE5">
          <w:rPr>
            <w:rStyle w:val="Hyperlink"/>
            <w:lang w:val="en-AU"/>
          </w:rPr>
          <w:t>National Preventative Health Strategy</w:t>
        </w:r>
      </w:hyperlink>
      <w:r>
        <w:rPr>
          <w:lang w:val="en-AU"/>
        </w:rPr>
        <w:t xml:space="preserve"> as a priority population that experiences a disproportionate burden of disease that is unfair, related to social disadvantage, and avoidable.</w:t>
      </w:r>
      <w:r>
        <w:rPr>
          <w:rStyle w:val="EndnoteReference"/>
          <w:lang w:val="en-AU"/>
        </w:rPr>
        <w:endnoteReference w:id="18"/>
      </w:r>
      <w:r>
        <w:rPr>
          <w:lang w:val="en-AU"/>
        </w:rPr>
        <w:t xml:space="preserve"> This inequity contributes significantly to  the lower life expectancy of people with disability compared with their non-disabled peers.</w:t>
      </w:r>
      <w:r>
        <w:rPr>
          <w:rStyle w:val="EndnoteReference"/>
          <w:lang w:val="en-AU"/>
        </w:rPr>
        <w:endnoteReference w:id="19"/>
      </w:r>
      <w:r>
        <w:rPr>
          <w:lang w:val="en-AU"/>
        </w:rPr>
        <w:t xml:space="preserve"> </w:t>
      </w:r>
    </w:p>
    <w:p w14:paraId="0E85FFB3" w14:textId="751CA1F9" w:rsidR="0087584E" w:rsidRDefault="0087584E" w:rsidP="00972593">
      <w:pPr>
        <w:pStyle w:val="BodyText"/>
        <w:rPr>
          <w:lang w:val="en-AU"/>
        </w:rPr>
      </w:pPr>
      <w:r>
        <w:rPr>
          <w:lang w:val="en-AU"/>
        </w:rPr>
        <w:t>This presents an excellent opportunity to require reform under the NSQHS. Access to preventive health care such as:</w:t>
      </w:r>
    </w:p>
    <w:p w14:paraId="45AF32A5" w14:textId="77777777" w:rsidR="0087584E" w:rsidRDefault="0087584E" w:rsidP="00972593">
      <w:pPr>
        <w:pStyle w:val="BodyText"/>
        <w:numPr>
          <w:ilvl w:val="0"/>
          <w:numId w:val="13"/>
        </w:numPr>
        <w:rPr>
          <w:lang w:val="en-AU"/>
        </w:rPr>
      </w:pPr>
      <w:r>
        <w:rPr>
          <w:lang w:val="en-AU"/>
        </w:rPr>
        <w:t xml:space="preserve">vaccination, </w:t>
      </w:r>
    </w:p>
    <w:p w14:paraId="6D36BBC1" w14:textId="77777777" w:rsidR="0087584E" w:rsidRDefault="0087584E" w:rsidP="00972593">
      <w:pPr>
        <w:pStyle w:val="BodyText"/>
        <w:numPr>
          <w:ilvl w:val="0"/>
          <w:numId w:val="13"/>
        </w:numPr>
        <w:rPr>
          <w:lang w:val="en-AU"/>
        </w:rPr>
      </w:pPr>
      <w:r>
        <w:rPr>
          <w:lang w:val="en-AU"/>
        </w:rPr>
        <w:t xml:space="preserve">screening tests (e.g. for breast, bowel, skin, cervical and prostate cancer), </w:t>
      </w:r>
    </w:p>
    <w:p w14:paraId="67CDD6D1" w14:textId="77777777" w:rsidR="0087584E" w:rsidRDefault="0087584E" w:rsidP="00972593">
      <w:pPr>
        <w:pStyle w:val="BodyText"/>
        <w:numPr>
          <w:ilvl w:val="0"/>
          <w:numId w:val="13"/>
        </w:numPr>
        <w:rPr>
          <w:lang w:val="en-AU"/>
        </w:rPr>
      </w:pPr>
      <w:r>
        <w:rPr>
          <w:lang w:val="en-AU"/>
        </w:rPr>
        <w:t xml:space="preserve">protective measures (such as sunscreen, seatbelts and STI prevention), or to </w:t>
      </w:r>
    </w:p>
    <w:p w14:paraId="5EB70BEE" w14:textId="77777777" w:rsidR="0087584E" w:rsidRDefault="0087584E" w:rsidP="00972593">
      <w:pPr>
        <w:pStyle w:val="BodyText"/>
        <w:numPr>
          <w:ilvl w:val="0"/>
          <w:numId w:val="13"/>
        </w:numPr>
        <w:rPr>
          <w:lang w:val="en-AU"/>
        </w:rPr>
      </w:pPr>
      <w:r>
        <w:rPr>
          <w:lang w:val="en-AU"/>
        </w:rPr>
        <w:t xml:space="preserve">health-promoting activities (such as regular exercise, eating a healthy diet), </w:t>
      </w:r>
    </w:p>
    <w:p w14:paraId="2F519AE7" w14:textId="77777777" w:rsidR="0087584E" w:rsidRDefault="0087584E" w:rsidP="00972593">
      <w:pPr>
        <w:pStyle w:val="BodyText"/>
        <w:rPr>
          <w:lang w:val="en-AU"/>
        </w:rPr>
      </w:pPr>
      <w:r>
        <w:rPr>
          <w:lang w:val="en-AU"/>
        </w:rPr>
        <w:lastRenderedPageBreak/>
        <w:t>can substantially reduce the risk of poor or life-shortening health issues for individuals and the burden of chronic disease on the health system.</w:t>
      </w:r>
      <w:r>
        <w:rPr>
          <w:rStyle w:val="EndnoteReference"/>
          <w:lang w:val="en-AU"/>
        </w:rPr>
        <w:endnoteReference w:id="20"/>
      </w:r>
      <w:r>
        <w:rPr>
          <w:lang w:val="en-AU"/>
        </w:rPr>
        <w:t xml:space="preserve"> Addressing the inequitable burden of preventable disease for people with disability is best done through co-designing approaches with communities to improve accessibility and inclusion.</w:t>
      </w:r>
      <w:r w:rsidRPr="00F744DD">
        <w:rPr>
          <w:rStyle w:val="EndnoteReference"/>
          <w:lang w:val="en-AU"/>
        </w:rPr>
        <w:t xml:space="preserve"> </w:t>
      </w:r>
      <w:r>
        <w:rPr>
          <w:rStyle w:val="EndnoteReference"/>
          <w:lang w:val="en-AU"/>
        </w:rPr>
        <w:endnoteReference w:id="21"/>
      </w:r>
    </w:p>
    <w:p w14:paraId="68B069E8" w14:textId="77777777" w:rsidR="0087584E" w:rsidRDefault="0087584E" w:rsidP="00972593">
      <w:pPr>
        <w:pStyle w:val="BodyText"/>
        <w:rPr>
          <w:lang w:val="en-AU"/>
        </w:rPr>
      </w:pPr>
      <w:r>
        <w:rPr>
          <w:lang w:val="en-AU"/>
        </w:rPr>
        <w:t xml:space="preserve">From the survey work with people with disability, we can see that a range of access barriers to general practice, screening and healthcare facilities remains an obstacle to receiving this care. </w:t>
      </w:r>
    </w:p>
    <w:p w14:paraId="27239AE8" w14:textId="212F6BEB" w:rsidR="005E170D" w:rsidRDefault="0087584E" w:rsidP="00972593">
      <w:pPr>
        <w:pStyle w:val="BodyText"/>
      </w:pPr>
      <w:r>
        <w:rPr>
          <w:lang w:val="en-AU"/>
        </w:rPr>
        <w:t xml:space="preserve">The </w:t>
      </w:r>
      <w:r>
        <w:t xml:space="preserve">NSQHS </w:t>
      </w:r>
      <w:hyperlink r:id="rId27" w:history="1">
        <w:r w:rsidRPr="00676795">
          <w:rPr>
            <w:rStyle w:val="Hyperlink"/>
          </w:rPr>
          <w:t>second edition</w:t>
        </w:r>
      </w:hyperlink>
      <w:r>
        <w:t xml:space="preserve"> does not contemplate or address the need for preventive healthcare to be accessible, and the 3</w:t>
      </w:r>
      <w:r w:rsidRPr="00B35891">
        <w:rPr>
          <w:vertAlign w:val="superscript"/>
        </w:rPr>
        <w:t>rd</w:t>
      </w:r>
      <w:r>
        <w:t xml:space="preserve"> edition must do so. </w:t>
      </w:r>
      <w:r w:rsidRPr="00F52FEE">
        <w:t xml:space="preserve">People with disability have historically had poor access to preventative healthcare, but if access barriers were removed and the 21.4% of people with disability </w:t>
      </w:r>
      <w:r>
        <w:t xml:space="preserve">were </w:t>
      </w:r>
      <w:r w:rsidRPr="00F52FEE">
        <w:t xml:space="preserve">enabled to access in line with the Australian Medical Association recommendation, then </w:t>
      </w:r>
      <w:r>
        <w:t>$</w:t>
      </w:r>
      <w:r w:rsidRPr="00F52FEE">
        <w:t>1.19B worth of health savings could be achieved per year</w:t>
      </w:r>
      <w:r>
        <w:rPr>
          <w:rStyle w:val="EndnoteReference"/>
        </w:rPr>
        <w:endnoteReference w:id="22"/>
      </w:r>
      <w:r w:rsidRPr="00F52FEE">
        <w:t>.</w:t>
      </w:r>
      <w:bookmarkStart w:id="87" w:name="_Hlk141200362"/>
      <w:r w:rsidR="00972593" w:rsidRPr="00F52FEE">
        <w:t xml:space="preserve"> </w:t>
      </w:r>
    </w:p>
    <w:p w14:paraId="6E0D7EEA" w14:textId="53C39660" w:rsidR="00D55BAA" w:rsidRPr="00BE6FA0" w:rsidRDefault="00C83F2B" w:rsidP="00972593">
      <w:pPr>
        <w:pStyle w:val="BodyText"/>
      </w:pPr>
      <w:r>
        <w:t xml:space="preserve">Incorporating </w:t>
      </w:r>
      <w:r w:rsidR="00D55BAA">
        <w:t>the recommendations contained within this submission</w:t>
      </w:r>
      <w:r w:rsidR="005F7005">
        <w:t xml:space="preserve"> into the third edition of the NSQHS Standards will </w:t>
      </w:r>
      <w:r w:rsidR="009C1791">
        <w:t xml:space="preserve">improve the accessibility, inclusion, equity and effectiveness of Australian healthcare. </w:t>
      </w:r>
    </w:p>
    <w:p w14:paraId="71376FCB" w14:textId="77777777" w:rsidR="00972593" w:rsidRDefault="00972593" w:rsidP="00D931AC">
      <w:pPr>
        <w:pStyle w:val="BodyText"/>
        <w:spacing w:before="120" w:after="120"/>
        <w:rPr>
          <w:lang w:val="en-AU"/>
        </w:rPr>
      </w:pPr>
    </w:p>
    <w:p w14:paraId="0B4F6C4E" w14:textId="77777777" w:rsidR="00A53661" w:rsidRDefault="00A53661" w:rsidP="00F004BA">
      <w:pPr>
        <w:pStyle w:val="Heading3"/>
      </w:pPr>
    </w:p>
    <w:p w14:paraId="426F5614" w14:textId="77777777" w:rsidR="00F004BA" w:rsidRDefault="00F004BA" w:rsidP="00FC3D46">
      <w:pPr>
        <w:spacing w:before="0" w:after="5"/>
        <w:contextualSpacing/>
        <w:rPr>
          <w:rFonts w:ascii="VAG Rounded" w:eastAsia="Times New Roman" w:hAnsi="VAG Rounded" w:cs="Times New Roman"/>
          <w:b/>
          <w:color w:val="005496"/>
          <w:sz w:val="52"/>
          <w:szCs w:val="26"/>
        </w:rPr>
      </w:pPr>
    </w:p>
    <w:p w14:paraId="5AFEF42E" w14:textId="77777777" w:rsidR="00F004BA" w:rsidRDefault="00F004BA" w:rsidP="00FC3D46">
      <w:pPr>
        <w:spacing w:before="0" w:after="5"/>
        <w:contextualSpacing/>
        <w:rPr>
          <w:rFonts w:ascii="VAG Rounded" w:eastAsia="Times New Roman" w:hAnsi="VAG Rounded" w:cs="Times New Roman"/>
          <w:b/>
          <w:color w:val="005496"/>
          <w:sz w:val="52"/>
          <w:szCs w:val="26"/>
        </w:rPr>
      </w:pPr>
    </w:p>
    <w:p w14:paraId="198E38FB" w14:textId="77777777" w:rsidR="00F004BA" w:rsidRDefault="00F004BA" w:rsidP="00FC3D46">
      <w:pPr>
        <w:spacing w:before="0" w:after="5"/>
        <w:contextualSpacing/>
        <w:rPr>
          <w:rFonts w:ascii="VAG Rounded" w:eastAsia="Times New Roman" w:hAnsi="VAG Rounded" w:cs="Times New Roman"/>
          <w:b/>
          <w:color w:val="005496"/>
          <w:sz w:val="52"/>
          <w:szCs w:val="26"/>
        </w:rPr>
      </w:pPr>
    </w:p>
    <w:p w14:paraId="7539D48D" w14:textId="77777777" w:rsidR="00510568" w:rsidRDefault="00510568" w:rsidP="00FC3D46">
      <w:pPr>
        <w:spacing w:before="0" w:after="5"/>
        <w:contextualSpacing/>
        <w:rPr>
          <w:rFonts w:ascii="VAG Rounded" w:eastAsia="Times New Roman" w:hAnsi="VAG Rounded" w:cs="Times New Roman"/>
          <w:b/>
          <w:color w:val="005496"/>
          <w:sz w:val="52"/>
          <w:szCs w:val="26"/>
        </w:rPr>
      </w:pPr>
    </w:p>
    <w:p w14:paraId="5622D82A" w14:textId="77777777" w:rsidR="00510568" w:rsidRDefault="00510568" w:rsidP="00FC3D46">
      <w:pPr>
        <w:spacing w:before="0" w:after="5"/>
        <w:contextualSpacing/>
        <w:rPr>
          <w:rFonts w:ascii="VAG Rounded" w:eastAsia="Times New Roman" w:hAnsi="VAG Rounded" w:cs="Times New Roman"/>
          <w:b/>
          <w:color w:val="005496"/>
          <w:sz w:val="52"/>
          <w:szCs w:val="26"/>
        </w:rPr>
      </w:pPr>
    </w:p>
    <w:p w14:paraId="1DA6079D" w14:textId="77777777" w:rsidR="00510568" w:rsidRDefault="00510568" w:rsidP="00FC3D46">
      <w:pPr>
        <w:spacing w:before="0" w:after="5"/>
        <w:contextualSpacing/>
        <w:rPr>
          <w:rFonts w:ascii="VAG Rounded" w:eastAsia="Times New Roman" w:hAnsi="VAG Rounded" w:cs="Times New Roman"/>
          <w:b/>
          <w:color w:val="005496"/>
          <w:sz w:val="52"/>
          <w:szCs w:val="26"/>
        </w:rPr>
      </w:pPr>
    </w:p>
    <w:p w14:paraId="5F6173ED" w14:textId="77777777" w:rsidR="00510568" w:rsidRDefault="00510568" w:rsidP="00FC3D46">
      <w:pPr>
        <w:spacing w:before="0" w:after="5"/>
        <w:contextualSpacing/>
        <w:rPr>
          <w:rFonts w:ascii="VAG Rounded" w:eastAsia="Times New Roman" w:hAnsi="VAG Rounded" w:cs="Times New Roman"/>
          <w:b/>
          <w:color w:val="005496"/>
          <w:sz w:val="52"/>
          <w:szCs w:val="26"/>
        </w:rPr>
      </w:pPr>
    </w:p>
    <w:p w14:paraId="5BC0E18B" w14:textId="77777777" w:rsidR="00510568" w:rsidRDefault="00510568" w:rsidP="00FC3D46">
      <w:pPr>
        <w:spacing w:before="0" w:after="5"/>
        <w:contextualSpacing/>
        <w:rPr>
          <w:rFonts w:ascii="VAG Rounded" w:eastAsia="Times New Roman" w:hAnsi="VAG Rounded" w:cs="Times New Roman"/>
          <w:b/>
          <w:color w:val="005496"/>
          <w:sz w:val="52"/>
          <w:szCs w:val="26"/>
        </w:rPr>
      </w:pPr>
    </w:p>
    <w:p w14:paraId="5B729870" w14:textId="61FD2CDF" w:rsidR="00034185" w:rsidRPr="00BD6CCE" w:rsidRDefault="00A669B7" w:rsidP="00BD6CCE">
      <w:pPr>
        <w:pStyle w:val="Heading1"/>
      </w:pPr>
      <w:bookmarkStart w:id="88" w:name="_Toc209446779"/>
      <w:bookmarkEnd w:id="39"/>
      <w:bookmarkEnd w:id="51"/>
      <w:bookmarkEnd w:id="50"/>
      <w:bookmarkEnd w:id="87"/>
      <w:r w:rsidRPr="004263B7">
        <w:t>Appendi</w:t>
      </w:r>
      <w:r w:rsidR="00A95830">
        <w:t>ces</w:t>
      </w:r>
      <w:bookmarkEnd w:id="88"/>
    </w:p>
    <w:p w14:paraId="6F1C32BF" w14:textId="5489AAE1" w:rsidR="00B2333B" w:rsidRDefault="00A95830" w:rsidP="00B2333B">
      <w:pPr>
        <w:pStyle w:val="Heading3"/>
      </w:pPr>
      <w:bookmarkStart w:id="89" w:name="_Appendix_A_-"/>
      <w:bookmarkStart w:id="90" w:name="_Toc136544412"/>
      <w:bookmarkStart w:id="91" w:name="_Toc139980912"/>
      <w:bookmarkStart w:id="92" w:name="_Toc141119393"/>
      <w:bookmarkStart w:id="93" w:name="_Toc209446780"/>
      <w:bookmarkEnd w:id="89"/>
      <w:r>
        <w:t xml:space="preserve">Appendix A </w:t>
      </w:r>
      <w:bookmarkEnd w:id="90"/>
      <w:bookmarkEnd w:id="91"/>
      <w:bookmarkEnd w:id="92"/>
      <w:r w:rsidR="003B03AD">
        <w:t>–</w:t>
      </w:r>
      <w:r w:rsidR="00B2333B">
        <w:t xml:space="preserve"> </w:t>
      </w:r>
      <w:r w:rsidR="003B03AD">
        <w:t>PWDA S</w:t>
      </w:r>
      <w:r w:rsidR="009E245F">
        <w:t>urvey: National Safety and Quality Health Service (NSQHS) Standards</w:t>
      </w:r>
      <w:bookmarkEnd w:id="93"/>
    </w:p>
    <w:p w14:paraId="3BFAB98A" w14:textId="77777777" w:rsidR="00BF468B" w:rsidRDefault="00BF468B" w:rsidP="00BF468B">
      <w:pPr>
        <w:pStyle w:val="Heading1"/>
        <w:spacing w:line="336" w:lineRule="auto"/>
        <w:rPr>
          <w:color w:val="005496" w:themeColor="accent1"/>
          <w:sz w:val="52"/>
          <w:szCs w:val="52"/>
        </w:rPr>
      </w:pPr>
      <w:bookmarkStart w:id="94" w:name="_Toc208236210"/>
      <w:bookmarkStart w:id="95" w:name="_Toc209446781"/>
      <w:bookmarkStart w:id="96" w:name="_Hlk83653413"/>
      <w:r w:rsidRPr="3B2127CB">
        <w:rPr>
          <w:color w:val="005496" w:themeColor="accent1"/>
          <w:sz w:val="52"/>
          <w:szCs w:val="52"/>
        </w:rPr>
        <w:t>Introduction</w:t>
      </w:r>
      <w:bookmarkEnd w:id="94"/>
      <w:bookmarkEnd w:id="95"/>
    </w:p>
    <w:p w14:paraId="1CACAE5D" w14:textId="77777777" w:rsidR="00BF468B" w:rsidRDefault="00BF468B" w:rsidP="00BF468B">
      <w:pPr>
        <w:pStyle w:val="BodyText"/>
      </w:pPr>
      <w:r>
        <w:t xml:space="preserve">People with Disability Australia (PWDA) has a national membership of people with disability. </w:t>
      </w:r>
    </w:p>
    <w:p w14:paraId="27A9E759" w14:textId="77777777" w:rsidR="00BF468B" w:rsidRPr="008D7BA1" w:rsidRDefault="00BF468B" w:rsidP="00BF468B">
      <w:pPr>
        <w:pStyle w:val="BodyText"/>
      </w:pPr>
      <w:r>
        <w:t xml:space="preserve">In August 2025, PWDA launched a national survey to inform our submission for the review of the National Safety and Quality Health Service (NSQHS) Standards. </w:t>
      </w:r>
    </w:p>
    <w:bookmarkEnd w:id="96"/>
    <w:p w14:paraId="3C1D18B3" w14:textId="77777777" w:rsidR="00BF468B" w:rsidRDefault="00BF468B" w:rsidP="00BF468B">
      <w:pPr>
        <w:pStyle w:val="BodyText"/>
      </w:pPr>
      <w:r>
        <w:t xml:space="preserve">The survey was conducted from 7 August 2025 to 7 September 2025, closing at 5:00 pm AEST. A total of 269 responses were received. </w:t>
      </w:r>
    </w:p>
    <w:p w14:paraId="43495CED" w14:textId="77777777" w:rsidR="00BF468B" w:rsidRPr="008C1618" w:rsidRDefault="00BF468B" w:rsidP="00BF468B">
      <w:pPr>
        <w:pStyle w:val="BodyText"/>
      </w:pPr>
      <w:r>
        <w:t xml:space="preserve">Among respondents, 89.61% (207) identified as a person with a disability, and </w:t>
      </w:r>
      <w:r w:rsidRPr="3B2127CB">
        <w:rPr>
          <w:color w:val="333333"/>
        </w:rPr>
        <w:t xml:space="preserve">39.56% (89) identified that they care for someone with a </w:t>
      </w:r>
      <w:proofErr w:type="gramStart"/>
      <w:r w:rsidRPr="3B2127CB">
        <w:rPr>
          <w:color w:val="333333"/>
        </w:rPr>
        <w:t>disability, or</w:t>
      </w:r>
      <w:proofErr w:type="gramEnd"/>
      <w:r w:rsidRPr="3B2127CB">
        <w:rPr>
          <w:color w:val="333333"/>
        </w:rPr>
        <w:t xml:space="preserve"> help them to access healthcare.</w:t>
      </w:r>
    </w:p>
    <w:p w14:paraId="707EB807" w14:textId="77777777" w:rsidR="00BF468B" w:rsidRDefault="00BF468B" w:rsidP="00BF468B">
      <w:pPr>
        <w:pStyle w:val="BodyText"/>
        <w:rPr>
          <w:lang w:val="en-AU"/>
        </w:rPr>
      </w:pPr>
      <w:r>
        <w:lastRenderedPageBreak/>
        <w:t xml:space="preserve">The survey explored experiences with hospitals, GPs, </w:t>
      </w:r>
      <w:proofErr w:type="gramStart"/>
      <w:r>
        <w:t>specialist</w:t>
      </w:r>
      <w:proofErr w:type="gramEnd"/>
      <w:r>
        <w:t xml:space="preserve"> and allied health, and mental healthcare. Respondents also provided demographic data, caring roles, identity and location.</w:t>
      </w:r>
    </w:p>
    <w:p w14:paraId="4866CCC5" w14:textId="77777777" w:rsidR="00BF468B" w:rsidRPr="00833D11" w:rsidRDefault="00BF468B" w:rsidP="00BF468B">
      <w:pPr>
        <w:pStyle w:val="BodyText"/>
        <w:rPr>
          <w:lang w:val="en-AU"/>
        </w:rPr>
      </w:pPr>
      <w:r>
        <w:t xml:space="preserve">A total of 20 questions were asked, combining multiple-choice and </w:t>
      </w:r>
      <w:proofErr w:type="gramStart"/>
      <w:r>
        <w:t>open-text</w:t>
      </w:r>
      <w:proofErr w:type="gramEnd"/>
      <w:r>
        <w:t>.</w:t>
      </w:r>
    </w:p>
    <w:p w14:paraId="2ACA6E85" w14:textId="77777777" w:rsidR="00BF468B" w:rsidRPr="00F144A3" w:rsidRDefault="00BF468B" w:rsidP="00BF468B">
      <w:pPr>
        <w:pStyle w:val="Heading2"/>
      </w:pPr>
      <w:r>
        <w:br w:type="page"/>
      </w:r>
      <w:bookmarkStart w:id="97" w:name="_Toc208236211"/>
      <w:bookmarkStart w:id="98" w:name="_Toc209446782"/>
      <w:r w:rsidRPr="3B2127CB">
        <w:lastRenderedPageBreak/>
        <w:t>Summary of key findings</w:t>
      </w:r>
      <w:bookmarkEnd w:id="97"/>
      <w:bookmarkEnd w:id="98"/>
      <w:r w:rsidRPr="3B2127CB">
        <w:t xml:space="preserve"> </w:t>
      </w:r>
    </w:p>
    <w:p w14:paraId="32FEACB3" w14:textId="77777777" w:rsidR="00BF468B" w:rsidRDefault="00BF468B" w:rsidP="00BF468B">
      <w:pPr>
        <w:pStyle w:val="BodyText"/>
      </w:pPr>
      <w:r>
        <w:t xml:space="preserve">Overall, the survey shows people with </w:t>
      </w:r>
      <w:proofErr w:type="gramStart"/>
      <w:r>
        <w:t>disability</w:t>
      </w:r>
      <w:proofErr w:type="gramEnd"/>
      <w:r>
        <w:t xml:space="preserve"> face significant barriers across the health care system, with challenges around accessibility, affordability, staff training, communication and environments. While there are examples of positive and supportive care, negative experiences were more common, particularly in hospital and mental health care. </w:t>
      </w:r>
    </w:p>
    <w:p w14:paraId="6F341455" w14:textId="77777777" w:rsidR="00BF468B" w:rsidRPr="005926DE" w:rsidRDefault="00BF468B" w:rsidP="00BF468B">
      <w:pPr>
        <w:pStyle w:val="BodyText"/>
        <w:numPr>
          <w:ilvl w:val="0"/>
          <w:numId w:val="38"/>
        </w:numPr>
        <w:rPr>
          <w:b/>
          <w:bCs/>
        </w:rPr>
      </w:pPr>
      <w:r w:rsidRPr="3B2127CB">
        <w:rPr>
          <w:color w:val="auto"/>
        </w:rPr>
        <w:t xml:space="preserve">89.61% (207) of respondents identify as a person with disability. </w:t>
      </w:r>
    </w:p>
    <w:p w14:paraId="3BFD01C2" w14:textId="77777777" w:rsidR="00BF468B" w:rsidRDefault="00BF468B" w:rsidP="00BF468B">
      <w:pPr>
        <w:pStyle w:val="BodyText"/>
        <w:numPr>
          <w:ilvl w:val="0"/>
          <w:numId w:val="38"/>
        </w:numPr>
        <w:rPr>
          <w:lang w:val="en-AU"/>
        </w:rPr>
      </w:pPr>
      <w:r>
        <w:t xml:space="preserve">71.64% </w:t>
      </w:r>
      <w:proofErr w:type="gramStart"/>
      <w:r>
        <w:t>had been</w:t>
      </w:r>
      <w:proofErr w:type="gramEnd"/>
      <w:r>
        <w:t xml:space="preserve"> to hospital in the past year, and nearly 90% within two years.</w:t>
      </w:r>
    </w:p>
    <w:p w14:paraId="74393322" w14:textId="77777777" w:rsidR="00BF468B" w:rsidRDefault="00BF468B" w:rsidP="00BF468B">
      <w:pPr>
        <w:pStyle w:val="BodyText"/>
        <w:numPr>
          <w:ilvl w:val="0"/>
          <w:numId w:val="38"/>
        </w:numPr>
        <w:rPr>
          <w:lang w:val="en-AU"/>
        </w:rPr>
      </w:pPr>
      <w:r>
        <w:t>77% of respondents had accessed mental health services.</w:t>
      </w:r>
    </w:p>
    <w:p w14:paraId="516BA061" w14:textId="14236F4E" w:rsidR="00BF468B" w:rsidRDefault="00BF468B" w:rsidP="00BF468B">
      <w:pPr>
        <w:pStyle w:val="BodyText"/>
        <w:numPr>
          <w:ilvl w:val="0"/>
          <w:numId w:val="38"/>
        </w:numPr>
        <w:rPr>
          <w:lang w:val="en-AU"/>
        </w:rPr>
      </w:pPr>
      <w:r w:rsidRPr="3B2127CB">
        <w:rPr>
          <w:color w:val="auto"/>
        </w:rPr>
        <w:t>90.98</w:t>
      </w:r>
      <w:r>
        <w:t>% see the same doctor when they visit the GP</w:t>
      </w:r>
    </w:p>
    <w:p w14:paraId="28F47AFD" w14:textId="77777777" w:rsidR="00BF468B" w:rsidRPr="001F6246" w:rsidRDefault="00BF468B" w:rsidP="00BF468B">
      <w:pPr>
        <w:pStyle w:val="BodyText"/>
        <w:numPr>
          <w:ilvl w:val="0"/>
          <w:numId w:val="38"/>
        </w:numPr>
      </w:pPr>
      <w:r>
        <w:t>Women and girls with disability made up most respondents (</w:t>
      </w:r>
      <w:r w:rsidRPr="3B2127CB">
        <w:rPr>
          <w:color w:val="auto"/>
        </w:rPr>
        <w:t>63.81%)</w:t>
      </w:r>
    </w:p>
    <w:p w14:paraId="461EF5E8" w14:textId="77777777" w:rsidR="00BF468B" w:rsidRPr="001F6246" w:rsidRDefault="00BF468B" w:rsidP="00BF468B">
      <w:pPr>
        <w:pStyle w:val="BodyText"/>
        <w:numPr>
          <w:ilvl w:val="0"/>
          <w:numId w:val="38"/>
        </w:numPr>
      </w:pPr>
      <w:r w:rsidRPr="3B2127CB">
        <w:rPr>
          <w:color w:val="auto"/>
        </w:rPr>
        <w:t xml:space="preserve">23.33% of respondents identify as </w:t>
      </w:r>
      <w:r>
        <w:t xml:space="preserve">LGBTQIA+ and </w:t>
      </w:r>
      <w:r w:rsidRPr="3B2127CB">
        <w:rPr>
          <w:color w:val="auto"/>
        </w:rPr>
        <w:t>5.71%</w:t>
      </w:r>
      <w:r>
        <w:t>% as trans and/or gender diverse.</w:t>
      </w:r>
    </w:p>
    <w:p w14:paraId="2CCC8F63" w14:textId="77777777" w:rsidR="00BF468B" w:rsidRPr="001F6246" w:rsidRDefault="00BF468B" w:rsidP="00BF468B">
      <w:pPr>
        <w:pStyle w:val="BodyText"/>
        <w:numPr>
          <w:ilvl w:val="0"/>
          <w:numId w:val="38"/>
        </w:numPr>
      </w:pPr>
      <w:r w:rsidRPr="3B2127CB">
        <w:rPr>
          <w:color w:val="auto"/>
        </w:rPr>
        <w:t xml:space="preserve">11.90% </w:t>
      </w:r>
      <w:r>
        <w:t xml:space="preserve">as CALD and </w:t>
      </w:r>
      <w:r w:rsidRPr="3B2127CB">
        <w:rPr>
          <w:color w:val="auto"/>
        </w:rPr>
        <w:t>3.81%</w:t>
      </w:r>
      <w:r>
        <w:t>First Nations.</w:t>
      </w:r>
    </w:p>
    <w:p w14:paraId="3EA59518" w14:textId="77777777" w:rsidR="00BF468B" w:rsidRPr="00566657" w:rsidRDefault="00BF468B" w:rsidP="00BF468B">
      <w:pPr>
        <w:pStyle w:val="BodyText"/>
        <w:numPr>
          <w:ilvl w:val="0"/>
          <w:numId w:val="38"/>
        </w:numPr>
      </w:pPr>
      <w:r w:rsidRPr="00832CE6">
        <w:rPr>
          <w:color w:val="auto"/>
        </w:rPr>
        <w:t>3.81%</w:t>
      </w:r>
      <w:r>
        <w:rPr>
          <w:color w:val="auto"/>
        </w:rPr>
        <w:t xml:space="preserve"> of people identify as a y</w:t>
      </w:r>
      <w:r w:rsidRPr="00832CE6">
        <w:rPr>
          <w:color w:val="auto"/>
        </w:rPr>
        <w:t>oung person with disability (under 25 years)</w:t>
      </w:r>
    </w:p>
    <w:p w14:paraId="7155822C" w14:textId="77777777" w:rsidR="00BF468B" w:rsidRPr="005500A5" w:rsidRDefault="00BF468B" w:rsidP="00BF468B">
      <w:pPr>
        <w:pStyle w:val="BodyText"/>
        <w:numPr>
          <w:ilvl w:val="0"/>
          <w:numId w:val="38"/>
        </w:numPr>
        <w:spacing w:line="336" w:lineRule="auto"/>
        <w:rPr>
          <w:lang w:val="en-AU"/>
        </w:rPr>
      </w:pPr>
      <w:r>
        <w:t>Most respondents (</w:t>
      </w:r>
      <w:r w:rsidRPr="3B2127CB">
        <w:rPr>
          <w:color w:val="auto"/>
        </w:rPr>
        <w:t xml:space="preserve">58.52%) </w:t>
      </w:r>
      <w:r>
        <w:t>live in major cities</w:t>
      </w:r>
    </w:p>
    <w:p w14:paraId="786FC49F" w14:textId="77777777" w:rsidR="00BF468B" w:rsidRPr="00332BF6" w:rsidRDefault="00BF468B" w:rsidP="00BF468B">
      <w:pPr>
        <w:pStyle w:val="BodyText"/>
        <w:numPr>
          <w:ilvl w:val="0"/>
          <w:numId w:val="38"/>
        </w:numPr>
        <w:spacing w:line="336" w:lineRule="auto"/>
        <w:rPr>
          <w:lang w:val="en-AU"/>
        </w:rPr>
      </w:pPr>
      <w:r>
        <w:t>Over one-third (</w:t>
      </w:r>
      <w:r w:rsidRPr="3B2127CB">
        <w:rPr>
          <w:color w:val="auto"/>
        </w:rPr>
        <w:t>36.68</w:t>
      </w:r>
      <w:r>
        <w:t>%) live in rural or regional areas</w:t>
      </w:r>
    </w:p>
    <w:p w14:paraId="72D704AA" w14:textId="77777777" w:rsidR="00BF468B" w:rsidRPr="00833D11" w:rsidRDefault="00BF468B" w:rsidP="00BF468B">
      <w:pPr>
        <w:pStyle w:val="BodyText"/>
        <w:rPr>
          <w:b/>
          <w:bCs/>
          <w:lang w:val="en-AU"/>
        </w:rPr>
      </w:pPr>
      <w:r w:rsidRPr="3B2127CB">
        <w:rPr>
          <w:b/>
          <w:bCs/>
        </w:rPr>
        <w:t>Common themes across all health care areas include</w:t>
      </w:r>
    </w:p>
    <w:p w14:paraId="3DDAE62B" w14:textId="77777777" w:rsidR="00BF468B" w:rsidRPr="00833D11" w:rsidRDefault="00BF468B" w:rsidP="00BF468B">
      <w:pPr>
        <w:pStyle w:val="BodyText"/>
        <w:numPr>
          <w:ilvl w:val="0"/>
          <w:numId w:val="39"/>
        </w:numPr>
        <w:rPr>
          <w:lang w:val="en-AU"/>
        </w:rPr>
      </w:pPr>
      <w:r w:rsidRPr="3B2127CB">
        <w:rPr>
          <w:b/>
          <w:bCs/>
        </w:rPr>
        <w:t>Accessibility</w:t>
      </w:r>
      <w:r>
        <w:t xml:space="preserve"> – Barriers to physical access (doors, waiting rooms, wayfinding), inaccessible communication (including verbal, forms and online), lack of home visits and no sensory friendly spaces when needed.</w:t>
      </w:r>
    </w:p>
    <w:p w14:paraId="11BCD591" w14:textId="77777777" w:rsidR="00BF468B" w:rsidRPr="00833D11" w:rsidRDefault="00BF468B" w:rsidP="00BF468B">
      <w:pPr>
        <w:pStyle w:val="BodyText"/>
        <w:numPr>
          <w:ilvl w:val="0"/>
          <w:numId w:val="39"/>
        </w:numPr>
        <w:rPr>
          <w:lang w:val="en-AU"/>
        </w:rPr>
      </w:pPr>
      <w:r w:rsidRPr="3B2127CB">
        <w:rPr>
          <w:b/>
          <w:bCs/>
        </w:rPr>
        <w:lastRenderedPageBreak/>
        <w:t>Affordability</w:t>
      </w:r>
      <w:r>
        <w:t xml:space="preserve"> – Costs of GP (including lack of bulk billing availability), cost of specialists, and diagnostic care are major obstacles.</w:t>
      </w:r>
    </w:p>
    <w:p w14:paraId="1459DC44" w14:textId="77777777" w:rsidR="00BF468B" w:rsidRDefault="00BF468B" w:rsidP="00BF468B">
      <w:pPr>
        <w:pStyle w:val="BodyText"/>
        <w:numPr>
          <w:ilvl w:val="0"/>
          <w:numId w:val="39"/>
        </w:numPr>
        <w:rPr>
          <w:lang w:val="en-AU"/>
        </w:rPr>
      </w:pPr>
      <w:r w:rsidRPr="3B2127CB">
        <w:rPr>
          <w:b/>
          <w:bCs/>
        </w:rPr>
        <w:t>Staff Training and Attitudes</w:t>
      </w:r>
      <w:r>
        <w:t xml:space="preserve"> – Disability awareness training, cultural competency, and trauma-informed practice.</w:t>
      </w:r>
    </w:p>
    <w:p w14:paraId="5663E635" w14:textId="77777777" w:rsidR="00BF468B" w:rsidRPr="00833D11" w:rsidRDefault="00BF468B" w:rsidP="00BF468B">
      <w:pPr>
        <w:pStyle w:val="BodyText"/>
        <w:numPr>
          <w:ilvl w:val="0"/>
          <w:numId w:val="39"/>
        </w:numPr>
        <w:rPr>
          <w:lang w:val="en-AU"/>
        </w:rPr>
      </w:pPr>
      <w:r w:rsidRPr="3B2127CB">
        <w:rPr>
          <w:b/>
          <w:bCs/>
        </w:rPr>
        <w:t xml:space="preserve">Under Resourcing of Healthcare </w:t>
      </w:r>
      <w:r>
        <w:t>– Overworked, stressed or rushed health staff, and appointment or practitioner shortages was seen as one of the most pressing issues compromising the timeliness and quality of care.</w:t>
      </w:r>
    </w:p>
    <w:p w14:paraId="5183605C" w14:textId="77777777" w:rsidR="00BF468B" w:rsidRPr="00833D11" w:rsidRDefault="00BF468B" w:rsidP="00BF468B">
      <w:pPr>
        <w:pStyle w:val="BodyText"/>
        <w:numPr>
          <w:ilvl w:val="0"/>
          <w:numId w:val="39"/>
        </w:numPr>
        <w:rPr>
          <w:lang w:val="en-AU"/>
        </w:rPr>
      </w:pPr>
      <w:r w:rsidRPr="3B2127CB">
        <w:rPr>
          <w:b/>
          <w:bCs/>
        </w:rPr>
        <w:t>Communication and Respect</w:t>
      </w:r>
      <w:r>
        <w:t xml:space="preserve"> – Positive experiences often came down to being listened to, respected and health staff taking the time needed; negatives came from poor or inaccessible communication, and being rushed or dismissed.</w:t>
      </w:r>
    </w:p>
    <w:p w14:paraId="381492D9" w14:textId="77777777" w:rsidR="00BF468B" w:rsidRPr="00833D11" w:rsidRDefault="00BF468B" w:rsidP="00BF468B">
      <w:pPr>
        <w:pStyle w:val="BodyText"/>
        <w:numPr>
          <w:ilvl w:val="0"/>
          <w:numId w:val="39"/>
        </w:numPr>
        <w:rPr>
          <w:lang w:val="en-AU"/>
        </w:rPr>
      </w:pPr>
      <w:r w:rsidRPr="3B2127CB">
        <w:rPr>
          <w:b/>
          <w:bCs/>
        </w:rPr>
        <w:t>Telehealth and Flexibility</w:t>
      </w:r>
      <w:r>
        <w:t xml:space="preserve"> – Telehealth, home visits, flexible hours, and preparedness to adjust care to improve accessibility were widely praised and seen as critical improvements.</w:t>
      </w:r>
    </w:p>
    <w:p w14:paraId="0852581E" w14:textId="77777777" w:rsidR="00BF468B" w:rsidRPr="00833D11" w:rsidRDefault="00BF468B" w:rsidP="00BF468B">
      <w:pPr>
        <w:pStyle w:val="BodyText"/>
        <w:numPr>
          <w:ilvl w:val="0"/>
          <w:numId w:val="39"/>
        </w:numPr>
        <w:rPr>
          <w:lang w:val="en-AU"/>
        </w:rPr>
      </w:pPr>
      <w:r w:rsidRPr="3B2127CB">
        <w:rPr>
          <w:b/>
          <w:bCs/>
        </w:rPr>
        <w:t>Infection Control</w:t>
      </w:r>
      <w:r>
        <w:t xml:space="preserve"> – COVID and airborne illness safety remain key concerns for people with chronic conditions.</w:t>
      </w:r>
    </w:p>
    <w:p w14:paraId="5A0B1CBC" w14:textId="77777777" w:rsidR="00BF468B" w:rsidRPr="004D7CE7" w:rsidRDefault="00BF468B" w:rsidP="00BF468B">
      <w:pPr>
        <w:pStyle w:val="BodyText"/>
        <w:numPr>
          <w:ilvl w:val="0"/>
          <w:numId w:val="39"/>
        </w:numPr>
        <w:rPr>
          <w:lang w:val="en-AU"/>
        </w:rPr>
      </w:pPr>
      <w:r w:rsidRPr="3B2127CB">
        <w:rPr>
          <w:b/>
          <w:bCs/>
        </w:rPr>
        <w:t>Peer Support</w:t>
      </w:r>
      <w:r>
        <w:t xml:space="preserve"> – Demand for inclusion of lived experience workers in mental health services.</w:t>
      </w:r>
    </w:p>
    <w:p w14:paraId="775A4E15" w14:textId="77777777" w:rsidR="00BF468B" w:rsidRDefault="00BF468B" w:rsidP="00BF468B">
      <w:pPr>
        <w:spacing w:before="0" w:after="120" w:line="280" w:lineRule="atLeast"/>
        <w:rPr>
          <w:rFonts w:ascii="Arial" w:eastAsia="Times New Roman" w:hAnsi="Arial" w:cs="Times New Roman"/>
          <w:b/>
          <w:bCs/>
          <w:color w:val="005496"/>
        </w:rPr>
      </w:pPr>
      <w:r>
        <w:br w:type="page"/>
      </w:r>
    </w:p>
    <w:p w14:paraId="5E726A26" w14:textId="77777777" w:rsidR="00BF468B" w:rsidRPr="000A6F7E" w:rsidRDefault="00BF468B" w:rsidP="00BF468B">
      <w:pPr>
        <w:pStyle w:val="Heading4"/>
        <w:rPr>
          <w:lang w:eastAsia="en-AU"/>
        </w:rPr>
      </w:pPr>
      <w:r>
        <w:lastRenderedPageBreak/>
        <w:t>Question 1: When was the last time you visited a hospital</w:t>
      </w:r>
    </w:p>
    <w:p w14:paraId="665F0AA5" w14:textId="77777777" w:rsidR="00BF468B" w:rsidRPr="00C04D00" w:rsidRDefault="00BF468B" w:rsidP="00BF468B">
      <w:pPr>
        <w:pStyle w:val="BodyText"/>
        <w:spacing w:line="336" w:lineRule="auto"/>
        <w:rPr>
          <w:lang w:val="en-AU"/>
        </w:rPr>
      </w:pPr>
      <w:r>
        <w:t>Answered 268. Skipped: 1</w:t>
      </w:r>
    </w:p>
    <w:tbl>
      <w:tblPr>
        <w:tblW w:w="7516"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3970"/>
        <w:gridCol w:w="1704"/>
        <w:gridCol w:w="1842"/>
      </w:tblGrid>
      <w:tr w:rsidR="00BF468B" w:rsidRPr="0048634C" w14:paraId="686A2EA5" w14:textId="77777777" w:rsidTr="006C3FF4">
        <w:trPr>
          <w:trHeight w:val="485"/>
          <w:jc w:val="center"/>
        </w:trPr>
        <w:tc>
          <w:tcPr>
            <w:tcW w:w="3970" w:type="dxa"/>
            <w:shd w:val="clear" w:color="auto" w:fill="00BDF2" w:themeFill="accent2"/>
            <w:vAlign w:val="center"/>
          </w:tcPr>
          <w:p w14:paraId="672849C9" w14:textId="77777777" w:rsidR="00BF468B" w:rsidRPr="00446153" w:rsidRDefault="00BF468B" w:rsidP="006C3FF4">
            <w:pPr>
              <w:spacing w:before="0" w:after="0" w:line="240" w:lineRule="auto"/>
              <w:jc w:val="center"/>
              <w:rPr>
                <w:rFonts w:ascii="Arial" w:hAnsi="Arial" w:cs="Arial"/>
                <w:b/>
                <w:bCs/>
                <w:color w:val="333333"/>
              </w:rPr>
            </w:pPr>
            <w:r w:rsidRPr="3B2127CB">
              <w:rPr>
                <w:rFonts w:ascii="Arial" w:hAnsi="Arial" w:cs="Arial"/>
                <w:b/>
                <w:bCs/>
                <w:color w:val="333333"/>
              </w:rPr>
              <w:t>Answer Choices</w:t>
            </w:r>
          </w:p>
        </w:tc>
        <w:tc>
          <w:tcPr>
            <w:tcW w:w="1704" w:type="dxa"/>
            <w:shd w:val="clear" w:color="auto" w:fill="00BDF2" w:themeFill="accent2"/>
            <w:vAlign w:val="center"/>
          </w:tcPr>
          <w:p w14:paraId="0FA388CD"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TOTAL</w:t>
            </w:r>
          </w:p>
        </w:tc>
        <w:tc>
          <w:tcPr>
            <w:tcW w:w="1842" w:type="dxa"/>
            <w:tcBorders>
              <w:top w:val="nil"/>
            </w:tcBorders>
            <w:shd w:val="clear" w:color="auto" w:fill="45B97C" w:themeFill="accent4"/>
            <w:vAlign w:val="center"/>
          </w:tcPr>
          <w:p w14:paraId="0FC3DFB7"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color w:val="E2DDDB" w:themeColor="background2"/>
                <w:spacing w:val="-2"/>
              </w:rPr>
            </w:pPr>
            <w:r w:rsidRPr="3B2127CB">
              <w:rPr>
                <w:rFonts w:asciiTheme="minorHAnsi" w:hAnsiTheme="minorHAnsi" w:cstheme="minorBidi"/>
                <w:b/>
                <w:bCs/>
                <w:spacing w:val="-2"/>
              </w:rPr>
              <w:t>QTY</w:t>
            </w:r>
          </w:p>
        </w:tc>
      </w:tr>
      <w:tr w:rsidR="00BF468B" w:rsidRPr="0048634C" w14:paraId="6E2EA947" w14:textId="77777777" w:rsidTr="006C3FF4">
        <w:trPr>
          <w:trHeight w:val="390"/>
          <w:jc w:val="center"/>
        </w:trPr>
        <w:tc>
          <w:tcPr>
            <w:tcW w:w="3970" w:type="dxa"/>
            <w:vAlign w:val="bottom"/>
          </w:tcPr>
          <w:p w14:paraId="4C8C4E80" w14:textId="77777777" w:rsidR="00BF468B" w:rsidRPr="0003453F"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The last 12 months</w:t>
            </w:r>
          </w:p>
        </w:tc>
        <w:tc>
          <w:tcPr>
            <w:tcW w:w="1704" w:type="dxa"/>
            <w:vAlign w:val="bottom"/>
          </w:tcPr>
          <w:p w14:paraId="3DAC672E" w14:textId="77777777" w:rsidR="00BF468B" w:rsidRPr="0003453F"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rPr>
              <w:t>71.64%</w:t>
            </w:r>
          </w:p>
        </w:tc>
        <w:tc>
          <w:tcPr>
            <w:tcW w:w="1842" w:type="dxa"/>
            <w:vAlign w:val="bottom"/>
          </w:tcPr>
          <w:p w14:paraId="19FF3205" w14:textId="77777777" w:rsidR="00BF468B" w:rsidRPr="0003453F"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rPr>
              <w:t>192</w:t>
            </w:r>
          </w:p>
        </w:tc>
      </w:tr>
      <w:tr w:rsidR="00BF468B" w:rsidRPr="0048634C" w14:paraId="2D9F54C0" w14:textId="77777777" w:rsidTr="006C3FF4">
        <w:trPr>
          <w:trHeight w:val="390"/>
          <w:jc w:val="center"/>
        </w:trPr>
        <w:tc>
          <w:tcPr>
            <w:tcW w:w="3970" w:type="dxa"/>
            <w:vAlign w:val="bottom"/>
          </w:tcPr>
          <w:p w14:paraId="0F21033B" w14:textId="77777777" w:rsidR="00BF468B" w:rsidRPr="0003453F"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Last 2 years</w:t>
            </w:r>
          </w:p>
        </w:tc>
        <w:tc>
          <w:tcPr>
            <w:tcW w:w="1704" w:type="dxa"/>
            <w:vAlign w:val="bottom"/>
          </w:tcPr>
          <w:p w14:paraId="00859A6C" w14:textId="77777777" w:rsidR="00BF468B" w:rsidRPr="0003453F"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rPr>
              <w:t>16.42%</w:t>
            </w:r>
          </w:p>
        </w:tc>
        <w:tc>
          <w:tcPr>
            <w:tcW w:w="1842" w:type="dxa"/>
            <w:vAlign w:val="bottom"/>
          </w:tcPr>
          <w:p w14:paraId="2081C640" w14:textId="77777777" w:rsidR="00BF468B" w:rsidRPr="0003453F"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rPr>
              <w:t>44</w:t>
            </w:r>
          </w:p>
        </w:tc>
      </w:tr>
      <w:tr w:rsidR="00BF468B" w:rsidRPr="0048634C" w14:paraId="3CA29F9D" w14:textId="77777777" w:rsidTr="006C3FF4">
        <w:trPr>
          <w:trHeight w:val="390"/>
          <w:jc w:val="center"/>
        </w:trPr>
        <w:tc>
          <w:tcPr>
            <w:tcW w:w="3970" w:type="dxa"/>
            <w:vAlign w:val="bottom"/>
          </w:tcPr>
          <w:p w14:paraId="54832460" w14:textId="77777777" w:rsidR="00BF468B" w:rsidRPr="0003453F"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More than 5 years ago</w:t>
            </w:r>
          </w:p>
        </w:tc>
        <w:tc>
          <w:tcPr>
            <w:tcW w:w="1704" w:type="dxa"/>
            <w:vAlign w:val="bottom"/>
          </w:tcPr>
          <w:p w14:paraId="4617582B" w14:textId="77777777" w:rsidR="00BF468B" w:rsidRPr="0003453F"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rPr>
              <w:t>6.72%</w:t>
            </w:r>
          </w:p>
        </w:tc>
        <w:tc>
          <w:tcPr>
            <w:tcW w:w="1842" w:type="dxa"/>
            <w:vAlign w:val="bottom"/>
          </w:tcPr>
          <w:p w14:paraId="089E5153" w14:textId="77777777" w:rsidR="00BF468B" w:rsidRPr="0003453F"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rPr>
              <w:t>18</w:t>
            </w:r>
          </w:p>
        </w:tc>
      </w:tr>
      <w:tr w:rsidR="00BF468B" w:rsidRPr="0048634C" w14:paraId="33856AF0" w14:textId="77777777" w:rsidTr="006C3FF4">
        <w:trPr>
          <w:trHeight w:val="390"/>
          <w:jc w:val="center"/>
        </w:trPr>
        <w:tc>
          <w:tcPr>
            <w:tcW w:w="3970" w:type="dxa"/>
            <w:vAlign w:val="bottom"/>
          </w:tcPr>
          <w:p w14:paraId="45D2284B" w14:textId="77777777" w:rsidR="00BF468B" w:rsidRPr="0003453F"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More than 10 years ago</w:t>
            </w:r>
          </w:p>
        </w:tc>
        <w:tc>
          <w:tcPr>
            <w:tcW w:w="1704" w:type="dxa"/>
            <w:vAlign w:val="bottom"/>
          </w:tcPr>
          <w:p w14:paraId="2A60B26B" w14:textId="77777777" w:rsidR="00BF468B" w:rsidRPr="0003453F" w:rsidRDefault="00BF468B" w:rsidP="006C3FF4">
            <w:pPr>
              <w:pStyle w:val="TableParagraph"/>
              <w:spacing w:line="336" w:lineRule="auto"/>
              <w:ind w:right="7"/>
              <w:jc w:val="center"/>
              <w:rPr>
                <w:rFonts w:asciiTheme="minorHAnsi" w:hAnsiTheme="minorHAnsi" w:cstheme="minorBidi"/>
                <w:spacing w:val="-5"/>
              </w:rPr>
            </w:pPr>
            <w:r w:rsidRPr="3B2127CB">
              <w:rPr>
                <w:rFonts w:ascii="Arial" w:hAnsi="Arial" w:cs="Arial"/>
              </w:rPr>
              <w:t>1.49%</w:t>
            </w:r>
          </w:p>
        </w:tc>
        <w:tc>
          <w:tcPr>
            <w:tcW w:w="1842" w:type="dxa"/>
            <w:vAlign w:val="bottom"/>
          </w:tcPr>
          <w:p w14:paraId="5AA97F4C" w14:textId="77777777" w:rsidR="00BF468B" w:rsidRPr="0003453F" w:rsidRDefault="00BF468B" w:rsidP="006C3FF4">
            <w:pPr>
              <w:pStyle w:val="TableParagraph"/>
              <w:spacing w:line="336" w:lineRule="auto"/>
              <w:ind w:left="18" w:right="8"/>
              <w:jc w:val="center"/>
              <w:rPr>
                <w:rFonts w:asciiTheme="minorHAnsi" w:hAnsiTheme="minorHAnsi" w:cstheme="minorBidi"/>
                <w:spacing w:val="-5"/>
              </w:rPr>
            </w:pPr>
            <w:r w:rsidRPr="3B2127CB">
              <w:rPr>
                <w:rFonts w:ascii="Arial" w:hAnsi="Arial" w:cs="Arial"/>
              </w:rPr>
              <w:t>4</w:t>
            </w:r>
          </w:p>
        </w:tc>
      </w:tr>
      <w:tr w:rsidR="00BF468B" w:rsidRPr="0048634C" w14:paraId="09DC193F" w14:textId="77777777" w:rsidTr="006C3FF4">
        <w:trPr>
          <w:trHeight w:val="390"/>
          <w:jc w:val="center"/>
        </w:trPr>
        <w:tc>
          <w:tcPr>
            <w:tcW w:w="3970" w:type="dxa"/>
            <w:vAlign w:val="bottom"/>
          </w:tcPr>
          <w:p w14:paraId="20645B59" w14:textId="77777777" w:rsidR="00BF468B" w:rsidRPr="0003453F"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I am unsure</w:t>
            </w:r>
          </w:p>
        </w:tc>
        <w:tc>
          <w:tcPr>
            <w:tcW w:w="1704" w:type="dxa"/>
            <w:vAlign w:val="bottom"/>
          </w:tcPr>
          <w:p w14:paraId="451116DC" w14:textId="77777777" w:rsidR="00BF468B" w:rsidRPr="0003453F" w:rsidRDefault="00BF468B" w:rsidP="006C3FF4">
            <w:pPr>
              <w:pStyle w:val="TableParagraph"/>
              <w:spacing w:line="336" w:lineRule="auto"/>
              <w:ind w:right="7"/>
              <w:jc w:val="center"/>
              <w:rPr>
                <w:rFonts w:asciiTheme="minorHAnsi" w:hAnsiTheme="minorHAnsi" w:cstheme="minorBidi"/>
                <w:spacing w:val="-5"/>
              </w:rPr>
            </w:pPr>
            <w:r w:rsidRPr="3B2127CB">
              <w:rPr>
                <w:rFonts w:ascii="Arial" w:hAnsi="Arial" w:cs="Arial"/>
              </w:rPr>
              <w:t>2.24%</w:t>
            </w:r>
          </w:p>
        </w:tc>
        <w:tc>
          <w:tcPr>
            <w:tcW w:w="1842" w:type="dxa"/>
            <w:vAlign w:val="bottom"/>
          </w:tcPr>
          <w:p w14:paraId="3BA6D23C" w14:textId="77777777" w:rsidR="00BF468B" w:rsidRPr="0003453F" w:rsidRDefault="00BF468B" w:rsidP="006C3FF4">
            <w:pPr>
              <w:pStyle w:val="TableParagraph"/>
              <w:spacing w:line="336" w:lineRule="auto"/>
              <w:ind w:left="18" w:right="8"/>
              <w:jc w:val="center"/>
              <w:rPr>
                <w:rFonts w:asciiTheme="minorHAnsi" w:hAnsiTheme="minorHAnsi" w:cstheme="minorBidi"/>
                <w:spacing w:val="-5"/>
              </w:rPr>
            </w:pPr>
            <w:r w:rsidRPr="3B2127CB">
              <w:rPr>
                <w:rFonts w:ascii="Arial" w:hAnsi="Arial" w:cs="Arial"/>
              </w:rPr>
              <w:t>6</w:t>
            </w:r>
          </w:p>
        </w:tc>
      </w:tr>
      <w:tr w:rsidR="00BF468B" w:rsidRPr="0048634C" w14:paraId="26162072" w14:textId="77777777" w:rsidTr="006C3FF4">
        <w:trPr>
          <w:trHeight w:val="390"/>
          <w:jc w:val="center"/>
        </w:trPr>
        <w:tc>
          <w:tcPr>
            <w:tcW w:w="3970" w:type="dxa"/>
            <w:vAlign w:val="bottom"/>
          </w:tcPr>
          <w:p w14:paraId="5BC14A5F" w14:textId="77777777" w:rsidR="00BF468B" w:rsidRPr="0003453F"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I prefer not to say</w:t>
            </w:r>
          </w:p>
        </w:tc>
        <w:tc>
          <w:tcPr>
            <w:tcW w:w="1704" w:type="dxa"/>
            <w:vAlign w:val="bottom"/>
          </w:tcPr>
          <w:p w14:paraId="214EF91A" w14:textId="77777777" w:rsidR="00BF468B" w:rsidRPr="0003453F" w:rsidRDefault="00BF468B" w:rsidP="006C3FF4">
            <w:pPr>
              <w:pStyle w:val="TableParagraph"/>
              <w:spacing w:line="336" w:lineRule="auto"/>
              <w:ind w:right="7"/>
              <w:jc w:val="center"/>
              <w:rPr>
                <w:rFonts w:asciiTheme="minorHAnsi" w:hAnsiTheme="minorHAnsi" w:cstheme="minorBidi"/>
                <w:spacing w:val="-5"/>
              </w:rPr>
            </w:pPr>
            <w:r w:rsidRPr="3B2127CB">
              <w:rPr>
                <w:rFonts w:ascii="Arial" w:hAnsi="Arial" w:cs="Arial"/>
              </w:rPr>
              <w:t>1.49%</w:t>
            </w:r>
          </w:p>
        </w:tc>
        <w:tc>
          <w:tcPr>
            <w:tcW w:w="1842" w:type="dxa"/>
            <w:vAlign w:val="bottom"/>
          </w:tcPr>
          <w:p w14:paraId="6DB72512" w14:textId="77777777" w:rsidR="00BF468B" w:rsidRPr="0003453F" w:rsidRDefault="00BF468B" w:rsidP="006C3FF4">
            <w:pPr>
              <w:pStyle w:val="TableParagraph"/>
              <w:spacing w:line="336" w:lineRule="auto"/>
              <w:ind w:left="18" w:right="8"/>
              <w:jc w:val="center"/>
              <w:rPr>
                <w:rFonts w:asciiTheme="minorHAnsi" w:hAnsiTheme="minorHAnsi" w:cstheme="minorBidi"/>
                <w:spacing w:val="-5"/>
              </w:rPr>
            </w:pPr>
            <w:r w:rsidRPr="3B2127CB">
              <w:rPr>
                <w:rFonts w:ascii="Arial" w:hAnsi="Arial" w:cs="Arial"/>
              </w:rPr>
              <w:t>4</w:t>
            </w:r>
          </w:p>
        </w:tc>
      </w:tr>
    </w:tbl>
    <w:p w14:paraId="39E78776" w14:textId="77777777" w:rsidR="00BF468B" w:rsidRDefault="00BF468B" w:rsidP="00BF468B">
      <w:pPr>
        <w:pStyle w:val="BodyText"/>
        <w:spacing w:line="336" w:lineRule="auto"/>
        <w:rPr>
          <w:b/>
          <w:bCs/>
          <w:lang w:val="en-AU"/>
        </w:rPr>
      </w:pPr>
      <w:r w:rsidRPr="3B2127CB">
        <w:rPr>
          <w:b/>
          <w:bCs/>
        </w:rPr>
        <w:t>Comments:</w:t>
      </w:r>
    </w:p>
    <w:p w14:paraId="02448FBD" w14:textId="77777777" w:rsidR="00BF468B" w:rsidRPr="00183250" w:rsidRDefault="00BF468B" w:rsidP="00BF468B">
      <w:pPr>
        <w:pStyle w:val="BodyText"/>
        <w:numPr>
          <w:ilvl w:val="0"/>
          <w:numId w:val="18"/>
        </w:numPr>
        <w:spacing w:line="336" w:lineRule="auto"/>
      </w:pPr>
      <w:r>
        <w:t>Most respondents (</w:t>
      </w:r>
      <w:r w:rsidRPr="3B2127CB">
        <w:rPr>
          <w:color w:val="auto"/>
        </w:rPr>
        <w:t xml:space="preserve">71.64%) </w:t>
      </w:r>
      <w:proofErr w:type="gramStart"/>
      <w:r>
        <w:t>had</w:t>
      </w:r>
      <w:proofErr w:type="gramEnd"/>
      <w:r>
        <w:t xml:space="preserve"> </w:t>
      </w:r>
      <w:r w:rsidRPr="3B2127CB">
        <w:rPr>
          <w:b/>
          <w:bCs/>
        </w:rPr>
        <w:t xml:space="preserve">visited </w:t>
      </w:r>
      <w:r>
        <w:t xml:space="preserve">a </w:t>
      </w:r>
      <w:proofErr w:type="gramStart"/>
      <w:r>
        <w:t>hospitals</w:t>
      </w:r>
      <w:proofErr w:type="gramEnd"/>
      <w:r>
        <w:t xml:space="preserve"> within the last year.</w:t>
      </w:r>
    </w:p>
    <w:p w14:paraId="1B4AFF48" w14:textId="77777777" w:rsidR="00BF468B" w:rsidRPr="00D6763F" w:rsidRDefault="00BF468B" w:rsidP="00BF468B">
      <w:pPr>
        <w:pStyle w:val="BodyText"/>
        <w:numPr>
          <w:ilvl w:val="0"/>
          <w:numId w:val="18"/>
        </w:numPr>
        <w:spacing w:line="336" w:lineRule="auto"/>
      </w:pPr>
      <w:r w:rsidRPr="3B2127CB">
        <w:rPr>
          <w:color w:val="auto"/>
        </w:rPr>
        <w:t>16.42% respondents</w:t>
      </w:r>
      <w:r>
        <w:t xml:space="preserve"> </w:t>
      </w:r>
      <w:proofErr w:type="gramStart"/>
      <w:r>
        <w:t>had</w:t>
      </w:r>
      <w:proofErr w:type="gramEnd"/>
      <w:r>
        <w:t xml:space="preserve"> visited a hospital within the past two years </w:t>
      </w:r>
    </w:p>
    <w:p w14:paraId="27303AC9" w14:textId="77777777" w:rsidR="00BF468B" w:rsidRPr="00183250" w:rsidRDefault="00BF468B" w:rsidP="00BF468B">
      <w:pPr>
        <w:pStyle w:val="BodyText"/>
        <w:numPr>
          <w:ilvl w:val="0"/>
          <w:numId w:val="18"/>
        </w:numPr>
        <w:spacing w:line="336" w:lineRule="auto"/>
      </w:pPr>
      <w:r>
        <w:t xml:space="preserve">Almost all respondents </w:t>
      </w:r>
      <w:proofErr w:type="gramStart"/>
      <w:r>
        <w:t>had</w:t>
      </w:r>
      <w:proofErr w:type="gramEnd"/>
      <w:r>
        <w:t xml:space="preserve"> been to hospital in the last 24 months.</w:t>
      </w:r>
    </w:p>
    <w:p w14:paraId="004C0265" w14:textId="77777777" w:rsidR="00BF468B" w:rsidRPr="00D6763F" w:rsidRDefault="00BF468B" w:rsidP="00BF468B">
      <w:pPr>
        <w:pStyle w:val="BodyText"/>
        <w:numPr>
          <w:ilvl w:val="0"/>
          <w:numId w:val="18"/>
        </w:numPr>
        <w:spacing w:line="336" w:lineRule="auto"/>
      </w:pPr>
      <w:r>
        <w:t>Only a small minority had not been to hospital for over five years or could not recall.</w:t>
      </w:r>
    </w:p>
    <w:p w14:paraId="7F049A34" w14:textId="77777777" w:rsidR="00BF468B" w:rsidRDefault="00BF468B" w:rsidP="00BF468B">
      <w:pPr>
        <w:spacing w:before="0" w:after="120" w:line="280" w:lineRule="atLeast"/>
        <w:rPr>
          <w:rFonts w:ascii="Arial" w:eastAsia="Times New Roman" w:hAnsi="Arial" w:cs="Times New Roman"/>
          <w:b/>
          <w:bCs/>
          <w:color w:val="005496"/>
        </w:rPr>
      </w:pPr>
      <w:r>
        <w:br w:type="page"/>
      </w:r>
    </w:p>
    <w:p w14:paraId="6E9CC1F6" w14:textId="77777777" w:rsidR="00BF468B" w:rsidRDefault="00BF468B" w:rsidP="00BF468B">
      <w:pPr>
        <w:pStyle w:val="Heading4"/>
      </w:pPr>
      <w:r>
        <w:lastRenderedPageBreak/>
        <w:t>Question 2: Why did you go to hospital?</w:t>
      </w:r>
    </w:p>
    <w:p w14:paraId="0EC9F960" w14:textId="77777777" w:rsidR="00BF468B" w:rsidRDefault="00BF468B" w:rsidP="00BF468B">
      <w:r>
        <w:t>Answered: 265: Skipped: 4.</w:t>
      </w:r>
    </w:p>
    <w:tbl>
      <w:tblPr>
        <w:tblW w:w="7516"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3970"/>
        <w:gridCol w:w="1704"/>
        <w:gridCol w:w="1842"/>
      </w:tblGrid>
      <w:tr w:rsidR="00BF468B" w:rsidRPr="0048634C" w14:paraId="5B8F3802" w14:textId="77777777" w:rsidTr="006C3FF4">
        <w:trPr>
          <w:trHeight w:val="485"/>
          <w:jc w:val="center"/>
        </w:trPr>
        <w:tc>
          <w:tcPr>
            <w:tcW w:w="3970" w:type="dxa"/>
            <w:shd w:val="clear" w:color="auto" w:fill="00BDF2" w:themeFill="accent2"/>
            <w:vAlign w:val="center"/>
          </w:tcPr>
          <w:p w14:paraId="757086DA" w14:textId="77777777" w:rsidR="00BF468B" w:rsidRPr="00446153" w:rsidRDefault="00BF468B" w:rsidP="006C3FF4">
            <w:pPr>
              <w:spacing w:before="0" w:after="0" w:line="240" w:lineRule="auto"/>
              <w:jc w:val="center"/>
              <w:rPr>
                <w:rFonts w:ascii="Arial" w:hAnsi="Arial" w:cs="Arial"/>
                <w:b/>
                <w:bCs/>
                <w:color w:val="333333"/>
              </w:rPr>
            </w:pPr>
            <w:r w:rsidRPr="3B2127CB">
              <w:rPr>
                <w:rFonts w:ascii="Arial" w:hAnsi="Arial" w:cs="Arial"/>
                <w:b/>
                <w:bCs/>
                <w:color w:val="333333"/>
              </w:rPr>
              <w:t>Answer Choices</w:t>
            </w:r>
          </w:p>
        </w:tc>
        <w:tc>
          <w:tcPr>
            <w:tcW w:w="1704" w:type="dxa"/>
            <w:shd w:val="clear" w:color="auto" w:fill="00BDF2" w:themeFill="accent2"/>
            <w:vAlign w:val="center"/>
          </w:tcPr>
          <w:p w14:paraId="78F25520"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TOTAL</w:t>
            </w:r>
          </w:p>
        </w:tc>
        <w:tc>
          <w:tcPr>
            <w:tcW w:w="1842" w:type="dxa"/>
            <w:tcBorders>
              <w:top w:val="nil"/>
            </w:tcBorders>
            <w:shd w:val="clear" w:color="auto" w:fill="45B97C" w:themeFill="accent4"/>
            <w:vAlign w:val="center"/>
          </w:tcPr>
          <w:p w14:paraId="03B89741"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color w:val="E2DDDB" w:themeColor="background2"/>
                <w:spacing w:val="-2"/>
              </w:rPr>
            </w:pPr>
            <w:r w:rsidRPr="3B2127CB">
              <w:rPr>
                <w:rFonts w:asciiTheme="minorHAnsi" w:hAnsiTheme="minorHAnsi" w:cstheme="minorBidi"/>
                <w:b/>
                <w:bCs/>
                <w:spacing w:val="-2"/>
              </w:rPr>
              <w:t>QTY</w:t>
            </w:r>
          </w:p>
        </w:tc>
      </w:tr>
      <w:tr w:rsidR="00BF468B" w:rsidRPr="0048634C" w14:paraId="4DED3795" w14:textId="77777777" w:rsidTr="006C3FF4">
        <w:trPr>
          <w:trHeight w:val="390"/>
          <w:jc w:val="center"/>
        </w:trPr>
        <w:tc>
          <w:tcPr>
            <w:tcW w:w="3970" w:type="dxa"/>
          </w:tcPr>
          <w:p w14:paraId="206482B0" w14:textId="77777777" w:rsidR="00BF468B" w:rsidRPr="003E6AAB" w:rsidRDefault="00BF468B" w:rsidP="006C3FF4">
            <w:pPr>
              <w:pStyle w:val="TableParagraph"/>
              <w:spacing w:line="336" w:lineRule="auto"/>
              <w:ind w:left="112"/>
              <w:jc w:val="center"/>
              <w:rPr>
                <w:rFonts w:ascii="Arial" w:hAnsi="Arial" w:cs="Arial"/>
              </w:rPr>
            </w:pPr>
            <w:r w:rsidRPr="3B2127CB">
              <w:rPr>
                <w:rFonts w:ascii="Arial" w:hAnsi="Arial" w:cs="Arial"/>
              </w:rPr>
              <w:t>For your own care</w:t>
            </w:r>
          </w:p>
        </w:tc>
        <w:tc>
          <w:tcPr>
            <w:tcW w:w="1704" w:type="dxa"/>
          </w:tcPr>
          <w:p w14:paraId="4AF66B3C" w14:textId="77777777" w:rsidR="00BF468B" w:rsidRPr="003E6AAB" w:rsidRDefault="00BF468B" w:rsidP="006C3FF4">
            <w:pPr>
              <w:pStyle w:val="TableParagraph"/>
              <w:spacing w:line="336" w:lineRule="auto"/>
              <w:ind w:right="7"/>
              <w:jc w:val="center"/>
              <w:rPr>
                <w:rFonts w:ascii="Arial" w:hAnsi="Arial" w:cs="Arial"/>
              </w:rPr>
            </w:pPr>
            <w:r w:rsidRPr="3B2127CB">
              <w:rPr>
                <w:rFonts w:ascii="Arial" w:hAnsi="Arial" w:cs="Arial"/>
              </w:rPr>
              <w:t>79.25%</w:t>
            </w:r>
          </w:p>
        </w:tc>
        <w:tc>
          <w:tcPr>
            <w:tcW w:w="1842" w:type="dxa"/>
          </w:tcPr>
          <w:p w14:paraId="6A7CB9B5" w14:textId="77777777" w:rsidR="00BF468B" w:rsidRPr="003E6AAB" w:rsidRDefault="00BF468B" w:rsidP="006C3FF4">
            <w:pPr>
              <w:pStyle w:val="TableParagraph"/>
              <w:spacing w:line="336" w:lineRule="auto"/>
              <w:ind w:left="18" w:right="8"/>
              <w:jc w:val="center"/>
              <w:rPr>
                <w:rFonts w:ascii="Arial" w:hAnsi="Arial" w:cs="Arial"/>
              </w:rPr>
            </w:pPr>
            <w:r w:rsidRPr="3B2127CB">
              <w:rPr>
                <w:rFonts w:ascii="Arial" w:hAnsi="Arial" w:cs="Arial"/>
              </w:rPr>
              <w:t>210</w:t>
            </w:r>
          </w:p>
        </w:tc>
      </w:tr>
      <w:tr w:rsidR="00BF468B" w:rsidRPr="0048634C" w14:paraId="271B7513" w14:textId="77777777" w:rsidTr="006C3FF4">
        <w:trPr>
          <w:trHeight w:val="390"/>
          <w:jc w:val="center"/>
        </w:trPr>
        <w:tc>
          <w:tcPr>
            <w:tcW w:w="3970" w:type="dxa"/>
          </w:tcPr>
          <w:p w14:paraId="207A3F60" w14:textId="77777777" w:rsidR="00BF468B" w:rsidRPr="003E6AAB" w:rsidRDefault="00BF468B" w:rsidP="006C3FF4">
            <w:pPr>
              <w:pStyle w:val="TableParagraph"/>
              <w:spacing w:line="336" w:lineRule="auto"/>
              <w:ind w:left="112"/>
              <w:jc w:val="center"/>
              <w:rPr>
                <w:rFonts w:ascii="Arial" w:hAnsi="Arial" w:cs="Arial"/>
              </w:rPr>
            </w:pPr>
            <w:r w:rsidRPr="3B2127CB">
              <w:rPr>
                <w:rFonts w:ascii="Arial" w:hAnsi="Arial" w:cs="Arial"/>
              </w:rPr>
              <w:t>To support someone else</w:t>
            </w:r>
          </w:p>
        </w:tc>
        <w:tc>
          <w:tcPr>
            <w:tcW w:w="1704" w:type="dxa"/>
          </w:tcPr>
          <w:p w14:paraId="0CDDFD1A" w14:textId="77777777" w:rsidR="00BF468B" w:rsidRPr="003E6AAB" w:rsidRDefault="00BF468B" w:rsidP="006C3FF4">
            <w:pPr>
              <w:pStyle w:val="TableParagraph"/>
              <w:spacing w:line="336" w:lineRule="auto"/>
              <w:ind w:right="7"/>
              <w:jc w:val="center"/>
              <w:rPr>
                <w:rFonts w:ascii="Arial" w:hAnsi="Arial" w:cs="Arial"/>
              </w:rPr>
            </w:pPr>
            <w:r w:rsidRPr="3B2127CB">
              <w:rPr>
                <w:rFonts w:ascii="Arial" w:hAnsi="Arial" w:cs="Arial"/>
              </w:rPr>
              <w:t>24.53%</w:t>
            </w:r>
          </w:p>
        </w:tc>
        <w:tc>
          <w:tcPr>
            <w:tcW w:w="1842" w:type="dxa"/>
          </w:tcPr>
          <w:p w14:paraId="3B437CE7" w14:textId="77777777" w:rsidR="00BF468B" w:rsidRPr="003E6AAB" w:rsidRDefault="00BF468B" w:rsidP="006C3FF4">
            <w:pPr>
              <w:pStyle w:val="TableParagraph"/>
              <w:spacing w:line="336" w:lineRule="auto"/>
              <w:ind w:left="18" w:right="8"/>
              <w:jc w:val="center"/>
              <w:rPr>
                <w:rFonts w:ascii="Arial" w:hAnsi="Arial" w:cs="Arial"/>
              </w:rPr>
            </w:pPr>
            <w:r w:rsidRPr="3B2127CB">
              <w:rPr>
                <w:rFonts w:ascii="Arial" w:hAnsi="Arial" w:cs="Arial"/>
              </w:rPr>
              <w:t>65</w:t>
            </w:r>
          </w:p>
        </w:tc>
      </w:tr>
      <w:tr w:rsidR="00BF468B" w:rsidRPr="0048634C" w14:paraId="15E909C3" w14:textId="77777777" w:rsidTr="006C3FF4">
        <w:trPr>
          <w:trHeight w:val="390"/>
          <w:jc w:val="center"/>
        </w:trPr>
        <w:tc>
          <w:tcPr>
            <w:tcW w:w="3970" w:type="dxa"/>
          </w:tcPr>
          <w:p w14:paraId="6367147F" w14:textId="77777777" w:rsidR="00BF468B" w:rsidRPr="003E6AAB" w:rsidRDefault="00BF468B" w:rsidP="006C3FF4">
            <w:pPr>
              <w:pStyle w:val="TableParagraph"/>
              <w:spacing w:line="336" w:lineRule="auto"/>
              <w:ind w:left="112"/>
              <w:jc w:val="center"/>
              <w:rPr>
                <w:rFonts w:ascii="Arial" w:hAnsi="Arial" w:cs="Arial"/>
              </w:rPr>
            </w:pPr>
            <w:r w:rsidRPr="3B2127CB">
              <w:rPr>
                <w:rFonts w:ascii="Arial" w:hAnsi="Arial" w:cs="Arial"/>
              </w:rPr>
              <w:t>I prefer not to say</w:t>
            </w:r>
          </w:p>
        </w:tc>
        <w:tc>
          <w:tcPr>
            <w:tcW w:w="1704" w:type="dxa"/>
          </w:tcPr>
          <w:p w14:paraId="048A27A1" w14:textId="77777777" w:rsidR="00BF468B" w:rsidRPr="003E6AAB" w:rsidRDefault="00BF468B" w:rsidP="006C3FF4">
            <w:pPr>
              <w:pStyle w:val="TableParagraph"/>
              <w:spacing w:line="336" w:lineRule="auto"/>
              <w:ind w:right="7"/>
              <w:jc w:val="center"/>
              <w:rPr>
                <w:rFonts w:ascii="Arial" w:hAnsi="Arial" w:cs="Arial"/>
              </w:rPr>
            </w:pPr>
            <w:r w:rsidRPr="3B2127CB">
              <w:rPr>
                <w:rFonts w:ascii="Arial" w:hAnsi="Arial" w:cs="Arial"/>
              </w:rPr>
              <w:t>1.89%</w:t>
            </w:r>
          </w:p>
        </w:tc>
        <w:tc>
          <w:tcPr>
            <w:tcW w:w="1842" w:type="dxa"/>
          </w:tcPr>
          <w:p w14:paraId="431EF6A6" w14:textId="77777777" w:rsidR="00BF468B" w:rsidRPr="003E6AAB" w:rsidRDefault="00BF468B" w:rsidP="006C3FF4">
            <w:pPr>
              <w:pStyle w:val="TableParagraph"/>
              <w:spacing w:line="336" w:lineRule="auto"/>
              <w:ind w:left="18" w:right="8"/>
              <w:jc w:val="center"/>
              <w:rPr>
                <w:rFonts w:ascii="Arial" w:hAnsi="Arial" w:cs="Arial"/>
              </w:rPr>
            </w:pPr>
            <w:r w:rsidRPr="3B2127CB">
              <w:rPr>
                <w:rFonts w:ascii="Arial" w:hAnsi="Arial" w:cs="Arial"/>
              </w:rPr>
              <w:t>5</w:t>
            </w:r>
          </w:p>
        </w:tc>
      </w:tr>
    </w:tbl>
    <w:p w14:paraId="28282DF2" w14:textId="77777777" w:rsidR="00BF468B" w:rsidRDefault="00BF468B" w:rsidP="00BF468B">
      <w:pPr>
        <w:pStyle w:val="BodyText"/>
        <w:spacing w:line="336" w:lineRule="auto"/>
        <w:rPr>
          <w:b/>
          <w:bCs/>
          <w:lang w:val="en-AU"/>
        </w:rPr>
      </w:pPr>
      <w:r w:rsidRPr="3B2127CB">
        <w:rPr>
          <w:b/>
          <w:bCs/>
        </w:rPr>
        <w:t>Comments:</w:t>
      </w:r>
    </w:p>
    <w:p w14:paraId="287767EB" w14:textId="77777777" w:rsidR="00BF468B" w:rsidRDefault="00BF468B" w:rsidP="00BF468B">
      <w:pPr>
        <w:pStyle w:val="ListParagraph"/>
        <w:numPr>
          <w:ilvl w:val="0"/>
          <w:numId w:val="42"/>
        </w:numPr>
      </w:pPr>
      <w:r>
        <w:t>Most respondents (79.25%) had visited the hospital for their own care.</w:t>
      </w:r>
    </w:p>
    <w:p w14:paraId="07DA7565" w14:textId="77777777" w:rsidR="00BF468B" w:rsidRDefault="00BF468B" w:rsidP="00BF468B">
      <w:pPr>
        <w:pStyle w:val="ListParagraph"/>
        <w:numPr>
          <w:ilvl w:val="0"/>
          <w:numId w:val="19"/>
        </w:numPr>
      </w:pPr>
      <w:r w:rsidRPr="00E96A36">
        <w:rPr>
          <w:rFonts w:cs="Arial"/>
        </w:rPr>
        <w:t xml:space="preserve">24.53% </w:t>
      </w:r>
      <w:r>
        <w:t xml:space="preserve">attended hospitals to support someone else. </w:t>
      </w:r>
    </w:p>
    <w:p w14:paraId="62D6610E" w14:textId="77777777" w:rsidR="00BF468B" w:rsidRDefault="00BF468B" w:rsidP="00BF468B">
      <w:pPr>
        <w:pStyle w:val="ListParagraph"/>
        <w:numPr>
          <w:ilvl w:val="0"/>
          <w:numId w:val="19"/>
        </w:numPr>
      </w:pPr>
      <w:r>
        <w:t>A very small number withheld their reason.</w:t>
      </w:r>
    </w:p>
    <w:p w14:paraId="55564D39" w14:textId="77777777" w:rsidR="00BF468B" w:rsidRDefault="00BF468B" w:rsidP="00BF468B">
      <w:pPr>
        <w:pStyle w:val="Heading4"/>
      </w:pPr>
      <w:r>
        <w:t xml:space="preserve">Questions 3: </w:t>
      </w:r>
      <w:r w:rsidRPr="003E6AAB">
        <w:t>Thinking about your experiences at a hospital. What do you think went well?</w:t>
      </w:r>
    </w:p>
    <w:p w14:paraId="6ADD5633" w14:textId="77777777" w:rsidR="00BF468B" w:rsidRDefault="00BF468B" w:rsidP="00BF468B">
      <w:r>
        <w:t>Answered: 233. Skipped: 36</w:t>
      </w:r>
    </w:p>
    <w:p w14:paraId="4840E234" w14:textId="77777777" w:rsidR="00BF468B" w:rsidRDefault="00BF468B" w:rsidP="00BF468B">
      <w:r w:rsidRPr="00AE27F9">
        <w:t>Respondents shared mixed experiences in hospitals, ranging from excellent care and positive staff interactions to negative accounts of poor communication, long waiting times, and lack of accessibility.</w:t>
      </w:r>
    </w:p>
    <w:p w14:paraId="7C32D282" w14:textId="77777777" w:rsidR="00BF468B" w:rsidRPr="00802C8C" w:rsidRDefault="00BF468B" w:rsidP="00BF468B">
      <w:pPr>
        <w:rPr>
          <w:b/>
          <w:bCs/>
        </w:rPr>
      </w:pPr>
      <w:r w:rsidRPr="3B2127CB">
        <w:rPr>
          <w:b/>
          <w:bCs/>
        </w:rPr>
        <w:t>Key Themes</w:t>
      </w:r>
    </w:p>
    <w:p w14:paraId="44C2BB77" w14:textId="77777777" w:rsidR="00BF468B" w:rsidRPr="007D78E4" w:rsidRDefault="00BF468B" w:rsidP="00BF468B">
      <w:pPr>
        <w:pStyle w:val="BodyText"/>
        <w:numPr>
          <w:ilvl w:val="0"/>
          <w:numId w:val="20"/>
        </w:numPr>
        <w:rPr>
          <w:b/>
          <w:bCs/>
        </w:rPr>
      </w:pPr>
      <w:r w:rsidRPr="3B2127CB">
        <w:rPr>
          <w:rStyle w:val="Strong"/>
          <w:b w:val="0"/>
          <w:bCs w:val="0"/>
        </w:rPr>
        <w:t xml:space="preserve">52.6% (123 responses) </w:t>
      </w:r>
      <w:r w:rsidRPr="00567DC2">
        <w:rPr>
          <w:rStyle w:val="Strong"/>
          <w:b w:val="0"/>
          <w:bCs w:val="0"/>
        </w:rPr>
        <w:t xml:space="preserve">shared a </w:t>
      </w:r>
      <w:r w:rsidRPr="00567DC2">
        <w:t>positive experience</w:t>
      </w:r>
    </w:p>
    <w:p w14:paraId="7D9E8FFB" w14:textId="77777777" w:rsidR="00BF468B" w:rsidRPr="00802C8C" w:rsidRDefault="00BF468B" w:rsidP="00BF468B">
      <w:pPr>
        <w:numPr>
          <w:ilvl w:val="1"/>
          <w:numId w:val="20"/>
        </w:numPr>
      </w:pPr>
      <w:r>
        <w:t>Good treatment outcomes</w:t>
      </w:r>
    </w:p>
    <w:p w14:paraId="47068286" w14:textId="77777777" w:rsidR="00BF468B" w:rsidRPr="00802C8C" w:rsidRDefault="00BF468B" w:rsidP="00BF468B">
      <w:pPr>
        <w:numPr>
          <w:ilvl w:val="1"/>
          <w:numId w:val="20"/>
        </w:numPr>
      </w:pPr>
      <w:r>
        <w:t>Caring and knowledgeable doctors and nurses.</w:t>
      </w:r>
    </w:p>
    <w:p w14:paraId="5FCA2FB6" w14:textId="77777777" w:rsidR="00BF468B" w:rsidRPr="00802C8C" w:rsidRDefault="00BF468B" w:rsidP="00BF468B">
      <w:pPr>
        <w:numPr>
          <w:ilvl w:val="1"/>
          <w:numId w:val="20"/>
        </w:numPr>
      </w:pPr>
      <w:r w:rsidRPr="00802C8C">
        <w:t>Effective communication in some cases.</w:t>
      </w:r>
    </w:p>
    <w:p w14:paraId="6A953B92" w14:textId="77777777" w:rsidR="00BF468B" w:rsidRDefault="00BF468B" w:rsidP="00BF468B">
      <w:pPr>
        <w:numPr>
          <w:ilvl w:val="1"/>
          <w:numId w:val="20"/>
        </w:numPr>
      </w:pPr>
      <w:r w:rsidRPr="00802C8C">
        <w:lastRenderedPageBreak/>
        <w:t>Smooth provision of tests and medications.</w:t>
      </w:r>
    </w:p>
    <w:p w14:paraId="7A1B43CD" w14:textId="77777777" w:rsidR="00BF468B" w:rsidRPr="00802C8C" w:rsidRDefault="00BF468B" w:rsidP="00BF468B">
      <w:pPr>
        <w:pStyle w:val="IntenseQuote"/>
      </w:pPr>
      <w:r w:rsidRPr="002E0F78">
        <w:t>“The doctor was knowledgeable and caring.”</w:t>
      </w:r>
    </w:p>
    <w:p w14:paraId="030501AB" w14:textId="77777777" w:rsidR="00BF468B" w:rsidRPr="00802C8C" w:rsidRDefault="00BF468B" w:rsidP="00BF468B">
      <w:pPr>
        <w:numPr>
          <w:ilvl w:val="0"/>
          <w:numId w:val="20"/>
        </w:numPr>
      </w:pPr>
      <w:r w:rsidRPr="3B2127CB">
        <w:rPr>
          <w:rStyle w:val="Strong"/>
          <w:b w:val="0"/>
          <w:bCs w:val="0"/>
        </w:rPr>
        <w:t>9.4% (22 responses) shared a</w:t>
      </w:r>
      <w:r w:rsidRPr="3B2127CB">
        <w:rPr>
          <w:rStyle w:val="Strong"/>
        </w:rPr>
        <w:t xml:space="preserve"> </w:t>
      </w:r>
      <w:r>
        <w:t>negative experience</w:t>
      </w:r>
    </w:p>
    <w:p w14:paraId="721DA9B3" w14:textId="77777777" w:rsidR="00BF468B" w:rsidRPr="00802C8C" w:rsidRDefault="00BF468B" w:rsidP="00BF468B">
      <w:pPr>
        <w:numPr>
          <w:ilvl w:val="1"/>
          <w:numId w:val="20"/>
        </w:numPr>
      </w:pPr>
      <w:r w:rsidRPr="00802C8C">
        <w:t>Long emergency department wait times.</w:t>
      </w:r>
    </w:p>
    <w:p w14:paraId="77043B27" w14:textId="77777777" w:rsidR="00BF468B" w:rsidRPr="00802C8C" w:rsidRDefault="00BF468B" w:rsidP="00BF468B">
      <w:pPr>
        <w:numPr>
          <w:ilvl w:val="1"/>
          <w:numId w:val="20"/>
        </w:numPr>
      </w:pPr>
      <w:r w:rsidRPr="00802C8C">
        <w:t>Poor staff understanding of disability needs.</w:t>
      </w:r>
    </w:p>
    <w:p w14:paraId="785E3323" w14:textId="77777777" w:rsidR="00BF468B" w:rsidRPr="00802C8C" w:rsidRDefault="00BF468B" w:rsidP="00BF468B">
      <w:pPr>
        <w:numPr>
          <w:ilvl w:val="1"/>
          <w:numId w:val="20"/>
        </w:numPr>
      </w:pPr>
      <w:r w:rsidRPr="00802C8C">
        <w:t>Instances of dismissal or lack of meaningful care</w:t>
      </w:r>
    </w:p>
    <w:p w14:paraId="50DCBC2D" w14:textId="77777777" w:rsidR="00BF468B" w:rsidRDefault="00BF468B" w:rsidP="00BF468B">
      <w:pPr>
        <w:numPr>
          <w:ilvl w:val="1"/>
          <w:numId w:val="20"/>
        </w:numPr>
      </w:pPr>
      <w:r w:rsidRPr="00802C8C">
        <w:t>Accessibility challenges (physical environment, communication barriers).</w:t>
      </w:r>
    </w:p>
    <w:p w14:paraId="3F2BEAEE" w14:textId="77777777" w:rsidR="00BF468B" w:rsidRDefault="00BF468B" w:rsidP="00BF468B">
      <w:pPr>
        <w:pStyle w:val="IntenseQuote"/>
      </w:pPr>
      <w:r w:rsidRPr="009E13D2">
        <w:t>“Hospital staff struggled to understand the needs of disabled patients.”</w:t>
      </w:r>
    </w:p>
    <w:p w14:paraId="12E08B79" w14:textId="77777777" w:rsidR="00BF468B" w:rsidRPr="009E13D2" w:rsidRDefault="00BF468B" w:rsidP="00BF468B">
      <w:pPr>
        <w:pStyle w:val="IntenseQuote"/>
      </w:pPr>
      <w:r>
        <w:t>“I had to wait a long time in emergency. I was left alone without assistance.”</w:t>
      </w:r>
    </w:p>
    <w:p w14:paraId="4B5360B8" w14:textId="77777777" w:rsidR="00BF468B" w:rsidRPr="00802C8C" w:rsidRDefault="00BF468B" w:rsidP="00BF468B">
      <w:pPr>
        <w:numPr>
          <w:ilvl w:val="0"/>
          <w:numId w:val="20"/>
        </w:numPr>
      </w:pPr>
      <w:r w:rsidRPr="3B2127CB">
        <w:rPr>
          <w:b/>
          <w:bCs/>
        </w:rPr>
        <w:t>Systemic barriers</w:t>
      </w:r>
      <w:r>
        <w:t>:</w:t>
      </w:r>
    </w:p>
    <w:p w14:paraId="58B262C9" w14:textId="77777777" w:rsidR="00BF468B" w:rsidRPr="00802C8C" w:rsidRDefault="00BF468B" w:rsidP="00BF468B">
      <w:pPr>
        <w:numPr>
          <w:ilvl w:val="1"/>
          <w:numId w:val="20"/>
        </w:numPr>
      </w:pPr>
      <w:r w:rsidRPr="00802C8C">
        <w:t>Issues with hospital transfer between facilities.</w:t>
      </w:r>
    </w:p>
    <w:p w14:paraId="4E84A118" w14:textId="77777777" w:rsidR="00BF468B" w:rsidRDefault="00BF468B" w:rsidP="00BF468B">
      <w:pPr>
        <w:numPr>
          <w:ilvl w:val="1"/>
          <w:numId w:val="20"/>
        </w:numPr>
      </w:pPr>
      <w:r w:rsidRPr="00802C8C">
        <w:t>Regional hospital delays, especially around surgery.</w:t>
      </w:r>
    </w:p>
    <w:p w14:paraId="5124FB05" w14:textId="77777777" w:rsidR="00BF468B" w:rsidRPr="00802C8C" w:rsidRDefault="00BF468B" w:rsidP="00BF468B">
      <w:pPr>
        <w:numPr>
          <w:ilvl w:val="1"/>
          <w:numId w:val="20"/>
        </w:numPr>
      </w:pPr>
      <w:r>
        <w:t>Staff too overworked or stressed to provide care.</w:t>
      </w:r>
    </w:p>
    <w:p w14:paraId="12BEDED6" w14:textId="77777777" w:rsidR="00BF468B" w:rsidRPr="00802C8C" w:rsidRDefault="00BF468B" w:rsidP="00BF468B">
      <w:pPr>
        <w:numPr>
          <w:ilvl w:val="1"/>
          <w:numId w:val="20"/>
        </w:numPr>
      </w:pPr>
      <w:r w:rsidRPr="00802C8C">
        <w:t>Reliance on private care for better outcomes.</w:t>
      </w:r>
    </w:p>
    <w:p w14:paraId="3F77806C" w14:textId="77777777" w:rsidR="00BF468B" w:rsidRPr="00AE27F9" w:rsidRDefault="00BF468B" w:rsidP="00BF468B">
      <w:pPr>
        <w:pStyle w:val="IntenseQuote"/>
      </w:pPr>
      <w:r>
        <w:t>“</w:t>
      </w:r>
      <w:proofErr w:type="gramStart"/>
      <w:r>
        <w:t>Being a regional hospital</w:t>
      </w:r>
      <w:proofErr w:type="gramEnd"/>
      <w:r>
        <w:t xml:space="preserve"> the surgery waiting time was long, but once it happened it went well.”</w:t>
      </w:r>
    </w:p>
    <w:p w14:paraId="6686906A" w14:textId="77777777" w:rsidR="00BF468B" w:rsidRDefault="00BF468B" w:rsidP="00BF468B">
      <w:pPr>
        <w:pStyle w:val="Heading4"/>
      </w:pPr>
      <w:r>
        <w:lastRenderedPageBreak/>
        <w:t xml:space="preserve">Question 4: Did you have any concerns about the care that was given at the </w:t>
      </w:r>
      <w:proofErr w:type="gramStart"/>
      <w:r>
        <w:t>hospital?.</w:t>
      </w:r>
      <w:proofErr w:type="gramEnd"/>
    </w:p>
    <w:p w14:paraId="535F22E6" w14:textId="77777777" w:rsidR="00BF468B" w:rsidRDefault="00BF468B" w:rsidP="00BF468B">
      <w:r>
        <w:t>Answered: 241. Skipped: 28</w:t>
      </w:r>
    </w:p>
    <w:p w14:paraId="03CABD15" w14:textId="77777777" w:rsidR="00BF468B" w:rsidRPr="00EE0A5E" w:rsidRDefault="00BF468B" w:rsidP="00BF468B">
      <w:r w:rsidRPr="00EE0A5E">
        <w:t>Responses showed clear concern about hospital care. While a few had positive experiences, most concerns related to long waits, poor staff training, lack of accommodations, and safety risks.</w:t>
      </w:r>
    </w:p>
    <w:p w14:paraId="13C474D8" w14:textId="77777777" w:rsidR="00BF468B" w:rsidRPr="00EE0A5E" w:rsidRDefault="00BF468B" w:rsidP="00BF468B">
      <w:pPr>
        <w:rPr>
          <w:b/>
          <w:bCs/>
        </w:rPr>
      </w:pPr>
      <w:r w:rsidRPr="3B2127CB">
        <w:rPr>
          <w:b/>
          <w:bCs/>
        </w:rPr>
        <w:t>Key Themes</w:t>
      </w:r>
    </w:p>
    <w:p w14:paraId="72C34E5E" w14:textId="77777777" w:rsidR="00BF468B" w:rsidRDefault="00BF468B" w:rsidP="00BF468B">
      <w:pPr>
        <w:numPr>
          <w:ilvl w:val="0"/>
          <w:numId w:val="21"/>
        </w:numPr>
      </w:pPr>
      <w:r w:rsidRPr="00EE0A5E">
        <w:rPr>
          <w:b/>
          <w:bCs/>
        </w:rPr>
        <w:t>Long waits and delays</w:t>
      </w:r>
      <w:r w:rsidRPr="00EE0A5E">
        <w:t>: People described waiting excessive times in emergency and for call bells to be answered.</w:t>
      </w:r>
    </w:p>
    <w:p w14:paraId="49A26C6D" w14:textId="77777777" w:rsidR="00BF468B" w:rsidRPr="00EE0A5E" w:rsidRDefault="00BF468B" w:rsidP="00BF468B">
      <w:pPr>
        <w:pStyle w:val="IntenseQuote"/>
      </w:pPr>
      <w:r w:rsidRPr="00793404">
        <w:t>“There was a long wait in emergency. I almost left without being seen.”</w:t>
      </w:r>
    </w:p>
    <w:p w14:paraId="77266A3C" w14:textId="77777777" w:rsidR="00BF468B" w:rsidRDefault="00BF468B" w:rsidP="00BF468B">
      <w:pPr>
        <w:numPr>
          <w:ilvl w:val="0"/>
          <w:numId w:val="21"/>
        </w:numPr>
      </w:pPr>
      <w:r w:rsidRPr="3B2127CB">
        <w:rPr>
          <w:b/>
          <w:bCs/>
        </w:rPr>
        <w:t>Poor communication</w:t>
      </w:r>
      <w:r>
        <w:t>: Lack of communication:</w:t>
      </w:r>
    </w:p>
    <w:p w14:paraId="17C67B6E" w14:textId="77777777" w:rsidR="00BF468B" w:rsidRDefault="00BF468B" w:rsidP="00BF468B">
      <w:pPr>
        <w:numPr>
          <w:ilvl w:val="0"/>
          <w:numId w:val="40"/>
        </w:numPr>
      </w:pPr>
      <w:r>
        <w:t>Between departments.</w:t>
      </w:r>
    </w:p>
    <w:p w14:paraId="3479F9B6" w14:textId="77777777" w:rsidR="00BF468B" w:rsidRDefault="00BF468B" w:rsidP="00BF468B">
      <w:pPr>
        <w:numPr>
          <w:ilvl w:val="0"/>
          <w:numId w:val="40"/>
        </w:numPr>
      </w:pPr>
      <w:r>
        <w:t>W</w:t>
      </w:r>
      <w:r w:rsidRPr="00EE0A5E">
        <w:t xml:space="preserve">ith patients </w:t>
      </w:r>
      <w:r>
        <w:t xml:space="preserve">about their care. </w:t>
      </w:r>
    </w:p>
    <w:p w14:paraId="466D9149" w14:textId="77777777" w:rsidR="00BF468B" w:rsidRDefault="00BF468B" w:rsidP="00BF468B">
      <w:pPr>
        <w:numPr>
          <w:ilvl w:val="0"/>
          <w:numId w:val="40"/>
        </w:numPr>
      </w:pPr>
      <w:r>
        <w:t xml:space="preserve">In accessible formats or with interpretation when needed </w:t>
      </w:r>
      <w:r w:rsidRPr="00EE0A5E">
        <w:t>was a recurring issue.</w:t>
      </w:r>
    </w:p>
    <w:p w14:paraId="746B7303" w14:textId="77777777" w:rsidR="00BF468B" w:rsidRPr="00EE0A5E" w:rsidRDefault="00BF468B" w:rsidP="00BF468B">
      <w:pPr>
        <w:numPr>
          <w:ilvl w:val="0"/>
          <w:numId w:val="21"/>
        </w:numPr>
      </w:pPr>
      <w:r w:rsidRPr="3B2127CB">
        <w:rPr>
          <w:b/>
          <w:bCs/>
        </w:rPr>
        <w:t>Accessibility and accommodations</w:t>
      </w:r>
      <w:r>
        <w:t>:</w:t>
      </w:r>
    </w:p>
    <w:p w14:paraId="59281D98" w14:textId="77777777" w:rsidR="00BF468B" w:rsidRPr="00EE0A5E" w:rsidRDefault="00BF468B" w:rsidP="00BF468B">
      <w:pPr>
        <w:numPr>
          <w:ilvl w:val="1"/>
          <w:numId w:val="21"/>
        </w:numPr>
      </w:pPr>
      <w:r w:rsidRPr="00EE0A5E">
        <w:t>Denial of personal mobility aids (e.g., wheelchairs).</w:t>
      </w:r>
    </w:p>
    <w:p w14:paraId="73043272" w14:textId="77777777" w:rsidR="00BF468B" w:rsidRPr="00EE0A5E" w:rsidRDefault="00BF468B" w:rsidP="00BF468B">
      <w:pPr>
        <w:numPr>
          <w:ilvl w:val="1"/>
          <w:numId w:val="21"/>
        </w:numPr>
      </w:pPr>
      <w:r w:rsidRPr="00EE0A5E">
        <w:t>Staff untrained in neurodiversity and disability support.</w:t>
      </w:r>
    </w:p>
    <w:p w14:paraId="031044A4" w14:textId="77777777" w:rsidR="00BF468B" w:rsidRDefault="00BF468B" w:rsidP="00BF468B">
      <w:pPr>
        <w:numPr>
          <w:ilvl w:val="1"/>
          <w:numId w:val="21"/>
        </w:numPr>
      </w:pPr>
      <w:r>
        <w:t>Discharge from hospital without handover or planning for disability support staff.</w:t>
      </w:r>
    </w:p>
    <w:p w14:paraId="2225F98F" w14:textId="77777777" w:rsidR="00BF468B" w:rsidRDefault="00BF468B" w:rsidP="00BF468B">
      <w:pPr>
        <w:numPr>
          <w:ilvl w:val="1"/>
          <w:numId w:val="21"/>
        </w:numPr>
      </w:pPr>
      <w:r w:rsidRPr="00EE0A5E">
        <w:t>Inadequate adjustments for chronic illness and chemical sensitivities.</w:t>
      </w:r>
    </w:p>
    <w:p w14:paraId="25E39C59" w14:textId="77777777" w:rsidR="00BF468B" w:rsidRDefault="00BF468B" w:rsidP="00BF468B">
      <w:pPr>
        <w:pStyle w:val="IntenseQuote"/>
      </w:pPr>
      <w:r>
        <w:lastRenderedPageBreak/>
        <w:t>“I wasn’t allowed to bring my own wheelchair. Care was not adequate without it.”</w:t>
      </w:r>
    </w:p>
    <w:p w14:paraId="27F1D20F" w14:textId="77777777" w:rsidR="00BF468B" w:rsidRPr="00B05A6D" w:rsidRDefault="00BF468B" w:rsidP="00BF468B">
      <w:pPr>
        <w:pStyle w:val="IntenseQuote"/>
      </w:pPr>
      <w:r w:rsidRPr="00266009">
        <w:t>Yes, staff were untrained in dealing with neurodiverse people and those with communication difficulties.</w:t>
      </w:r>
    </w:p>
    <w:p w14:paraId="0314471F" w14:textId="77777777" w:rsidR="00BF468B" w:rsidRDefault="00BF468B" w:rsidP="00BF468B">
      <w:pPr>
        <w:pStyle w:val="IntenseQuote"/>
        <w:rPr>
          <w:rStyle w:val="IntenseQuoteChar"/>
        </w:rPr>
      </w:pPr>
      <w:r w:rsidRPr="3B2127CB">
        <w:rPr>
          <w:rStyle w:val="IntenseQuoteChar"/>
        </w:rPr>
        <w:t xml:space="preserve">Imagine turning up with your guide dog… Then being asked if I was driving home. I mean, it was funny, but it sums up the robot style of some intake areas in these places. </w:t>
      </w:r>
    </w:p>
    <w:p w14:paraId="3BF9102F" w14:textId="77777777" w:rsidR="00BF468B" w:rsidRPr="004E0512" w:rsidRDefault="00BF468B" w:rsidP="00BF468B">
      <w:pPr>
        <w:pStyle w:val="IntenseQuote"/>
      </w:pPr>
      <w:r w:rsidRPr="004070C0">
        <w:t>Negative attitude and lack of understanding to FND</w:t>
      </w:r>
      <w:r>
        <w:t xml:space="preserve"> (Functional Neurological Disease).</w:t>
      </w:r>
    </w:p>
    <w:p w14:paraId="5CEE9D16" w14:textId="77777777" w:rsidR="00BF468B" w:rsidRDefault="00BF468B" w:rsidP="00BF468B">
      <w:pPr>
        <w:numPr>
          <w:ilvl w:val="0"/>
          <w:numId w:val="21"/>
        </w:numPr>
      </w:pPr>
      <w:r w:rsidRPr="3B2127CB">
        <w:rPr>
          <w:b/>
          <w:bCs/>
        </w:rPr>
        <w:t>Essential care and safety</w:t>
      </w:r>
      <w:r>
        <w:t>: Some patients and their carers raised:</w:t>
      </w:r>
    </w:p>
    <w:p w14:paraId="490D46CF" w14:textId="77777777" w:rsidR="00BF468B" w:rsidRDefault="00BF468B" w:rsidP="00BF468B">
      <w:pPr>
        <w:numPr>
          <w:ilvl w:val="1"/>
          <w:numId w:val="21"/>
        </w:numPr>
      </w:pPr>
      <w:r>
        <w:t>Lack of help with feeding or drinking.</w:t>
      </w:r>
    </w:p>
    <w:p w14:paraId="1D6249AB" w14:textId="77777777" w:rsidR="00BF468B" w:rsidRDefault="00BF468B" w:rsidP="00BF468B">
      <w:pPr>
        <w:numPr>
          <w:ilvl w:val="1"/>
          <w:numId w:val="21"/>
        </w:numPr>
      </w:pPr>
      <w:r>
        <w:t>No food offered that patients with dietary restrictions could eat.</w:t>
      </w:r>
    </w:p>
    <w:p w14:paraId="5EB0F01F" w14:textId="77777777" w:rsidR="00BF468B" w:rsidRDefault="00BF468B" w:rsidP="00BF468B">
      <w:pPr>
        <w:numPr>
          <w:ilvl w:val="1"/>
          <w:numId w:val="21"/>
        </w:numPr>
      </w:pPr>
      <w:r>
        <w:t>Lack of help, or very long delayed help with toileting and continence.</w:t>
      </w:r>
    </w:p>
    <w:p w14:paraId="44F8CEA5" w14:textId="77777777" w:rsidR="00BF468B" w:rsidRDefault="00BF468B" w:rsidP="00BF468B">
      <w:pPr>
        <w:numPr>
          <w:ilvl w:val="1"/>
          <w:numId w:val="21"/>
        </w:numPr>
      </w:pPr>
      <w:r>
        <w:t>Issues with medication error, loss, delayed dosage.</w:t>
      </w:r>
    </w:p>
    <w:p w14:paraId="181C73AC" w14:textId="77777777" w:rsidR="00BF468B" w:rsidRDefault="00BF468B" w:rsidP="00BF468B">
      <w:pPr>
        <w:numPr>
          <w:ilvl w:val="1"/>
          <w:numId w:val="21"/>
        </w:numPr>
      </w:pPr>
      <w:r>
        <w:t>No help with personal hygiene or wound care.</w:t>
      </w:r>
    </w:p>
    <w:p w14:paraId="168E5E43" w14:textId="77777777" w:rsidR="00BF468B" w:rsidRDefault="00BF468B" w:rsidP="00BF468B">
      <w:pPr>
        <w:numPr>
          <w:ilvl w:val="1"/>
          <w:numId w:val="21"/>
        </w:numPr>
      </w:pPr>
      <w:r>
        <w:t>Inadequate pain management.</w:t>
      </w:r>
    </w:p>
    <w:p w14:paraId="6EC2DC78" w14:textId="77777777" w:rsidR="00BF468B" w:rsidRDefault="00BF468B" w:rsidP="00BF468B">
      <w:pPr>
        <w:numPr>
          <w:ilvl w:val="1"/>
          <w:numId w:val="21"/>
        </w:numPr>
      </w:pPr>
      <w:r>
        <w:t>Safety issues from other patients on mixed wards.</w:t>
      </w:r>
    </w:p>
    <w:p w14:paraId="4490E746" w14:textId="77777777" w:rsidR="00BF468B" w:rsidRDefault="00BF468B" w:rsidP="00BF468B">
      <w:pPr>
        <w:spacing w:before="0" w:after="120" w:line="280" w:lineRule="atLeast"/>
      </w:pPr>
      <w:r>
        <w:br w:type="page"/>
      </w:r>
    </w:p>
    <w:p w14:paraId="06052FB1" w14:textId="77777777" w:rsidR="00BF468B" w:rsidRDefault="00BF468B" w:rsidP="00BF468B">
      <w:pPr>
        <w:pStyle w:val="IntenseQuote"/>
      </w:pPr>
      <w:r>
        <w:lastRenderedPageBreak/>
        <w:t xml:space="preserve">No assistance for personal hygiene, had to have my husband take time off work to shower me every second day. Issues with timing of medication. </w:t>
      </w:r>
    </w:p>
    <w:p w14:paraId="100342D0" w14:textId="77777777" w:rsidR="00BF468B" w:rsidRDefault="00BF468B" w:rsidP="00BF468B">
      <w:pPr>
        <w:pStyle w:val="IntenseQuote"/>
      </w:pPr>
      <w:r>
        <w:t>Regular and important medication was hardly ever ordered on time … so every five days or so I went without for 1-2 doses.  Medication was rarely administered on time</w:t>
      </w:r>
    </w:p>
    <w:p w14:paraId="6826F12A" w14:textId="77777777" w:rsidR="00BF468B" w:rsidRDefault="00BF468B" w:rsidP="00BF468B">
      <w:pPr>
        <w:numPr>
          <w:ilvl w:val="0"/>
          <w:numId w:val="21"/>
        </w:numPr>
      </w:pPr>
      <w:r w:rsidRPr="00EE0A5E">
        <w:rPr>
          <w:b/>
          <w:bCs/>
        </w:rPr>
        <w:t>Infection control concerns</w:t>
      </w:r>
      <w:r w:rsidRPr="00EE0A5E">
        <w:t xml:space="preserve">: </w:t>
      </w:r>
    </w:p>
    <w:p w14:paraId="38FEBCAA" w14:textId="77777777" w:rsidR="00BF468B" w:rsidRDefault="00BF468B" w:rsidP="00BF468B">
      <w:pPr>
        <w:numPr>
          <w:ilvl w:val="1"/>
          <w:numId w:val="21"/>
        </w:numPr>
      </w:pPr>
      <w:r w:rsidRPr="00EE0A5E">
        <w:t>Some were alarmed by the absence of masks or protective measures, especially important for people with chronic illness.</w:t>
      </w:r>
    </w:p>
    <w:p w14:paraId="1F988885" w14:textId="77777777" w:rsidR="00BF468B" w:rsidRDefault="00BF468B" w:rsidP="00BF468B">
      <w:pPr>
        <w:pStyle w:val="Heading4"/>
      </w:pPr>
      <w:r>
        <w:t>Question 5: What do you think needs to change to make hospital care better?</w:t>
      </w:r>
    </w:p>
    <w:p w14:paraId="39BA2A16" w14:textId="77777777" w:rsidR="00BF468B" w:rsidRPr="00B05A6D" w:rsidRDefault="00BF468B" w:rsidP="00BF468B">
      <w:r>
        <w:t>Answered: 244. Skipped: 25</w:t>
      </w:r>
    </w:p>
    <w:p w14:paraId="35ED6AAE" w14:textId="77777777" w:rsidR="00BF468B" w:rsidRDefault="00BF468B" w:rsidP="00BF468B">
      <w:pPr>
        <w:pStyle w:val="BodyText"/>
        <w:rPr>
          <w:b/>
          <w:bCs/>
        </w:rPr>
      </w:pPr>
      <w:r w:rsidRPr="3B2127CB">
        <w:rPr>
          <w:b/>
          <w:bCs/>
        </w:rPr>
        <w:t xml:space="preserve">Comments </w:t>
      </w:r>
    </w:p>
    <w:p w14:paraId="70226322" w14:textId="77777777" w:rsidR="00BF468B" w:rsidRDefault="00BF468B" w:rsidP="00BF468B">
      <w:pPr>
        <w:pStyle w:val="BodyText"/>
        <w:rPr>
          <w:lang w:val="en-AU"/>
        </w:rPr>
      </w:pPr>
      <w:r>
        <w:t xml:space="preserve">Respondents provided suggestions for improving hospital care, with a strong focus on staff training, accessibility, communication, and </w:t>
      </w:r>
      <w:proofErr w:type="gramStart"/>
      <w:r>
        <w:t>resourcing</w:t>
      </w:r>
      <w:proofErr w:type="gramEnd"/>
      <w:r>
        <w:t xml:space="preserve">. Many </w:t>
      </w:r>
      <w:proofErr w:type="spellStart"/>
      <w:r>
        <w:t>emphasised</w:t>
      </w:r>
      <w:proofErr w:type="spellEnd"/>
      <w:r>
        <w:t xml:space="preserve"> the need for hospitals to </w:t>
      </w:r>
      <w:proofErr w:type="spellStart"/>
      <w:r>
        <w:t>recognise</w:t>
      </w:r>
      <w:proofErr w:type="spellEnd"/>
      <w:r>
        <w:t xml:space="preserve"> and respond to disability-specific needs rather than relying on </w:t>
      </w:r>
      <w:proofErr w:type="spellStart"/>
      <w:r>
        <w:t>standardised</w:t>
      </w:r>
      <w:proofErr w:type="spellEnd"/>
      <w:r>
        <w:t>, one-size-fits-all care.</w:t>
      </w:r>
    </w:p>
    <w:p w14:paraId="72420BF4" w14:textId="77777777" w:rsidR="00BF468B" w:rsidRPr="00C84AC9" w:rsidRDefault="00BF468B" w:rsidP="00BF468B">
      <w:pPr>
        <w:pStyle w:val="BodyText"/>
        <w:rPr>
          <w:b/>
          <w:bCs/>
        </w:rPr>
      </w:pPr>
      <w:r w:rsidRPr="3B2127CB">
        <w:rPr>
          <w:b/>
          <w:bCs/>
        </w:rPr>
        <w:t>Key Themes</w:t>
      </w:r>
    </w:p>
    <w:p w14:paraId="6AD1928A" w14:textId="77777777" w:rsidR="00BF468B" w:rsidRPr="00C84AC9" w:rsidRDefault="00BF468B" w:rsidP="00BF468B">
      <w:pPr>
        <w:pStyle w:val="BodyText"/>
        <w:numPr>
          <w:ilvl w:val="0"/>
          <w:numId w:val="22"/>
        </w:numPr>
      </w:pPr>
      <w:r w:rsidRPr="3B2127CB">
        <w:rPr>
          <w:b/>
          <w:bCs/>
        </w:rPr>
        <w:t>Staff training and awareness</w:t>
      </w:r>
      <w:r>
        <w:t>:</w:t>
      </w:r>
    </w:p>
    <w:p w14:paraId="04EF9E90" w14:textId="77777777" w:rsidR="00BF468B" w:rsidRPr="00C84AC9" w:rsidRDefault="00BF468B" w:rsidP="00BF468B">
      <w:pPr>
        <w:pStyle w:val="BodyText"/>
        <w:numPr>
          <w:ilvl w:val="1"/>
          <w:numId w:val="22"/>
        </w:numPr>
      </w:pPr>
      <w:r>
        <w:t>T</w:t>
      </w:r>
      <w:r w:rsidRPr="00C84AC9">
        <w:t>raining in disability support, neurodiversity, sensory needs, and communication.</w:t>
      </w:r>
    </w:p>
    <w:p w14:paraId="77A2B979" w14:textId="77777777" w:rsidR="00BF468B" w:rsidRDefault="00BF468B" w:rsidP="00BF468B">
      <w:pPr>
        <w:pStyle w:val="BodyText"/>
        <w:numPr>
          <w:ilvl w:val="1"/>
          <w:numId w:val="22"/>
        </w:numPr>
      </w:pPr>
      <w:r>
        <w:t>Requests for staff to “listen, care, and understand” disability experiences.</w:t>
      </w:r>
    </w:p>
    <w:p w14:paraId="38B25BE1" w14:textId="77777777" w:rsidR="00BF468B" w:rsidRPr="00C84AC9" w:rsidRDefault="00BF468B" w:rsidP="00BF468B">
      <w:pPr>
        <w:pStyle w:val="BodyText"/>
        <w:numPr>
          <w:ilvl w:val="0"/>
          <w:numId w:val="22"/>
        </w:numPr>
      </w:pPr>
      <w:r w:rsidRPr="3B2127CB">
        <w:rPr>
          <w:b/>
          <w:bCs/>
        </w:rPr>
        <w:t>Communication</w:t>
      </w:r>
      <w:r>
        <w:t>:</w:t>
      </w:r>
    </w:p>
    <w:p w14:paraId="2D7BA992" w14:textId="77777777" w:rsidR="00BF468B" w:rsidRPr="00C84AC9" w:rsidRDefault="00BF468B" w:rsidP="00BF468B">
      <w:pPr>
        <w:pStyle w:val="BodyText"/>
        <w:numPr>
          <w:ilvl w:val="1"/>
          <w:numId w:val="22"/>
        </w:numPr>
      </w:pPr>
      <w:r>
        <w:lastRenderedPageBreak/>
        <w:t xml:space="preserve">Accessible communication, </w:t>
      </w:r>
      <w:proofErr w:type="gramStart"/>
      <w:r>
        <w:t>including:</w:t>
      </w:r>
      <w:proofErr w:type="gramEnd"/>
      <w:r>
        <w:t xml:space="preserve"> facing patients who lip-read when speaking, providing forms in accessible formats for patients who are blind, adjustments for people who use assistive communication devices or need a translator or other supporter to communicate.</w:t>
      </w:r>
    </w:p>
    <w:p w14:paraId="7C250FEA" w14:textId="77777777" w:rsidR="00BF468B" w:rsidRDefault="00BF468B" w:rsidP="00BF468B">
      <w:pPr>
        <w:pStyle w:val="BodyText"/>
        <w:numPr>
          <w:ilvl w:val="1"/>
          <w:numId w:val="22"/>
        </w:numPr>
      </w:pPr>
      <w:r>
        <w:t>More respectful engagement with patients.</w:t>
      </w:r>
    </w:p>
    <w:p w14:paraId="34E087F5" w14:textId="77777777" w:rsidR="00BF468B" w:rsidRPr="00C84AC9" w:rsidRDefault="00BF468B" w:rsidP="00BF468B">
      <w:pPr>
        <w:pStyle w:val="BodyText"/>
        <w:numPr>
          <w:ilvl w:val="1"/>
          <w:numId w:val="22"/>
        </w:numPr>
      </w:pPr>
      <w:r w:rsidRPr="00C84AC9">
        <w:t>Clearer, consistent communication across departments.</w:t>
      </w:r>
    </w:p>
    <w:p w14:paraId="24CC96E6" w14:textId="77777777" w:rsidR="00BF468B" w:rsidRPr="00C84AC9" w:rsidRDefault="00BF468B" w:rsidP="00BF468B">
      <w:pPr>
        <w:pStyle w:val="BodyText"/>
        <w:numPr>
          <w:ilvl w:val="0"/>
          <w:numId w:val="22"/>
        </w:numPr>
      </w:pPr>
      <w:r w:rsidRPr="3B2127CB">
        <w:rPr>
          <w:b/>
          <w:bCs/>
        </w:rPr>
        <w:t>Accessibility and environment</w:t>
      </w:r>
      <w:r>
        <w:t>:</w:t>
      </w:r>
    </w:p>
    <w:p w14:paraId="57C5C7AD" w14:textId="77777777" w:rsidR="00BF468B" w:rsidRPr="00C84AC9" w:rsidRDefault="00BF468B" w:rsidP="00BF468B">
      <w:pPr>
        <w:pStyle w:val="BodyText"/>
        <w:numPr>
          <w:ilvl w:val="1"/>
          <w:numId w:val="22"/>
        </w:numPr>
      </w:pPr>
      <w:r w:rsidRPr="00C84AC9">
        <w:t>Quiet, dark</w:t>
      </w:r>
      <w:r>
        <w:t>er</w:t>
      </w:r>
      <w:r w:rsidRPr="00C84AC9">
        <w:t xml:space="preserve"> waiting areas for people with sensory or environmental health needs.</w:t>
      </w:r>
    </w:p>
    <w:p w14:paraId="598A14AF" w14:textId="77777777" w:rsidR="00BF468B" w:rsidRDefault="00BF468B" w:rsidP="00BF468B">
      <w:pPr>
        <w:pStyle w:val="BodyText"/>
        <w:numPr>
          <w:ilvl w:val="1"/>
          <w:numId w:val="22"/>
        </w:numPr>
      </w:pPr>
      <w:r w:rsidRPr="00C84AC9">
        <w:t>Greater access to personal aids and assistive devices.</w:t>
      </w:r>
    </w:p>
    <w:p w14:paraId="21485970" w14:textId="77777777" w:rsidR="00BF468B" w:rsidRDefault="00BF468B" w:rsidP="00BF468B">
      <w:pPr>
        <w:pStyle w:val="BodyText"/>
        <w:numPr>
          <w:ilvl w:val="1"/>
          <w:numId w:val="22"/>
        </w:numPr>
      </w:pPr>
      <w:r>
        <w:t>Access to carers in hospital who provide support in their daily lives.</w:t>
      </w:r>
    </w:p>
    <w:p w14:paraId="6F9BEBAF" w14:textId="77777777" w:rsidR="00BF468B" w:rsidRDefault="00BF468B" w:rsidP="00BF468B">
      <w:pPr>
        <w:pStyle w:val="BodyText"/>
        <w:numPr>
          <w:ilvl w:val="1"/>
          <w:numId w:val="22"/>
        </w:numPr>
      </w:pPr>
      <w:r>
        <w:t xml:space="preserve">Wayfinding </w:t>
      </w:r>
      <w:proofErr w:type="gramStart"/>
      <w:r>
        <w:t>help</w:t>
      </w:r>
      <w:proofErr w:type="gramEnd"/>
      <w:r>
        <w:t xml:space="preserve"> in hospitals for people who are blind or have low-vision, or for people who become lost.</w:t>
      </w:r>
    </w:p>
    <w:p w14:paraId="4BAD9C26" w14:textId="77777777" w:rsidR="00BF468B" w:rsidRPr="00C84AC9" w:rsidRDefault="00BF468B" w:rsidP="00BF468B">
      <w:pPr>
        <w:pStyle w:val="BodyText"/>
        <w:numPr>
          <w:ilvl w:val="1"/>
          <w:numId w:val="22"/>
        </w:numPr>
      </w:pPr>
      <w:proofErr w:type="gramStart"/>
      <w:r>
        <w:t>Need for</w:t>
      </w:r>
      <w:proofErr w:type="gramEnd"/>
      <w:r>
        <w:t xml:space="preserve"> fragrance-free and mask policies to protect people with </w:t>
      </w:r>
      <w:proofErr w:type="gramStart"/>
      <w:r>
        <w:t>sensitivities</w:t>
      </w:r>
      <w:proofErr w:type="gramEnd"/>
      <w:r>
        <w:t>.</w:t>
      </w:r>
    </w:p>
    <w:p w14:paraId="5E4C3625" w14:textId="77777777" w:rsidR="00BF468B" w:rsidRPr="00C84AC9" w:rsidRDefault="00BF468B" w:rsidP="00BF468B">
      <w:pPr>
        <w:pStyle w:val="BodyText"/>
        <w:numPr>
          <w:ilvl w:val="0"/>
          <w:numId w:val="22"/>
        </w:numPr>
      </w:pPr>
      <w:r w:rsidRPr="3B2127CB">
        <w:rPr>
          <w:b/>
          <w:bCs/>
        </w:rPr>
        <w:t>Staffing and resources</w:t>
      </w:r>
      <w:r>
        <w:t>:</w:t>
      </w:r>
    </w:p>
    <w:p w14:paraId="2CC60934" w14:textId="77777777" w:rsidR="00BF468B" w:rsidRPr="00C84AC9" w:rsidRDefault="00BF468B" w:rsidP="00BF468B">
      <w:pPr>
        <w:pStyle w:val="BodyText"/>
        <w:numPr>
          <w:ilvl w:val="1"/>
          <w:numId w:val="22"/>
        </w:numPr>
      </w:pPr>
      <w:r w:rsidRPr="00C84AC9">
        <w:t>More nurses and trained staff to reduce strain and improve patient outcomes.</w:t>
      </w:r>
    </w:p>
    <w:p w14:paraId="445BC89D" w14:textId="77777777" w:rsidR="00BF468B" w:rsidRDefault="00BF468B" w:rsidP="00BF468B">
      <w:pPr>
        <w:pStyle w:val="BodyText"/>
        <w:numPr>
          <w:ilvl w:val="1"/>
          <w:numId w:val="22"/>
        </w:numPr>
      </w:pPr>
      <w:r>
        <w:t>Better access to assistive equipment such as wheelchairs, mobility and transfer aids.</w:t>
      </w:r>
    </w:p>
    <w:p w14:paraId="102BF5C5" w14:textId="77777777" w:rsidR="00BF468B" w:rsidRPr="00C84AC9" w:rsidRDefault="00BF468B" w:rsidP="00BF468B">
      <w:pPr>
        <w:pStyle w:val="BodyText"/>
        <w:numPr>
          <w:ilvl w:val="1"/>
          <w:numId w:val="22"/>
        </w:numPr>
      </w:pPr>
      <w:r>
        <w:t>Shorter waiting times.</w:t>
      </w:r>
    </w:p>
    <w:p w14:paraId="01804C07" w14:textId="77777777" w:rsidR="00BF468B" w:rsidRPr="00C84AC9" w:rsidRDefault="00BF468B" w:rsidP="00BF468B">
      <w:pPr>
        <w:pStyle w:val="BodyText"/>
        <w:numPr>
          <w:ilvl w:val="0"/>
          <w:numId w:val="22"/>
        </w:numPr>
      </w:pPr>
      <w:proofErr w:type="spellStart"/>
      <w:r w:rsidRPr="3B2127CB">
        <w:rPr>
          <w:b/>
          <w:bCs/>
        </w:rPr>
        <w:t>Personalised</w:t>
      </w:r>
      <w:proofErr w:type="spellEnd"/>
      <w:r w:rsidRPr="3B2127CB">
        <w:rPr>
          <w:b/>
          <w:bCs/>
        </w:rPr>
        <w:t xml:space="preserve"> care</w:t>
      </w:r>
      <w:r>
        <w:t>:</w:t>
      </w:r>
    </w:p>
    <w:p w14:paraId="31F16AA2" w14:textId="77777777" w:rsidR="00BF468B" w:rsidRPr="00C84AC9" w:rsidRDefault="00BF468B" w:rsidP="00BF468B">
      <w:pPr>
        <w:pStyle w:val="BodyText"/>
        <w:numPr>
          <w:ilvl w:val="1"/>
          <w:numId w:val="22"/>
        </w:numPr>
      </w:pPr>
      <w:r>
        <w:t>Person-centered care.</w:t>
      </w:r>
    </w:p>
    <w:p w14:paraId="15948446" w14:textId="77777777" w:rsidR="00BF468B" w:rsidRDefault="00BF468B" w:rsidP="00BF468B">
      <w:pPr>
        <w:pStyle w:val="BodyText"/>
        <w:numPr>
          <w:ilvl w:val="1"/>
          <w:numId w:val="22"/>
        </w:numPr>
      </w:pPr>
      <w:r w:rsidRPr="00C84AC9">
        <w:t>Recognition of chronic illness and disability needs in treatment planning.</w:t>
      </w:r>
    </w:p>
    <w:p w14:paraId="7DA331FA" w14:textId="77777777" w:rsidR="00BF468B" w:rsidRDefault="00BF468B" w:rsidP="00BF468B">
      <w:pPr>
        <w:pStyle w:val="BodyText"/>
        <w:numPr>
          <w:ilvl w:val="1"/>
          <w:numId w:val="22"/>
        </w:numPr>
      </w:pPr>
      <w:r>
        <w:lastRenderedPageBreak/>
        <w:t>Care and discharge plans that integrate with NDIS and other supports.</w:t>
      </w:r>
    </w:p>
    <w:p w14:paraId="78C14362" w14:textId="77777777" w:rsidR="00BF468B" w:rsidRDefault="00BF468B" w:rsidP="00BF468B">
      <w:pPr>
        <w:pStyle w:val="BodyText"/>
        <w:numPr>
          <w:ilvl w:val="1"/>
          <w:numId w:val="22"/>
        </w:numPr>
      </w:pPr>
      <w:r>
        <w:t>Help with eating, drinking</w:t>
      </w:r>
      <w:proofErr w:type="gramStart"/>
      <w:r>
        <w:t>, toileting</w:t>
      </w:r>
      <w:proofErr w:type="gramEnd"/>
      <w:r>
        <w:t xml:space="preserve"> when needed.</w:t>
      </w:r>
    </w:p>
    <w:p w14:paraId="2942FD11" w14:textId="77777777" w:rsidR="00BF468B" w:rsidRDefault="00BF468B" w:rsidP="00BF468B">
      <w:pPr>
        <w:pStyle w:val="IntenseQuote"/>
      </w:pPr>
      <w:r w:rsidRPr="00F45EB2">
        <w:t>Consideration for sensory challenges, MCS, trained staff for wheelchair transfers, including hoist.</w:t>
      </w:r>
    </w:p>
    <w:p w14:paraId="09F32F66" w14:textId="77777777" w:rsidR="00BF468B" w:rsidRDefault="00BF468B" w:rsidP="00BF468B">
      <w:pPr>
        <w:pStyle w:val="IntenseQuote"/>
      </w:pPr>
      <w:r>
        <w:t xml:space="preserve">All staff need training in how to support neurodiverse people and those with communication difficulties. Hospitals need to prioritise services based on health equity. </w:t>
      </w:r>
      <w:proofErr w:type="spellStart"/>
      <w:r>
        <w:t>I.e</w:t>
      </w:r>
      <w:proofErr w:type="spellEnd"/>
      <w:r>
        <w:t xml:space="preserve"> they should prioritise services to people with poorer health outcomes (i.e.  neurodiverse people, people with autism, ADHD, </w:t>
      </w:r>
      <w:proofErr w:type="spellStart"/>
      <w:r>
        <w:t>AuDHD</w:t>
      </w:r>
      <w:proofErr w:type="spellEnd"/>
      <w:r>
        <w:t>, communication difficulties, congenital conditions such as cerebral palsy, spina bifida, downs syndrome, fragile x syndrome.</w:t>
      </w:r>
    </w:p>
    <w:p w14:paraId="516E14B3" w14:textId="77777777" w:rsidR="00BF468B" w:rsidRPr="00B34096" w:rsidRDefault="00BF468B" w:rsidP="00BF468B">
      <w:pPr>
        <w:pStyle w:val="IntenseQuote"/>
      </w:pPr>
      <w:r>
        <w:t>There should be requirements to provide adjustments and to guarantee access to care for people with disability. The current NSQHS standards don't even mention disability or the NDIS (it's not even in the definition of 'diversity' in the glossary).</w:t>
      </w:r>
    </w:p>
    <w:p w14:paraId="071CFD29" w14:textId="77777777" w:rsidR="00BF468B" w:rsidRDefault="00BF468B" w:rsidP="00BF468B">
      <w:pPr>
        <w:pStyle w:val="Heading4"/>
      </w:pPr>
      <w:r>
        <w:t>Question 6: Do you usually visit the same doctor when you go to the GP?</w:t>
      </w:r>
    </w:p>
    <w:p w14:paraId="7E28B11B" w14:textId="77777777" w:rsidR="00BF468B" w:rsidRPr="00DA4006" w:rsidRDefault="00BF468B" w:rsidP="00BF468B">
      <w:pPr>
        <w:pStyle w:val="BodyText"/>
      </w:pPr>
      <w:proofErr w:type="gramStart"/>
      <w:r w:rsidRPr="00DA4006">
        <w:t>Answered</w:t>
      </w:r>
      <w:proofErr w:type="gramEnd"/>
      <w:r w:rsidRPr="00DA4006">
        <w:t>: 255. Skipped: 14</w:t>
      </w:r>
    </w:p>
    <w:tbl>
      <w:tblPr>
        <w:tblW w:w="7516"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3970"/>
        <w:gridCol w:w="1704"/>
        <w:gridCol w:w="1842"/>
      </w:tblGrid>
      <w:tr w:rsidR="00BF468B" w:rsidRPr="0048634C" w14:paraId="18BA20F3" w14:textId="77777777" w:rsidTr="006C3FF4">
        <w:trPr>
          <w:trHeight w:val="485"/>
          <w:jc w:val="center"/>
        </w:trPr>
        <w:tc>
          <w:tcPr>
            <w:tcW w:w="3970" w:type="dxa"/>
            <w:shd w:val="clear" w:color="auto" w:fill="00BDF2" w:themeFill="accent2"/>
            <w:vAlign w:val="center"/>
          </w:tcPr>
          <w:p w14:paraId="7A1F673E" w14:textId="77777777" w:rsidR="00BF468B" w:rsidRPr="00446153" w:rsidRDefault="00BF468B" w:rsidP="006C3FF4">
            <w:pPr>
              <w:spacing w:before="0" w:after="0" w:line="240" w:lineRule="auto"/>
              <w:jc w:val="center"/>
              <w:rPr>
                <w:rFonts w:ascii="Arial" w:hAnsi="Arial" w:cs="Arial"/>
                <w:b/>
                <w:bCs/>
                <w:color w:val="333333"/>
              </w:rPr>
            </w:pPr>
            <w:r w:rsidRPr="3B2127CB">
              <w:rPr>
                <w:rFonts w:ascii="Arial" w:hAnsi="Arial" w:cs="Arial"/>
                <w:b/>
                <w:bCs/>
                <w:color w:val="333333"/>
              </w:rPr>
              <w:t>Answer Choices</w:t>
            </w:r>
          </w:p>
        </w:tc>
        <w:tc>
          <w:tcPr>
            <w:tcW w:w="1704" w:type="dxa"/>
            <w:shd w:val="clear" w:color="auto" w:fill="00BDF2" w:themeFill="accent2"/>
            <w:vAlign w:val="center"/>
          </w:tcPr>
          <w:p w14:paraId="21C8C144"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TOTAL</w:t>
            </w:r>
          </w:p>
        </w:tc>
        <w:tc>
          <w:tcPr>
            <w:tcW w:w="1842" w:type="dxa"/>
            <w:tcBorders>
              <w:top w:val="nil"/>
            </w:tcBorders>
            <w:shd w:val="clear" w:color="auto" w:fill="45B97C" w:themeFill="accent4"/>
            <w:vAlign w:val="center"/>
          </w:tcPr>
          <w:p w14:paraId="2DAB1E67"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color w:val="E2DDDB" w:themeColor="background2"/>
                <w:spacing w:val="-2"/>
              </w:rPr>
            </w:pPr>
            <w:r w:rsidRPr="3B2127CB">
              <w:rPr>
                <w:rFonts w:asciiTheme="minorHAnsi" w:hAnsiTheme="minorHAnsi" w:cstheme="minorBidi"/>
                <w:b/>
                <w:bCs/>
                <w:spacing w:val="-2"/>
              </w:rPr>
              <w:t>QTY</w:t>
            </w:r>
          </w:p>
        </w:tc>
      </w:tr>
      <w:tr w:rsidR="00BF468B" w:rsidRPr="0048634C" w14:paraId="0097C22E" w14:textId="77777777" w:rsidTr="006C3FF4">
        <w:trPr>
          <w:trHeight w:val="390"/>
          <w:jc w:val="center"/>
        </w:trPr>
        <w:tc>
          <w:tcPr>
            <w:tcW w:w="3970" w:type="dxa"/>
            <w:vAlign w:val="bottom"/>
          </w:tcPr>
          <w:p w14:paraId="378EC15A" w14:textId="77777777" w:rsidR="00BF468B" w:rsidRPr="00DA4006" w:rsidRDefault="00BF468B" w:rsidP="006C3FF4">
            <w:pPr>
              <w:pStyle w:val="TableParagraph"/>
              <w:spacing w:line="336" w:lineRule="auto"/>
              <w:ind w:left="112"/>
              <w:jc w:val="center"/>
              <w:rPr>
                <w:rFonts w:ascii="Arial" w:hAnsi="Arial" w:cs="Arial"/>
              </w:rPr>
            </w:pPr>
            <w:r w:rsidRPr="3B2127CB">
              <w:rPr>
                <w:rFonts w:ascii="Arial" w:hAnsi="Arial" w:cs="Arial"/>
              </w:rPr>
              <w:t>Yes</w:t>
            </w:r>
          </w:p>
        </w:tc>
        <w:tc>
          <w:tcPr>
            <w:tcW w:w="1704" w:type="dxa"/>
            <w:vAlign w:val="bottom"/>
          </w:tcPr>
          <w:p w14:paraId="7A9C6093" w14:textId="77777777" w:rsidR="00BF468B" w:rsidRPr="00DA4006" w:rsidRDefault="00BF468B" w:rsidP="006C3FF4">
            <w:pPr>
              <w:pStyle w:val="TableParagraph"/>
              <w:spacing w:line="336" w:lineRule="auto"/>
              <w:ind w:right="7"/>
              <w:jc w:val="center"/>
              <w:rPr>
                <w:rFonts w:ascii="Arial" w:hAnsi="Arial" w:cs="Arial"/>
              </w:rPr>
            </w:pPr>
            <w:r w:rsidRPr="3B2127CB">
              <w:rPr>
                <w:rFonts w:ascii="Arial" w:hAnsi="Arial" w:cs="Arial"/>
              </w:rPr>
              <w:t>90.98%</w:t>
            </w:r>
          </w:p>
        </w:tc>
        <w:tc>
          <w:tcPr>
            <w:tcW w:w="1842" w:type="dxa"/>
            <w:vAlign w:val="bottom"/>
          </w:tcPr>
          <w:p w14:paraId="5C31E129" w14:textId="77777777" w:rsidR="00BF468B" w:rsidRPr="00DA4006" w:rsidRDefault="00BF468B" w:rsidP="006C3FF4">
            <w:pPr>
              <w:pStyle w:val="TableParagraph"/>
              <w:spacing w:line="336" w:lineRule="auto"/>
              <w:ind w:left="18" w:right="8"/>
              <w:jc w:val="center"/>
              <w:rPr>
                <w:rFonts w:ascii="Arial" w:hAnsi="Arial" w:cs="Arial"/>
              </w:rPr>
            </w:pPr>
            <w:r w:rsidRPr="3B2127CB">
              <w:rPr>
                <w:rFonts w:ascii="Arial" w:hAnsi="Arial" w:cs="Arial"/>
              </w:rPr>
              <w:t>232</w:t>
            </w:r>
          </w:p>
        </w:tc>
      </w:tr>
      <w:tr w:rsidR="00BF468B" w:rsidRPr="0048634C" w14:paraId="59FD5D21" w14:textId="77777777" w:rsidTr="006C3FF4">
        <w:trPr>
          <w:trHeight w:val="390"/>
          <w:jc w:val="center"/>
        </w:trPr>
        <w:tc>
          <w:tcPr>
            <w:tcW w:w="3970" w:type="dxa"/>
            <w:vAlign w:val="bottom"/>
          </w:tcPr>
          <w:p w14:paraId="590121D8" w14:textId="77777777" w:rsidR="00BF468B" w:rsidRPr="00DA4006" w:rsidRDefault="00BF468B" w:rsidP="006C3FF4">
            <w:pPr>
              <w:pStyle w:val="TableParagraph"/>
              <w:spacing w:line="336" w:lineRule="auto"/>
              <w:ind w:left="112"/>
              <w:jc w:val="center"/>
              <w:rPr>
                <w:rFonts w:ascii="Arial" w:hAnsi="Arial" w:cs="Arial"/>
              </w:rPr>
            </w:pPr>
            <w:r w:rsidRPr="3B2127CB">
              <w:rPr>
                <w:rFonts w:ascii="Arial" w:hAnsi="Arial" w:cs="Arial"/>
              </w:rPr>
              <w:t>No</w:t>
            </w:r>
          </w:p>
        </w:tc>
        <w:tc>
          <w:tcPr>
            <w:tcW w:w="1704" w:type="dxa"/>
            <w:vAlign w:val="bottom"/>
          </w:tcPr>
          <w:p w14:paraId="1B7C5215" w14:textId="77777777" w:rsidR="00BF468B" w:rsidRPr="00DA4006" w:rsidRDefault="00BF468B" w:rsidP="006C3FF4">
            <w:pPr>
              <w:pStyle w:val="TableParagraph"/>
              <w:spacing w:line="336" w:lineRule="auto"/>
              <w:ind w:right="7"/>
              <w:jc w:val="center"/>
              <w:rPr>
                <w:rFonts w:ascii="Arial" w:hAnsi="Arial" w:cs="Arial"/>
              </w:rPr>
            </w:pPr>
            <w:r w:rsidRPr="3B2127CB">
              <w:rPr>
                <w:rFonts w:ascii="Arial" w:hAnsi="Arial" w:cs="Arial"/>
              </w:rPr>
              <w:t>6.27%</w:t>
            </w:r>
          </w:p>
        </w:tc>
        <w:tc>
          <w:tcPr>
            <w:tcW w:w="1842" w:type="dxa"/>
            <w:vAlign w:val="bottom"/>
          </w:tcPr>
          <w:p w14:paraId="0B65C32D" w14:textId="77777777" w:rsidR="00BF468B" w:rsidRPr="00DA4006" w:rsidRDefault="00BF468B" w:rsidP="006C3FF4">
            <w:pPr>
              <w:pStyle w:val="TableParagraph"/>
              <w:spacing w:line="336" w:lineRule="auto"/>
              <w:ind w:left="18" w:right="8"/>
              <w:jc w:val="center"/>
              <w:rPr>
                <w:rFonts w:ascii="Arial" w:hAnsi="Arial" w:cs="Arial"/>
              </w:rPr>
            </w:pPr>
            <w:r w:rsidRPr="3B2127CB">
              <w:rPr>
                <w:rFonts w:ascii="Arial" w:hAnsi="Arial" w:cs="Arial"/>
              </w:rPr>
              <w:t>16</w:t>
            </w:r>
          </w:p>
        </w:tc>
      </w:tr>
      <w:tr w:rsidR="00BF468B" w:rsidRPr="0048634C" w14:paraId="508DA4F5" w14:textId="77777777" w:rsidTr="006C3FF4">
        <w:trPr>
          <w:trHeight w:val="390"/>
          <w:jc w:val="center"/>
        </w:trPr>
        <w:tc>
          <w:tcPr>
            <w:tcW w:w="3970" w:type="dxa"/>
            <w:vAlign w:val="bottom"/>
          </w:tcPr>
          <w:p w14:paraId="67EA9546" w14:textId="77777777" w:rsidR="00BF468B" w:rsidRPr="00DA4006" w:rsidRDefault="00BF468B" w:rsidP="006C3FF4">
            <w:pPr>
              <w:pStyle w:val="TableParagraph"/>
              <w:spacing w:line="336" w:lineRule="auto"/>
              <w:ind w:left="112"/>
              <w:jc w:val="center"/>
              <w:rPr>
                <w:rFonts w:ascii="Arial" w:hAnsi="Arial" w:cs="Arial"/>
              </w:rPr>
            </w:pPr>
            <w:r w:rsidRPr="3B2127CB">
              <w:rPr>
                <w:rFonts w:ascii="Arial" w:hAnsi="Arial" w:cs="Arial"/>
              </w:rPr>
              <w:t>I am unsure</w:t>
            </w:r>
          </w:p>
        </w:tc>
        <w:tc>
          <w:tcPr>
            <w:tcW w:w="1704" w:type="dxa"/>
            <w:vAlign w:val="bottom"/>
          </w:tcPr>
          <w:p w14:paraId="2D6D99EA" w14:textId="77777777" w:rsidR="00BF468B" w:rsidRPr="00DA4006" w:rsidRDefault="00BF468B" w:rsidP="006C3FF4">
            <w:pPr>
              <w:pStyle w:val="TableParagraph"/>
              <w:spacing w:line="336" w:lineRule="auto"/>
              <w:ind w:right="7"/>
              <w:jc w:val="center"/>
              <w:rPr>
                <w:rFonts w:ascii="Arial" w:hAnsi="Arial" w:cs="Arial"/>
              </w:rPr>
            </w:pPr>
            <w:r w:rsidRPr="3B2127CB">
              <w:rPr>
                <w:rFonts w:ascii="Arial" w:hAnsi="Arial" w:cs="Arial"/>
              </w:rPr>
              <w:t>1.18%</w:t>
            </w:r>
          </w:p>
        </w:tc>
        <w:tc>
          <w:tcPr>
            <w:tcW w:w="1842" w:type="dxa"/>
            <w:vAlign w:val="bottom"/>
          </w:tcPr>
          <w:p w14:paraId="60B666AB" w14:textId="77777777" w:rsidR="00BF468B" w:rsidRPr="00DA4006" w:rsidRDefault="00BF468B" w:rsidP="006C3FF4">
            <w:pPr>
              <w:pStyle w:val="TableParagraph"/>
              <w:spacing w:line="336" w:lineRule="auto"/>
              <w:ind w:left="18" w:right="8"/>
              <w:jc w:val="center"/>
              <w:rPr>
                <w:rFonts w:ascii="Arial" w:hAnsi="Arial" w:cs="Arial"/>
              </w:rPr>
            </w:pPr>
            <w:r w:rsidRPr="3B2127CB">
              <w:rPr>
                <w:rFonts w:ascii="Arial" w:hAnsi="Arial" w:cs="Arial"/>
              </w:rPr>
              <w:t>3</w:t>
            </w:r>
          </w:p>
        </w:tc>
      </w:tr>
      <w:tr w:rsidR="00BF468B" w:rsidRPr="0048634C" w14:paraId="6479DC55" w14:textId="77777777" w:rsidTr="006C3FF4">
        <w:trPr>
          <w:trHeight w:val="390"/>
          <w:jc w:val="center"/>
        </w:trPr>
        <w:tc>
          <w:tcPr>
            <w:tcW w:w="3970" w:type="dxa"/>
            <w:vAlign w:val="bottom"/>
          </w:tcPr>
          <w:p w14:paraId="64FE27FD" w14:textId="77777777" w:rsidR="00BF468B" w:rsidRPr="00DA4006" w:rsidRDefault="00BF468B" w:rsidP="006C3FF4">
            <w:pPr>
              <w:pStyle w:val="TableParagraph"/>
              <w:spacing w:line="336" w:lineRule="auto"/>
              <w:ind w:left="112"/>
              <w:jc w:val="center"/>
              <w:rPr>
                <w:rFonts w:ascii="Arial" w:hAnsi="Arial" w:cs="Arial"/>
              </w:rPr>
            </w:pPr>
            <w:r w:rsidRPr="3B2127CB">
              <w:rPr>
                <w:rFonts w:ascii="Arial" w:hAnsi="Arial" w:cs="Arial"/>
              </w:rPr>
              <w:t>I prefer not to say</w:t>
            </w:r>
          </w:p>
        </w:tc>
        <w:tc>
          <w:tcPr>
            <w:tcW w:w="1704" w:type="dxa"/>
            <w:vAlign w:val="bottom"/>
          </w:tcPr>
          <w:p w14:paraId="0550FEB6" w14:textId="77777777" w:rsidR="00BF468B" w:rsidRPr="00DA4006" w:rsidRDefault="00BF468B" w:rsidP="006C3FF4">
            <w:pPr>
              <w:pStyle w:val="TableParagraph"/>
              <w:spacing w:line="336" w:lineRule="auto"/>
              <w:ind w:right="7"/>
              <w:jc w:val="center"/>
              <w:rPr>
                <w:rFonts w:ascii="Arial" w:hAnsi="Arial" w:cs="Arial"/>
              </w:rPr>
            </w:pPr>
            <w:r w:rsidRPr="3B2127CB">
              <w:rPr>
                <w:rFonts w:ascii="Arial" w:hAnsi="Arial" w:cs="Arial"/>
              </w:rPr>
              <w:t>1.57%</w:t>
            </w:r>
          </w:p>
        </w:tc>
        <w:tc>
          <w:tcPr>
            <w:tcW w:w="1842" w:type="dxa"/>
            <w:vAlign w:val="bottom"/>
          </w:tcPr>
          <w:p w14:paraId="0F4851E1" w14:textId="77777777" w:rsidR="00BF468B" w:rsidRPr="00DA4006" w:rsidRDefault="00BF468B" w:rsidP="006C3FF4">
            <w:pPr>
              <w:pStyle w:val="TableParagraph"/>
              <w:spacing w:line="336" w:lineRule="auto"/>
              <w:ind w:left="18" w:right="8"/>
              <w:jc w:val="center"/>
              <w:rPr>
                <w:rFonts w:ascii="Arial" w:hAnsi="Arial" w:cs="Arial"/>
              </w:rPr>
            </w:pPr>
            <w:r w:rsidRPr="3B2127CB">
              <w:rPr>
                <w:rFonts w:ascii="Arial" w:hAnsi="Arial" w:cs="Arial"/>
              </w:rPr>
              <w:t>4</w:t>
            </w:r>
          </w:p>
        </w:tc>
      </w:tr>
    </w:tbl>
    <w:p w14:paraId="3206A08A" w14:textId="77777777" w:rsidR="00BF468B" w:rsidRDefault="00BF468B" w:rsidP="00BF468B">
      <w:pPr>
        <w:pStyle w:val="BodyText"/>
        <w:rPr>
          <w:b/>
          <w:bCs/>
        </w:rPr>
      </w:pPr>
      <w:r w:rsidRPr="3B2127CB">
        <w:rPr>
          <w:b/>
          <w:bCs/>
        </w:rPr>
        <w:lastRenderedPageBreak/>
        <w:t>Comments:</w:t>
      </w:r>
    </w:p>
    <w:p w14:paraId="4349AB0B" w14:textId="77777777" w:rsidR="00BF468B" w:rsidRPr="00F17E7B" w:rsidRDefault="00BF468B" w:rsidP="00BF468B">
      <w:pPr>
        <w:pStyle w:val="BodyText"/>
        <w:numPr>
          <w:ilvl w:val="0"/>
          <w:numId w:val="23"/>
        </w:numPr>
      </w:pPr>
      <w:proofErr w:type="gramStart"/>
      <w:r>
        <w:t>The majority of</w:t>
      </w:r>
      <w:proofErr w:type="gramEnd"/>
      <w:r>
        <w:t xml:space="preserve"> respondents (</w:t>
      </w:r>
      <w:r w:rsidRPr="3B2127CB">
        <w:rPr>
          <w:color w:val="auto"/>
        </w:rPr>
        <w:t xml:space="preserve">90.98%) </w:t>
      </w:r>
      <w:r>
        <w:t>see the same doctor consistently.</w:t>
      </w:r>
    </w:p>
    <w:p w14:paraId="7C33A7D3" w14:textId="77777777" w:rsidR="00BF468B" w:rsidRPr="00F17E7B" w:rsidRDefault="00BF468B" w:rsidP="00BF468B">
      <w:pPr>
        <w:pStyle w:val="BodyText"/>
        <w:numPr>
          <w:ilvl w:val="0"/>
          <w:numId w:val="23"/>
        </w:numPr>
      </w:pPr>
      <w:r>
        <w:t xml:space="preserve">Only </w:t>
      </w:r>
      <w:r w:rsidRPr="3B2127CB">
        <w:rPr>
          <w:color w:val="auto"/>
        </w:rPr>
        <w:t xml:space="preserve">6.27% (16) respondents said they do not see the same doctor when they visit the GP. </w:t>
      </w:r>
    </w:p>
    <w:p w14:paraId="64BA39E5" w14:textId="77777777" w:rsidR="00BF468B" w:rsidRPr="00325E89" w:rsidRDefault="00BF468B" w:rsidP="00BF468B">
      <w:pPr>
        <w:pStyle w:val="Heading4"/>
      </w:pPr>
      <w:r>
        <w:t xml:space="preserve">Question 7: Is there anything that makes it hard for you to visit your doctor? (For example: it costs too much, hard to travel there, no appointments when you need one, or something else). </w:t>
      </w:r>
    </w:p>
    <w:p w14:paraId="574BE3ED" w14:textId="77777777" w:rsidR="00BF468B" w:rsidRDefault="00BF468B" w:rsidP="00BF468B">
      <w:r>
        <w:t>Answered: 238. Skipped: 31</w:t>
      </w:r>
    </w:p>
    <w:p w14:paraId="1573DDDB" w14:textId="77777777" w:rsidR="00BF468B" w:rsidRPr="00C57B1F" w:rsidRDefault="00BF468B" w:rsidP="00BF468B">
      <w:pPr>
        <w:pStyle w:val="BodyText"/>
        <w:rPr>
          <w:b/>
          <w:bCs/>
        </w:rPr>
      </w:pPr>
      <w:r w:rsidRPr="3B2127CB">
        <w:rPr>
          <w:b/>
          <w:bCs/>
        </w:rPr>
        <w:t>Comments:</w:t>
      </w:r>
    </w:p>
    <w:p w14:paraId="1912DD79" w14:textId="77777777" w:rsidR="00BF468B" w:rsidRPr="00D16AC8" w:rsidRDefault="00BF468B" w:rsidP="00BF468B">
      <w:r>
        <w:t>Respondents identified multiple barriers to accessing GP care, with the majority pointing to appointment availability, affordability, and physical or logistical challenges.</w:t>
      </w:r>
    </w:p>
    <w:p w14:paraId="03C7264E" w14:textId="77777777" w:rsidR="00BF468B" w:rsidRPr="00D16AC8" w:rsidRDefault="00BF468B" w:rsidP="00BF468B">
      <w:pPr>
        <w:rPr>
          <w:b/>
          <w:bCs/>
        </w:rPr>
      </w:pPr>
      <w:r w:rsidRPr="3B2127CB">
        <w:rPr>
          <w:b/>
          <w:bCs/>
        </w:rPr>
        <w:t>Key Themes</w:t>
      </w:r>
    </w:p>
    <w:p w14:paraId="0A152C6C" w14:textId="77777777" w:rsidR="00BF468B" w:rsidRPr="00D16AC8" w:rsidRDefault="00BF468B" w:rsidP="00BF468B">
      <w:pPr>
        <w:numPr>
          <w:ilvl w:val="0"/>
          <w:numId w:val="24"/>
        </w:numPr>
      </w:pPr>
      <w:r w:rsidRPr="00D16AC8">
        <w:rPr>
          <w:b/>
          <w:bCs/>
        </w:rPr>
        <w:t>Appointment access</w:t>
      </w:r>
      <w:r w:rsidRPr="00D16AC8">
        <w:t>: Difficulty getting appointments when needed, particularly in urgent or acute situations.</w:t>
      </w:r>
    </w:p>
    <w:p w14:paraId="6955D38B" w14:textId="77777777" w:rsidR="00BF468B" w:rsidRPr="00D16AC8" w:rsidRDefault="00BF468B" w:rsidP="00BF468B">
      <w:pPr>
        <w:numPr>
          <w:ilvl w:val="0"/>
          <w:numId w:val="24"/>
        </w:numPr>
      </w:pPr>
      <w:r w:rsidRPr="00D16AC8">
        <w:rPr>
          <w:b/>
          <w:bCs/>
        </w:rPr>
        <w:t>Cost and bulk billing</w:t>
      </w:r>
      <w:r w:rsidRPr="00D16AC8">
        <w:t xml:space="preserve">: Many cannot afford GP visits unless bulk billed, and availability of bulk billing is </w:t>
      </w:r>
      <w:r>
        <w:t xml:space="preserve">poor and </w:t>
      </w:r>
      <w:r w:rsidRPr="00D16AC8">
        <w:t>shrinking.</w:t>
      </w:r>
    </w:p>
    <w:p w14:paraId="1CA17110" w14:textId="77777777" w:rsidR="00BF468B" w:rsidRDefault="00BF468B" w:rsidP="00BF468B">
      <w:pPr>
        <w:numPr>
          <w:ilvl w:val="0"/>
          <w:numId w:val="24"/>
        </w:numPr>
      </w:pPr>
      <w:r w:rsidRPr="3B2127CB">
        <w:rPr>
          <w:b/>
          <w:bCs/>
        </w:rPr>
        <w:t>Transport and mobility</w:t>
      </w:r>
      <w:r>
        <w:t>: Long travel distances, no accessible public transport, unreliable wheelchair accessible taxis, dependence on others for transport.</w:t>
      </w:r>
    </w:p>
    <w:p w14:paraId="787B260F" w14:textId="77777777" w:rsidR="00BF468B" w:rsidRPr="00D16AC8" w:rsidRDefault="00BF468B" w:rsidP="00BF468B">
      <w:pPr>
        <w:numPr>
          <w:ilvl w:val="0"/>
          <w:numId w:val="24"/>
        </w:numPr>
      </w:pPr>
      <w:r>
        <w:t xml:space="preserve"> </w:t>
      </w:r>
      <w:r w:rsidRPr="3B2127CB">
        <w:rPr>
          <w:b/>
          <w:bCs/>
        </w:rPr>
        <w:t>Physical Inaccessibility</w:t>
      </w:r>
      <w:r>
        <w:t>: inaccessible clinic spaces (e.g., narrow doors) create obstacles.</w:t>
      </w:r>
    </w:p>
    <w:p w14:paraId="277016F2" w14:textId="77777777" w:rsidR="00BF468B" w:rsidRPr="00D16AC8" w:rsidRDefault="00BF468B" w:rsidP="00BF468B">
      <w:pPr>
        <w:numPr>
          <w:ilvl w:val="0"/>
          <w:numId w:val="24"/>
        </w:numPr>
      </w:pPr>
      <w:r w:rsidRPr="00D16AC8">
        <w:rPr>
          <w:b/>
          <w:bCs/>
        </w:rPr>
        <w:t>Continuity of care</w:t>
      </w:r>
      <w:r w:rsidRPr="00D16AC8">
        <w:t>: Not all patients have a regular GP available.</w:t>
      </w:r>
    </w:p>
    <w:p w14:paraId="122D0162" w14:textId="77777777" w:rsidR="00BF468B" w:rsidRPr="00D16AC8" w:rsidRDefault="00BF468B" w:rsidP="00BF468B">
      <w:pPr>
        <w:numPr>
          <w:ilvl w:val="0"/>
          <w:numId w:val="24"/>
        </w:numPr>
      </w:pPr>
      <w:r w:rsidRPr="00D16AC8">
        <w:rPr>
          <w:b/>
          <w:bCs/>
        </w:rPr>
        <w:t>COVID safety</w:t>
      </w:r>
      <w:r w:rsidRPr="00D16AC8">
        <w:t>: Some raised concerns about a lack of masks and infection control in clinics.</w:t>
      </w:r>
    </w:p>
    <w:p w14:paraId="639ABA4E" w14:textId="77777777" w:rsidR="00BF468B" w:rsidRDefault="00BF468B" w:rsidP="00BF468B">
      <w:pPr>
        <w:numPr>
          <w:ilvl w:val="0"/>
          <w:numId w:val="24"/>
        </w:numPr>
      </w:pPr>
      <w:r w:rsidRPr="00D16AC8">
        <w:rPr>
          <w:b/>
          <w:bCs/>
        </w:rPr>
        <w:lastRenderedPageBreak/>
        <w:t>Homebound patients</w:t>
      </w:r>
      <w:r w:rsidRPr="00D16AC8">
        <w:t>: People who are bedridden or housebound described a lack of suitable home visits or coordinated care.</w:t>
      </w:r>
    </w:p>
    <w:p w14:paraId="41EA3AE5" w14:textId="77777777" w:rsidR="00BF468B" w:rsidRDefault="00BF468B" w:rsidP="00BF468B">
      <w:pPr>
        <w:spacing w:before="0" w:after="120" w:line="280" w:lineRule="atLeast"/>
      </w:pPr>
      <w:r>
        <w:br w:type="page"/>
      </w:r>
    </w:p>
    <w:p w14:paraId="51E246FF" w14:textId="77777777" w:rsidR="00BF468B" w:rsidRDefault="00BF468B" w:rsidP="00BF468B">
      <w:pPr>
        <w:pStyle w:val="IntenseQuote"/>
      </w:pPr>
      <w:r>
        <w:lastRenderedPageBreak/>
        <w:t xml:space="preserve">My son has very high anxiety, making it difficult for him to leave the car and enter a doctor's </w:t>
      </w:r>
      <w:proofErr w:type="spellStart"/>
      <w:proofErr w:type="gramStart"/>
      <w:r>
        <w:t>surgery.I</w:t>
      </w:r>
      <w:proofErr w:type="spellEnd"/>
      <w:proofErr w:type="gramEnd"/>
      <w:r>
        <w:t xml:space="preserve"> need someone to take me. My GP moved from 5min drive each way to 20-30 min drive each way. It's the furthest I </w:t>
      </w:r>
      <w:proofErr w:type="gramStart"/>
      <w:r>
        <w:t>go</w:t>
      </w:r>
      <w:proofErr w:type="gramEnd"/>
      <w:r>
        <w:t xml:space="preserve"> and I </w:t>
      </w:r>
      <w:proofErr w:type="gramStart"/>
      <w:r>
        <w:t>have to</w:t>
      </w:r>
      <w:proofErr w:type="gramEnd"/>
      <w:r>
        <w:t xml:space="preserve"> go many times a year for in person administration of medication. </w:t>
      </w:r>
    </w:p>
    <w:p w14:paraId="70CA7C60" w14:textId="77777777" w:rsidR="00BF468B" w:rsidRDefault="00BF468B" w:rsidP="00BF468B">
      <w:pPr>
        <w:pStyle w:val="IntenseQuote"/>
      </w:pPr>
      <w:r>
        <w:t>“Doors to rooms too small.”</w:t>
      </w:r>
    </w:p>
    <w:p w14:paraId="2312639E" w14:textId="77777777" w:rsidR="00BF468B" w:rsidRDefault="00BF468B" w:rsidP="00BF468B">
      <w:pPr>
        <w:pStyle w:val="IntenseQuote"/>
      </w:pPr>
      <w:r>
        <w:t xml:space="preserve">I am homebound and mostly bedridden. Needs coordination of support during my functional hours to visit. Challenging project. </w:t>
      </w:r>
    </w:p>
    <w:p w14:paraId="138457E1" w14:textId="77777777" w:rsidR="00BF468B" w:rsidRDefault="00BF468B" w:rsidP="00BF468B">
      <w:pPr>
        <w:pStyle w:val="IntenseQuote"/>
      </w:pPr>
      <w:r>
        <w:t xml:space="preserve">At the destination, I need to navigate harmful environments of large shopping centre (noise, light, fast moving people around me, smell and chemicals from stores). </w:t>
      </w:r>
    </w:p>
    <w:p w14:paraId="572BFE0C" w14:textId="77777777" w:rsidR="00BF468B" w:rsidRPr="000A74FF" w:rsidRDefault="00BF468B" w:rsidP="00BF468B">
      <w:pPr>
        <w:pStyle w:val="IntenseQuote"/>
      </w:pPr>
      <w:r>
        <w:t>Nobody can hear my weak voice, cannot communicate from wheelchair to receptionist, manoeuvre in powered wheelchair in clattered space is challenging.</w:t>
      </w:r>
    </w:p>
    <w:p w14:paraId="4DBDEBC0" w14:textId="77777777" w:rsidR="00BF468B" w:rsidRDefault="00BF468B" w:rsidP="00BF468B">
      <w:pPr>
        <w:spacing w:before="0" w:after="120" w:line="280" w:lineRule="atLeast"/>
        <w:rPr>
          <w:rFonts w:ascii="Arial" w:eastAsia="Times New Roman" w:hAnsi="Arial" w:cs="Times New Roman"/>
          <w:b/>
          <w:bCs/>
          <w:color w:val="005496"/>
        </w:rPr>
      </w:pPr>
      <w:r>
        <w:br w:type="page"/>
      </w:r>
    </w:p>
    <w:p w14:paraId="0A09F2FB" w14:textId="77777777" w:rsidR="00BF468B" w:rsidRPr="00B90F32" w:rsidRDefault="00BF468B" w:rsidP="00BF468B">
      <w:pPr>
        <w:pStyle w:val="Heading4"/>
        <w:rPr>
          <w:lang w:eastAsia="en-AU"/>
        </w:rPr>
      </w:pPr>
      <w:r>
        <w:lastRenderedPageBreak/>
        <w:t>Question 8: What works well when you visit your doctor?</w:t>
      </w:r>
    </w:p>
    <w:p w14:paraId="3ABB2C93" w14:textId="77777777" w:rsidR="00BF468B" w:rsidRDefault="00BF468B" w:rsidP="00BF468B">
      <w:r>
        <w:t>Answered: 231. Skipped: 38</w:t>
      </w:r>
    </w:p>
    <w:p w14:paraId="39A9CF61" w14:textId="77777777" w:rsidR="00BF468B" w:rsidRPr="001F20D2" w:rsidRDefault="00BF468B" w:rsidP="00BF468B">
      <w:pPr>
        <w:rPr>
          <w:b/>
          <w:bCs/>
        </w:rPr>
      </w:pPr>
      <w:r w:rsidRPr="3B2127CB">
        <w:rPr>
          <w:b/>
          <w:bCs/>
        </w:rPr>
        <w:t>Comments</w:t>
      </w:r>
    </w:p>
    <w:p w14:paraId="42859D1F" w14:textId="77777777" w:rsidR="00BF468B" w:rsidRDefault="00BF468B" w:rsidP="00BF468B">
      <w:r w:rsidRPr="00531212">
        <w:t xml:space="preserve">Respondents highlighted what works well for them when visiting their doctors, with the strongest emphasis on continuity of care, telehealth, and supportive doctor–patient relationships. </w:t>
      </w:r>
    </w:p>
    <w:p w14:paraId="1AE982C9" w14:textId="77777777" w:rsidR="00BF468B" w:rsidRDefault="00BF468B" w:rsidP="00BF468B">
      <w:r>
        <w:t>A small number of negatives were noted, typically around costs to visit the doctor, rushed appointments, poor communication or “Nothing works well”.</w:t>
      </w:r>
    </w:p>
    <w:p w14:paraId="0B4B084E" w14:textId="77777777" w:rsidR="00BF468B" w:rsidRPr="00B759E1" w:rsidRDefault="00BF468B" w:rsidP="00BF468B">
      <w:pPr>
        <w:rPr>
          <w:b/>
          <w:bCs/>
        </w:rPr>
      </w:pPr>
      <w:r w:rsidRPr="3B2127CB">
        <w:rPr>
          <w:b/>
          <w:bCs/>
        </w:rPr>
        <w:t>Key Themes</w:t>
      </w:r>
    </w:p>
    <w:p w14:paraId="588A3D0D" w14:textId="77777777" w:rsidR="00BF468B" w:rsidRPr="00B759E1" w:rsidRDefault="00BF468B" w:rsidP="00BF468B">
      <w:pPr>
        <w:numPr>
          <w:ilvl w:val="0"/>
          <w:numId w:val="25"/>
        </w:numPr>
      </w:pPr>
      <w:r w:rsidRPr="3B2127CB">
        <w:rPr>
          <w:b/>
          <w:bCs/>
        </w:rPr>
        <w:t>Continuity and trust</w:t>
      </w:r>
      <w:r>
        <w:t>:</w:t>
      </w:r>
    </w:p>
    <w:p w14:paraId="4A54F5B6" w14:textId="77777777" w:rsidR="00BF468B" w:rsidRPr="00B759E1" w:rsidRDefault="00BF468B" w:rsidP="00BF468B">
      <w:pPr>
        <w:numPr>
          <w:ilvl w:val="1"/>
          <w:numId w:val="25"/>
        </w:numPr>
      </w:pPr>
      <w:r w:rsidRPr="00B759E1">
        <w:t>Seeing the same GP consistently.</w:t>
      </w:r>
    </w:p>
    <w:p w14:paraId="386326BA" w14:textId="77777777" w:rsidR="00BF468B" w:rsidRPr="00B759E1" w:rsidRDefault="00BF468B" w:rsidP="00BF468B">
      <w:pPr>
        <w:numPr>
          <w:ilvl w:val="1"/>
          <w:numId w:val="25"/>
        </w:numPr>
      </w:pPr>
      <w:r w:rsidRPr="00B759E1">
        <w:t>Doctors who know patient history and follow through with treatment.</w:t>
      </w:r>
    </w:p>
    <w:p w14:paraId="4ED17EB8" w14:textId="77777777" w:rsidR="00BF468B" w:rsidRPr="00B759E1" w:rsidRDefault="00BF468B" w:rsidP="00BF468B">
      <w:pPr>
        <w:numPr>
          <w:ilvl w:val="0"/>
          <w:numId w:val="25"/>
        </w:numPr>
      </w:pPr>
      <w:r w:rsidRPr="3B2127CB">
        <w:rPr>
          <w:b/>
          <w:bCs/>
        </w:rPr>
        <w:t>Doctor–patient relationship</w:t>
      </w:r>
      <w:r>
        <w:t>:</w:t>
      </w:r>
    </w:p>
    <w:p w14:paraId="55F727D1" w14:textId="77777777" w:rsidR="00BF468B" w:rsidRPr="00B759E1" w:rsidRDefault="00BF468B" w:rsidP="00BF468B">
      <w:pPr>
        <w:numPr>
          <w:ilvl w:val="1"/>
          <w:numId w:val="25"/>
        </w:numPr>
      </w:pPr>
      <w:r w:rsidRPr="00B759E1">
        <w:t>Experienced, caring, and understanding doctors.</w:t>
      </w:r>
    </w:p>
    <w:p w14:paraId="05BF6801" w14:textId="77777777" w:rsidR="00BF468B" w:rsidRPr="00B759E1" w:rsidRDefault="00BF468B" w:rsidP="00BF468B">
      <w:pPr>
        <w:numPr>
          <w:ilvl w:val="1"/>
          <w:numId w:val="25"/>
        </w:numPr>
      </w:pPr>
      <w:r w:rsidRPr="00B759E1">
        <w:t>Friendly and supportive clinic staff.</w:t>
      </w:r>
    </w:p>
    <w:p w14:paraId="1B059122" w14:textId="77777777" w:rsidR="00BF468B" w:rsidRPr="00B759E1" w:rsidRDefault="00BF468B" w:rsidP="00BF468B">
      <w:pPr>
        <w:numPr>
          <w:ilvl w:val="0"/>
          <w:numId w:val="25"/>
        </w:numPr>
      </w:pPr>
      <w:r w:rsidRPr="3B2127CB">
        <w:rPr>
          <w:b/>
          <w:bCs/>
        </w:rPr>
        <w:t>Telehealth</w:t>
      </w:r>
      <w:r>
        <w:t>:</w:t>
      </w:r>
    </w:p>
    <w:p w14:paraId="3F9D839E" w14:textId="77777777" w:rsidR="00BF468B" w:rsidRPr="00B759E1" w:rsidRDefault="00BF468B" w:rsidP="00BF468B">
      <w:pPr>
        <w:numPr>
          <w:ilvl w:val="1"/>
          <w:numId w:val="25"/>
        </w:numPr>
      </w:pPr>
      <w:r w:rsidRPr="00B759E1">
        <w:t>Strong praise for telehealth and home visit options, especially for people with limited mobility, chronic illness, or who are homebound.</w:t>
      </w:r>
    </w:p>
    <w:p w14:paraId="18CF1C11" w14:textId="77777777" w:rsidR="00BF468B" w:rsidRPr="00B759E1" w:rsidRDefault="00BF468B" w:rsidP="00BF468B">
      <w:pPr>
        <w:numPr>
          <w:ilvl w:val="0"/>
          <w:numId w:val="25"/>
        </w:numPr>
      </w:pPr>
      <w:r w:rsidRPr="3B2127CB">
        <w:rPr>
          <w:b/>
          <w:bCs/>
        </w:rPr>
        <w:t>Accessibility and accommodation</w:t>
      </w:r>
      <w:r>
        <w:t>:</w:t>
      </w:r>
    </w:p>
    <w:p w14:paraId="5C747F95" w14:textId="77777777" w:rsidR="00BF468B" w:rsidRPr="00B759E1" w:rsidRDefault="00BF468B" w:rsidP="00BF468B">
      <w:pPr>
        <w:numPr>
          <w:ilvl w:val="1"/>
          <w:numId w:val="25"/>
        </w:numPr>
      </w:pPr>
      <w:r w:rsidRPr="00B759E1">
        <w:t xml:space="preserve">Practices that accommodate </w:t>
      </w:r>
      <w:r>
        <w:t xml:space="preserve">adjustments needed for specific disabilities or </w:t>
      </w:r>
      <w:r w:rsidRPr="00B759E1">
        <w:t>chemical sensitivities.</w:t>
      </w:r>
    </w:p>
    <w:p w14:paraId="7C4F54F0" w14:textId="77777777" w:rsidR="00BF468B" w:rsidRPr="00B759E1" w:rsidRDefault="00BF468B" w:rsidP="00BF468B">
      <w:pPr>
        <w:numPr>
          <w:ilvl w:val="1"/>
          <w:numId w:val="25"/>
        </w:numPr>
      </w:pPr>
      <w:r w:rsidRPr="00B759E1">
        <w:t>Ability to book appointments in comfortable environments.</w:t>
      </w:r>
    </w:p>
    <w:p w14:paraId="0A7A64EA" w14:textId="77777777" w:rsidR="00BF468B" w:rsidRPr="00B759E1" w:rsidRDefault="00BF468B" w:rsidP="00BF468B">
      <w:pPr>
        <w:numPr>
          <w:ilvl w:val="0"/>
          <w:numId w:val="25"/>
        </w:numPr>
      </w:pPr>
      <w:r w:rsidRPr="3B2127CB">
        <w:rPr>
          <w:b/>
          <w:bCs/>
        </w:rPr>
        <w:lastRenderedPageBreak/>
        <w:t>Holistic support</w:t>
      </w:r>
      <w:r>
        <w:t>:</w:t>
      </w:r>
    </w:p>
    <w:p w14:paraId="147E23E0" w14:textId="77777777" w:rsidR="00BF468B" w:rsidRDefault="00BF468B" w:rsidP="00BF468B">
      <w:pPr>
        <w:numPr>
          <w:ilvl w:val="1"/>
          <w:numId w:val="25"/>
        </w:numPr>
      </w:pPr>
      <w:r w:rsidRPr="00B759E1">
        <w:t>Doctors who understand the complexity of conditions and provide more than “tick-box” or prescription-only care.</w:t>
      </w:r>
    </w:p>
    <w:p w14:paraId="46330B10" w14:textId="77777777" w:rsidR="00BF468B" w:rsidRDefault="00BF468B" w:rsidP="00BF468B">
      <w:pPr>
        <w:pStyle w:val="IntenseQuote"/>
      </w:pPr>
      <w:r>
        <w:t>home visit and tele-health options, flexible to needs</w:t>
      </w:r>
    </w:p>
    <w:p w14:paraId="2F3C319E" w14:textId="77777777" w:rsidR="00BF468B" w:rsidRDefault="00BF468B" w:rsidP="00BF468B">
      <w:pPr>
        <w:pStyle w:val="IntenseQuote"/>
      </w:pPr>
      <w:r>
        <w:t xml:space="preserve">One specialist does zoom consults with me which is so helpful. Started post covid as I'm immuno-compromised and setting was open public outpatient area. </w:t>
      </w:r>
    </w:p>
    <w:p w14:paraId="334834D8" w14:textId="77777777" w:rsidR="00BF468B" w:rsidRPr="00B85383" w:rsidRDefault="00BF468B" w:rsidP="00BF468B">
      <w:pPr>
        <w:pStyle w:val="IntenseQuote"/>
      </w:pPr>
      <w:r>
        <w:t xml:space="preserve">She was experienced and caring, great in building rapport. She takes my concerns seriously when I raise medical issues and explains what </w:t>
      </w:r>
      <w:proofErr w:type="gramStart"/>
      <w:r>
        <w:t>may be the cause and practical issues i.e.</w:t>
      </w:r>
      <w:proofErr w:type="gramEnd"/>
      <w:r>
        <w:t xml:space="preserve"> where to access healthy fresh produce, how to find a female informed clinic to do intimate CT scans that bulk bills.</w:t>
      </w:r>
    </w:p>
    <w:p w14:paraId="74201004" w14:textId="77777777" w:rsidR="00BF468B" w:rsidRPr="00B90F32" w:rsidRDefault="00BF468B" w:rsidP="00BF468B">
      <w:pPr>
        <w:pStyle w:val="Heading4"/>
        <w:rPr>
          <w:lang w:eastAsia="en-AU"/>
        </w:rPr>
      </w:pPr>
      <w:r>
        <w:t>Question 9: What would make your visit to the doctor better?</w:t>
      </w:r>
    </w:p>
    <w:p w14:paraId="0D136995" w14:textId="77777777" w:rsidR="00BF468B" w:rsidRDefault="00BF468B" w:rsidP="00BF468B">
      <w:r>
        <w:t>Answered: 221. Skipped: 48</w:t>
      </w:r>
    </w:p>
    <w:p w14:paraId="3CC643FC" w14:textId="77777777" w:rsidR="00BF468B" w:rsidRPr="00756091" w:rsidRDefault="00BF468B" w:rsidP="00BF468B">
      <w:r>
        <w:t xml:space="preserve">Improving the affordability and availability of care were the two most common responses. Respondents identified practical improvements that would make visits to the doctor more accessible, inclusive, and supportive. Suggestions centred on telehealth expansion for people with disability, environmental accessibility, better staff training, and personalised care. </w:t>
      </w:r>
    </w:p>
    <w:p w14:paraId="1D2ADFA2" w14:textId="77777777" w:rsidR="00BF468B" w:rsidRPr="00756091" w:rsidRDefault="00BF468B" w:rsidP="00BF468B">
      <w:pPr>
        <w:rPr>
          <w:b/>
          <w:bCs/>
        </w:rPr>
      </w:pPr>
      <w:r w:rsidRPr="3B2127CB">
        <w:rPr>
          <w:b/>
          <w:bCs/>
        </w:rPr>
        <w:t>Key Themes</w:t>
      </w:r>
    </w:p>
    <w:p w14:paraId="10D20F77" w14:textId="77777777" w:rsidR="00BF468B" w:rsidRPr="00756091" w:rsidRDefault="00BF468B" w:rsidP="00BF468B">
      <w:pPr>
        <w:numPr>
          <w:ilvl w:val="0"/>
          <w:numId w:val="26"/>
        </w:numPr>
      </w:pPr>
      <w:r w:rsidRPr="3B2127CB">
        <w:rPr>
          <w:b/>
          <w:bCs/>
        </w:rPr>
        <w:t>Telehealth and flexibility</w:t>
      </w:r>
      <w:r>
        <w:t>:</w:t>
      </w:r>
    </w:p>
    <w:p w14:paraId="65A7F1E3" w14:textId="77777777" w:rsidR="00BF468B" w:rsidRPr="00756091" w:rsidRDefault="00BF468B" w:rsidP="00BF468B">
      <w:pPr>
        <w:numPr>
          <w:ilvl w:val="1"/>
          <w:numId w:val="26"/>
        </w:numPr>
      </w:pPr>
      <w:r w:rsidRPr="00756091">
        <w:t>Many called for universal access to telehealth for people with disability.</w:t>
      </w:r>
    </w:p>
    <w:p w14:paraId="76F7915D" w14:textId="77777777" w:rsidR="00BF468B" w:rsidRDefault="00BF468B" w:rsidP="00BF468B">
      <w:pPr>
        <w:numPr>
          <w:ilvl w:val="1"/>
          <w:numId w:val="26"/>
        </w:numPr>
      </w:pPr>
      <w:r w:rsidRPr="00756091">
        <w:t>Requests for extended opening hours and flexible appointment scheduling.</w:t>
      </w:r>
    </w:p>
    <w:p w14:paraId="12909F50" w14:textId="77777777" w:rsidR="00BF468B" w:rsidRDefault="00BF468B" w:rsidP="00BF468B">
      <w:pPr>
        <w:pStyle w:val="IntenseQuote"/>
        <w:rPr>
          <w:lang w:eastAsia="en-AU"/>
        </w:rPr>
      </w:pPr>
      <w:r>
        <w:lastRenderedPageBreak/>
        <w:t xml:space="preserve">Longer opening hours, different location. </w:t>
      </w:r>
      <w:r>
        <w:br/>
        <w:t xml:space="preserve">Telehealth with video, not by telephone. </w:t>
      </w:r>
    </w:p>
    <w:p w14:paraId="513C83B9" w14:textId="77777777" w:rsidR="00BF468B" w:rsidRPr="00756091" w:rsidRDefault="00BF468B" w:rsidP="00BF468B">
      <w:pPr>
        <w:numPr>
          <w:ilvl w:val="0"/>
          <w:numId w:val="26"/>
        </w:numPr>
      </w:pPr>
      <w:r w:rsidRPr="3B2127CB">
        <w:rPr>
          <w:b/>
          <w:bCs/>
        </w:rPr>
        <w:t>Accessibility and environment</w:t>
      </w:r>
      <w:r>
        <w:t>:</w:t>
      </w:r>
    </w:p>
    <w:p w14:paraId="19962ADF" w14:textId="77777777" w:rsidR="00BF468B" w:rsidRDefault="00BF468B" w:rsidP="00BF468B">
      <w:pPr>
        <w:numPr>
          <w:ilvl w:val="1"/>
          <w:numId w:val="26"/>
        </w:numPr>
      </w:pPr>
      <w:r w:rsidRPr="00756091">
        <w:t>Bigger doorways and accessible physical environments.</w:t>
      </w:r>
    </w:p>
    <w:p w14:paraId="30F77E9C" w14:textId="77777777" w:rsidR="00BF468B" w:rsidRDefault="00BF468B" w:rsidP="00BF468B">
      <w:pPr>
        <w:numPr>
          <w:ilvl w:val="1"/>
          <w:numId w:val="26"/>
        </w:numPr>
      </w:pPr>
      <w:r>
        <w:t>Transport that gets people to the doctor.</w:t>
      </w:r>
    </w:p>
    <w:p w14:paraId="21C0F918" w14:textId="77777777" w:rsidR="00BF468B" w:rsidRDefault="00BF468B" w:rsidP="00BF468B">
      <w:pPr>
        <w:numPr>
          <w:ilvl w:val="1"/>
          <w:numId w:val="26"/>
        </w:numPr>
      </w:pPr>
      <w:r w:rsidRPr="00756091">
        <w:t>Separate quiet waiting areas for people with sensory sensitivities.</w:t>
      </w:r>
    </w:p>
    <w:p w14:paraId="0320E012" w14:textId="77777777" w:rsidR="00BF468B" w:rsidRDefault="00BF468B" w:rsidP="00BF468B">
      <w:pPr>
        <w:pStyle w:val="IntenseQuote"/>
      </w:pPr>
      <w:r w:rsidRPr="00C84898">
        <w:t>Separate waiting room for kids with sensory issues, autism, ADHD</w:t>
      </w:r>
    </w:p>
    <w:p w14:paraId="1F40B78E" w14:textId="77777777" w:rsidR="00BF468B" w:rsidRPr="00CF2509" w:rsidRDefault="00BF468B" w:rsidP="00BF468B">
      <w:pPr>
        <w:pStyle w:val="IntenseQuote"/>
      </w:pPr>
      <w:r>
        <w:t xml:space="preserve">There is also minimal transport that </w:t>
      </w:r>
      <w:proofErr w:type="gramStart"/>
      <w:r>
        <w:t>is able to</w:t>
      </w:r>
      <w:proofErr w:type="gramEnd"/>
      <w:r>
        <w:t xml:space="preserve"> get participants within this area directly to the GP.</w:t>
      </w:r>
    </w:p>
    <w:p w14:paraId="10CE9217" w14:textId="77777777" w:rsidR="00BF468B" w:rsidRPr="00756091" w:rsidRDefault="00BF468B" w:rsidP="00BF468B">
      <w:pPr>
        <w:numPr>
          <w:ilvl w:val="0"/>
          <w:numId w:val="26"/>
        </w:numPr>
      </w:pPr>
      <w:r w:rsidRPr="3B2127CB">
        <w:rPr>
          <w:b/>
          <w:bCs/>
        </w:rPr>
        <w:t>Staff training</w:t>
      </w:r>
      <w:r>
        <w:t>:</w:t>
      </w:r>
    </w:p>
    <w:p w14:paraId="5FC73C1E" w14:textId="77777777" w:rsidR="00BF468B" w:rsidRPr="00756091" w:rsidRDefault="00BF468B" w:rsidP="00BF468B">
      <w:pPr>
        <w:numPr>
          <w:ilvl w:val="1"/>
          <w:numId w:val="26"/>
        </w:numPr>
      </w:pPr>
      <w:r w:rsidRPr="00756091">
        <w:t>More awareness of disability and cultural needs.</w:t>
      </w:r>
    </w:p>
    <w:p w14:paraId="795A3AD7" w14:textId="77777777" w:rsidR="00BF468B" w:rsidRPr="00756091" w:rsidRDefault="00BF468B" w:rsidP="00BF468B">
      <w:pPr>
        <w:numPr>
          <w:ilvl w:val="1"/>
          <w:numId w:val="26"/>
        </w:numPr>
      </w:pPr>
      <w:r w:rsidRPr="00756091">
        <w:t>Training in functional medicine and chronic illness.</w:t>
      </w:r>
    </w:p>
    <w:p w14:paraId="1590322F" w14:textId="77777777" w:rsidR="00BF468B" w:rsidRPr="00756091" w:rsidRDefault="00BF468B" w:rsidP="00BF468B">
      <w:pPr>
        <w:numPr>
          <w:ilvl w:val="0"/>
          <w:numId w:val="26"/>
        </w:numPr>
      </w:pPr>
      <w:r w:rsidRPr="3B2127CB">
        <w:rPr>
          <w:b/>
          <w:bCs/>
        </w:rPr>
        <w:t>Safety and infection control</w:t>
      </w:r>
      <w:r>
        <w:t>:</w:t>
      </w:r>
    </w:p>
    <w:p w14:paraId="57E1F416" w14:textId="77777777" w:rsidR="00BF468B" w:rsidRPr="00756091" w:rsidRDefault="00BF468B" w:rsidP="00BF468B">
      <w:pPr>
        <w:numPr>
          <w:ilvl w:val="1"/>
          <w:numId w:val="26"/>
        </w:numPr>
      </w:pPr>
      <w:r w:rsidRPr="00756091">
        <w:t>Airborne disease prevention measures (e.g., masks, ventilation).</w:t>
      </w:r>
    </w:p>
    <w:p w14:paraId="125DE6FB" w14:textId="77777777" w:rsidR="00BF468B" w:rsidRPr="00756091" w:rsidRDefault="00BF468B" w:rsidP="00BF468B">
      <w:pPr>
        <w:numPr>
          <w:ilvl w:val="0"/>
          <w:numId w:val="26"/>
        </w:numPr>
      </w:pPr>
      <w:r w:rsidRPr="3B2127CB">
        <w:rPr>
          <w:b/>
          <w:bCs/>
        </w:rPr>
        <w:t>Personalised care</w:t>
      </w:r>
      <w:r>
        <w:t>:</w:t>
      </w:r>
    </w:p>
    <w:p w14:paraId="3772EFBE" w14:textId="77777777" w:rsidR="00BF468B" w:rsidRPr="00756091" w:rsidRDefault="00BF468B" w:rsidP="00BF468B">
      <w:pPr>
        <w:numPr>
          <w:ilvl w:val="1"/>
          <w:numId w:val="26"/>
        </w:numPr>
      </w:pPr>
      <w:r w:rsidRPr="00756091">
        <w:t>Doctors taking time to understand individual needs and experiences.</w:t>
      </w:r>
    </w:p>
    <w:p w14:paraId="4F642D94" w14:textId="77777777" w:rsidR="00BF468B" w:rsidRDefault="00BF468B" w:rsidP="00BF468B">
      <w:pPr>
        <w:numPr>
          <w:ilvl w:val="1"/>
          <w:numId w:val="26"/>
        </w:numPr>
      </w:pPr>
      <w:r w:rsidRPr="00756091">
        <w:t>Consistent access to a regular GP.</w:t>
      </w:r>
    </w:p>
    <w:p w14:paraId="513573A3" w14:textId="77777777" w:rsidR="00BF468B" w:rsidRDefault="00BF468B" w:rsidP="00BF468B">
      <w:pPr>
        <w:spacing w:before="0" w:after="120" w:line="280" w:lineRule="atLeast"/>
      </w:pPr>
      <w:r>
        <w:br w:type="page"/>
      </w:r>
    </w:p>
    <w:p w14:paraId="0AA20B23" w14:textId="77777777" w:rsidR="00BF468B" w:rsidRDefault="00BF468B" w:rsidP="00BF468B">
      <w:pPr>
        <w:pStyle w:val="IntenseQuote"/>
        <w:rPr>
          <w:lang w:eastAsia="en-AU"/>
        </w:rPr>
      </w:pPr>
      <w:r>
        <w:lastRenderedPageBreak/>
        <w:t>My doctor knowing more of what I need and not me having to keep track of everything and figure out on my own.</w:t>
      </w:r>
    </w:p>
    <w:p w14:paraId="0591E5CE" w14:textId="77777777" w:rsidR="00BF468B" w:rsidRPr="00B05A6D" w:rsidRDefault="00BF468B" w:rsidP="00BF468B">
      <w:pPr>
        <w:pStyle w:val="IntenseQuote"/>
        <w:rPr>
          <w:lang w:eastAsia="en-AU"/>
        </w:rPr>
      </w:pPr>
      <w:r>
        <w:t xml:space="preserve">Having a bigger pool of local doctors. Having more time. Not having to explain my story every time. Having doctors that are holistic and listen to </w:t>
      </w:r>
      <w:proofErr w:type="gramStart"/>
      <w:r>
        <w:t>me, and</w:t>
      </w:r>
      <w:proofErr w:type="gramEnd"/>
      <w:r>
        <w:t xml:space="preserve"> understand that I am the expert in my complex health conditions.</w:t>
      </w:r>
    </w:p>
    <w:p w14:paraId="4929CA21" w14:textId="77777777" w:rsidR="00BF468B" w:rsidRPr="00B90F32" w:rsidRDefault="00BF468B" w:rsidP="00BF468B">
      <w:pPr>
        <w:pStyle w:val="Heading4"/>
        <w:rPr>
          <w:lang w:eastAsia="en-AU"/>
        </w:rPr>
      </w:pPr>
      <w:r>
        <w:t>Question 10: Thinking about your experience with these types of other health care, what worked well for you?</w:t>
      </w:r>
    </w:p>
    <w:p w14:paraId="633C39F7" w14:textId="77777777" w:rsidR="00BF468B" w:rsidRDefault="00BF468B" w:rsidP="00BF468B">
      <w:r>
        <w:t>Answered: 209. Skipped: 60</w:t>
      </w:r>
    </w:p>
    <w:p w14:paraId="18889ABD" w14:textId="77777777" w:rsidR="00BF468B" w:rsidRDefault="00BF468B" w:rsidP="00BF468B">
      <w:r w:rsidRPr="00A56352">
        <w:t>Responses reflected a mixed set of experiences with specialist, allied health, and diagnostic services. Some participants praised flexibility and telehealth access, while many others raised concerns about long waitlists, lack of disability accommodations, and unsafe environments.</w:t>
      </w:r>
    </w:p>
    <w:p w14:paraId="4BA50E9D" w14:textId="77777777" w:rsidR="00BF468B" w:rsidRPr="00E50F1A" w:rsidRDefault="00BF468B" w:rsidP="00BF468B">
      <w:pPr>
        <w:rPr>
          <w:b/>
          <w:bCs/>
        </w:rPr>
      </w:pPr>
      <w:r w:rsidRPr="3B2127CB">
        <w:rPr>
          <w:b/>
          <w:bCs/>
        </w:rPr>
        <w:t>Key Themes</w:t>
      </w:r>
    </w:p>
    <w:p w14:paraId="162E8198" w14:textId="77777777" w:rsidR="00BF468B" w:rsidRPr="00E50F1A" w:rsidRDefault="00BF468B" w:rsidP="00BF468B">
      <w:pPr>
        <w:numPr>
          <w:ilvl w:val="0"/>
          <w:numId w:val="27"/>
        </w:numPr>
      </w:pPr>
      <w:r w:rsidRPr="3B2127CB">
        <w:rPr>
          <w:b/>
          <w:bCs/>
        </w:rPr>
        <w:t>Positive experiences</w:t>
      </w:r>
      <w:r>
        <w:t>:</w:t>
      </w:r>
    </w:p>
    <w:p w14:paraId="112E4E8E" w14:textId="77777777" w:rsidR="00BF468B" w:rsidRPr="00E50F1A" w:rsidRDefault="00BF468B" w:rsidP="00BF468B">
      <w:pPr>
        <w:numPr>
          <w:ilvl w:val="1"/>
          <w:numId w:val="27"/>
        </w:numPr>
      </w:pPr>
      <w:r>
        <w:t>S</w:t>
      </w:r>
      <w:r w:rsidRPr="00E50F1A">
        <w:t xml:space="preserve">pecialists and allied health </w:t>
      </w:r>
      <w:r>
        <w:t xml:space="preserve">who offer telehealth, </w:t>
      </w:r>
      <w:r w:rsidRPr="00E50F1A">
        <w:t>Zoom and home visits.</w:t>
      </w:r>
    </w:p>
    <w:p w14:paraId="3888691D" w14:textId="77777777" w:rsidR="00BF468B" w:rsidRDefault="00BF468B" w:rsidP="00BF468B">
      <w:pPr>
        <w:numPr>
          <w:ilvl w:val="1"/>
          <w:numId w:val="27"/>
        </w:numPr>
      </w:pPr>
      <w:r w:rsidRPr="00E50F1A">
        <w:t>Psychologists and allied health workers often described as supportive and flexible.</w:t>
      </w:r>
    </w:p>
    <w:p w14:paraId="64355AF8" w14:textId="77777777" w:rsidR="00BF468B" w:rsidRDefault="00BF468B" w:rsidP="00BF468B">
      <w:pPr>
        <w:numPr>
          <w:ilvl w:val="1"/>
          <w:numId w:val="27"/>
        </w:numPr>
      </w:pPr>
      <w:r w:rsidRPr="00AD2494">
        <w:t xml:space="preserve">When a health care provider takes the time to understand </w:t>
      </w:r>
      <w:r>
        <w:t xml:space="preserve">and listen to the patient. </w:t>
      </w:r>
    </w:p>
    <w:p w14:paraId="6DEFC956" w14:textId="77777777" w:rsidR="00BF468B" w:rsidRDefault="00BF468B" w:rsidP="00BF468B">
      <w:pPr>
        <w:numPr>
          <w:ilvl w:val="1"/>
          <w:numId w:val="27"/>
        </w:numPr>
      </w:pPr>
      <w:r>
        <w:t>Trauma-informed care.</w:t>
      </w:r>
    </w:p>
    <w:p w14:paraId="230BE201" w14:textId="77777777" w:rsidR="00BF468B" w:rsidRDefault="00BF468B" w:rsidP="00BF468B">
      <w:pPr>
        <w:numPr>
          <w:ilvl w:val="0"/>
          <w:numId w:val="27"/>
        </w:numPr>
      </w:pPr>
      <w:r>
        <w:t>When people listen to me and give me time to explain things. Don't make assumptions about me based on what I look like.</w:t>
      </w:r>
    </w:p>
    <w:p w14:paraId="19E9FA49" w14:textId="77777777" w:rsidR="00BF468B" w:rsidRPr="00E50F1A" w:rsidRDefault="00BF468B" w:rsidP="00BF468B">
      <w:pPr>
        <w:numPr>
          <w:ilvl w:val="0"/>
          <w:numId w:val="27"/>
        </w:numPr>
      </w:pPr>
      <w:r w:rsidRPr="3B2127CB">
        <w:rPr>
          <w:b/>
          <w:bCs/>
        </w:rPr>
        <w:t>Accessibility issues</w:t>
      </w:r>
      <w:r>
        <w:t>:</w:t>
      </w:r>
    </w:p>
    <w:p w14:paraId="403385A8" w14:textId="77777777" w:rsidR="00BF468B" w:rsidRPr="00E50F1A" w:rsidRDefault="00BF468B" w:rsidP="00BF468B">
      <w:pPr>
        <w:numPr>
          <w:ilvl w:val="1"/>
          <w:numId w:val="27"/>
        </w:numPr>
      </w:pPr>
      <w:r w:rsidRPr="00E50F1A">
        <w:lastRenderedPageBreak/>
        <w:t>Diagnostic services not adapted for disability (e.g., breast scan access difficulties).</w:t>
      </w:r>
    </w:p>
    <w:p w14:paraId="139B4E48" w14:textId="77777777" w:rsidR="00BF468B" w:rsidRPr="00E50F1A" w:rsidRDefault="00BF468B" w:rsidP="00BF468B">
      <w:pPr>
        <w:numPr>
          <w:ilvl w:val="1"/>
          <w:numId w:val="27"/>
        </w:numPr>
      </w:pPr>
      <w:r w:rsidRPr="00E50F1A">
        <w:t>Environments often not safe for people with chemical sensitivities or trauma histories.</w:t>
      </w:r>
    </w:p>
    <w:p w14:paraId="4816E83D" w14:textId="77777777" w:rsidR="00BF468B" w:rsidRDefault="00BF468B" w:rsidP="00BF468B">
      <w:pPr>
        <w:pStyle w:val="IntenseQuote"/>
      </w:pPr>
      <w:r>
        <w:t>I'm fortunate that the specialist I see most often is willing to mostly do telehealth (improved accessibility). All my allied health appointments have also been via telehealth or home visit, which is needed because of my limited mobility/limited capacity to leave the house.</w:t>
      </w:r>
    </w:p>
    <w:p w14:paraId="31D83BF6" w14:textId="77777777" w:rsidR="00BF468B" w:rsidRPr="00481C2C" w:rsidRDefault="00BF468B" w:rsidP="00BF468B">
      <w:pPr>
        <w:pStyle w:val="IntenseQuote"/>
      </w:pPr>
      <w:r>
        <w:t>Breast Screen Victoria is very accommodating for PWD; however, you need to mention that you may need assistance, and they will do their best to accommodate you.</w:t>
      </w:r>
    </w:p>
    <w:p w14:paraId="4F811100" w14:textId="77777777" w:rsidR="00BF468B" w:rsidRPr="00B90F32" w:rsidRDefault="00BF468B" w:rsidP="00BF468B">
      <w:pPr>
        <w:pStyle w:val="Heading4"/>
        <w:rPr>
          <w:lang w:eastAsia="en-AU"/>
        </w:rPr>
      </w:pPr>
      <w:r>
        <w:t>Question 11: What do you think needs to change to make these types of other health care better?</w:t>
      </w:r>
    </w:p>
    <w:p w14:paraId="25761587" w14:textId="77777777" w:rsidR="00BF468B" w:rsidRDefault="00BF468B" w:rsidP="00BF468B">
      <w:r>
        <w:t>Answered: 219. Skipped: 50</w:t>
      </w:r>
    </w:p>
    <w:p w14:paraId="3E249E6E" w14:textId="77777777" w:rsidR="00BF468B" w:rsidRDefault="00BF468B" w:rsidP="00BF468B">
      <w:r w:rsidRPr="0015438C">
        <w:t>Respondents proposed a wide range of systemic and practical changes to improve specialist, allied health, screening, and diagnostic services. The strongest calls were for affordability, accessibility, inclusive practice, and transparency around service availability.</w:t>
      </w:r>
    </w:p>
    <w:p w14:paraId="1DDEB941" w14:textId="77777777" w:rsidR="00BF468B" w:rsidRPr="00B846E5" w:rsidRDefault="00BF468B" w:rsidP="00BF468B">
      <w:pPr>
        <w:rPr>
          <w:b/>
          <w:bCs/>
        </w:rPr>
      </w:pPr>
      <w:r w:rsidRPr="3B2127CB">
        <w:rPr>
          <w:b/>
          <w:bCs/>
        </w:rPr>
        <w:t>Key Themes</w:t>
      </w:r>
    </w:p>
    <w:p w14:paraId="0475BD8C" w14:textId="77777777" w:rsidR="00BF468B" w:rsidRPr="00B846E5" w:rsidRDefault="00BF468B" w:rsidP="00BF468B">
      <w:pPr>
        <w:numPr>
          <w:ilvl w:val="0"/>
          <w:numId w:val="28"/>
        </w:numPr>
      </w:pPr>
      <w:r w:rsidRPr="3B2127CB">
        <w:rPr>
          <w:b/>
          <w:bCs/>
        </w:rPr>
        <w:t>Affordability and Medicare access</w:t>
      </w:r>
      <w:r>
        <w:t>:</w:t>
      </w:r>
    </w:p>
    <w:p w14:paraId="33F5498D" w14:textId="77777777" w:rsidR="00BF468B" w:rsidRPr="00B846E5" w:rsidRDefault="00BF468B" w:rsidP="00BF468B">
      <w:pPr>
        <w:numPr>
          <w:ilvl w:val="1"/>
          <w:numId w:val="28"/>
        </w:numPr>
      </w:pPr>
      <w:r w:rsidRPr="00B846E5">
        <w:t>Calls for more affordable private health insurance.</w:t>
      </w:r>
    </w:p>
    <w:p w14:paraId="641367B5" w14:textId="77777777" w:rsidR="00BF468B" w:rsidRDefault="00BF468B" w:rsidP="00BF468B">
      <w:pPr>
        <w:numPr>
          <w:ilvl w:val="1"/>
          <w:numId w:val="28"/>
        </w:numPr>
      </w:pPr>
      <w:r w:rsidRPr="00B846E5">
        <w:t>Greater access to Medicare-rebated allied health sessions.</w:t>
      </w:r>
    </w:p>
    <w:p w14:paraId="577E8184" w14:textId="77777777" w:rsidR="00BF468B" w:rsidRDefault="00BF468B" w:rsidP="00BF468B">
      <w:pPr>
        <w:numPr>
          <w:ilvl w:val="1"/>
          <w:numId w:val="28"/>
        </w:numPr>
      </w:pPr>
      <w:r>
        <w:t>Funding so it is affordable to get scans and health checks within recommended times.</w:t>
      </w:r>
    </w:p>
    <w:p w14:paraId="2B3B7AF9" w14:textId="77777777" w:rsidR="00BF468B" w:rsidRPr="00217B75" w:rsidRDefault="00BF468B" w:rsidP="00BF468B">
      <w:pPr>
        <w:pStyle w:val="IntenseQuote"/>
      </w:pPr>
      <w:r w:rsidRPr="00217B75">
        <w:lastRenderedPageBreak/>
        <w:t>Many are hard to access and expensive.</w:t>
      </w:r>
    </w:p>
    <w:p w14:paraId="23E96A04" w14:textId="77777777" w:rsidR="00BF468B" w:rsidRDefault="00BF468B" w:rsidP="00BF468B">
      <w:pPr>
        <w:pStyle w:val="IntenseQuote"/>
        <w:rPr>
          <w:rFonts w:ascii="Arial" w:eastAsia="Times New Roman" w:hAnsi="Arial" w:cs="Arial"/>
          <w:color w:val="333333"/>
          <w:sz w:val="22"/>
          <w:szCs w:val="22"/>
          <w:lang w:eastAsia="en-AU"/>
        </w:rPr>
      </w:pPr>
      <w:r>
        <w:t>Make private health insurance more affordable</w:t>
      </w:r>
      <w:r w:rsidRPr="3B2127CB">
        <w:rPr>
          <w:rFonts w:ascii="Arial" w:eastAsia="Times New Roman" w:hAnsi="Arial" w:cs="Arial"/>
          <w:color w:val="333333"/>
          <w:sz w:val="22"/>
          <w:szCs w:val="22"/>
        </w:rPr>
        <w:t>!</w:t>
      </w:r>
    </w:p>
    <w:p w14:paraId="4C94E0D6" w14:textId="77777777" w:rsidR="00BF468B" w:rsidRPr="004E0512" w:rsidRDefault="00BF468B" w:rsidP="00BF468B">
      <w:pPr>
        <w:pStyle w:val="IntenseQuote"/>
        <w:rPr>
          <w:lang w:eastAsia="en-AU"/>
        </w:rPr>
      </w:pPr>
      <w:proofErr w:type="gramStart"/>
      <w:r>
        <w:t>Specialist</w:t>
      </w:r>
      <w:proofErr w:type="gramEnd"/>
      <w:r>
        <w:t xml:space="preserve"> need to provide subsidised consults so </w:t>
      </w:r>
      <w:proofErr w:type="gramStart"/>
      <w:r>
        <w:t>low income</w:t>
      </w:r>
      <w:proofErr w:type="gramEnd"/>
      <w:r>
        <w:t xml:space="preserve"> people can access care</w:t>
      </w:r>
    </w:p>
    <w:p w14:paraId="0682533A" w14:textId="77777777" w:rsidR="00BF468B" w:rsidRPr="00217B75" w:rsidRDefault="00BF468B" w:rsidP="00BF468B">
      <w:pPr>
        <w:pStyle w:val="IntenseQuote"/>
        <w:rPr>
          <w:lang w:eastAsia="en-AU"/>
        </w:rPr>
      </w:pPr>
      <w:r>
        <w:t>Access to affordable allied health for all, not just NDIS participants.</w:t>
      </w:r>
    </w:p>
    <w:p w14:paraId="50BF979C" w14:textId="77777777" w:rsidR="00BF468B" w:rsidRPr="004E0512" w:rsidRDefault="00BF468B" w:rsidP="00BF468B">
      <w:pPr>
        <w:numPr>
          <w:ilvl w:val="0"/>
          <w:numId w:val="28"/>
        </w:numPr>
        <w:rPr>
          <w:b/>
          <w:bCs/>
        </w:rPr>
      </w:pPr>
      <w:r w:rsidRPr="3B2127CB">
        <w:rPr>
          <w:b/>
          <w:bCs/>
        </w:rPr>
        <w:t>Training:</w:t>
      </w:r>
    </w:p>
    <w:p w14:paraId="612816B5" w14:textId="77777777" w:rsidR="00BF468B" w:rsidRDefault="00BF468B" w:rsidP="00BF468B">
      <w:pPr>
        <w:numPr>
          <w:ilvl w:val="1"/>
          <w:numId w:val="28"/>
        </w:numPr>
      </w:pPr>
      <w:r>
        <w:t>Better training for all practitioners in different disabilities, and the impacts on physical and mental health</w:t>
      </w:r>
    </w:p>
    <w:p w14:paraId="59FC1231" w14:textId="77777777" w:rsidR="00BF468B" w:rsidRDefault="00BF468B" w:rsidP="00BF468B">
      <w:pPr>
        <w:numPr>
          <w:ilvl w:val="1"/>
          <w:numId w:val="28"/>
        </w:numPr>
      </w:pPr>
      <w:r>
        <w:t>Disability and cultural awareness training</w:t>
      </w:r>
    </w:p>
    <w:p w14:paraId="3652C5FB" w14:textId="77777777" w:rsidR="00BF468B" w:rsidRPr="004E0512" w:rsidRDefault="00BF468B" w:rsidP="00BF468B">
      <w:pPr>
        <w:pStyle w:val="IntenseQuote"/>
      </w:pPr>
      <w:r w:rsidRPr="004E0512">
        <w:t>Better education in the different disabilities and impacts of mental and physical health.</w:t>
      </w:r>
    </w:p>
    <w:p w14:paraId="20820268" w14:textId="77777777" w:rsidR="00BF468B" w:rsidRPr="004E0512" w:rsidRDefault="00BF468B" w:rsidP="00BF468B">
      <w:pPr>
        <w:pStyle w:val="IntenseQuote"/>
      </w:pPr>
      <w:r w:rsidRPr="004E0512">
        <w:t xml:space="preserve">Better training in neurodivergent traits </w:t>
      </w:r>
    </w:p>
    <w:p w14:paraId="36A3098D" w14:textId="77777777" w:rsidR="00BF468B" w:rsidRPr="00512365" w:rsidRDefault="00BF468B" w:rsidP="00BF468B">
      <w:pPr>
        <w:pStyle w:val="IntenseQuote"/>
        <w:rPr>
          <w:lang w:eastAsia="en-AU"/>
        </w:rPr>
      </w:pPr>
      <w:r>
        <w:t xml:space="preserve">Far better training for allied health </w:t>
      </w:r>
      <w:proofErr w:type="gramStart"/>
      <w:r>
        <w:t>in regard to</w:t>
      </w:r>
      <w:proofErr w:type="gramEnd"/>
      <w:r>
        <w:t xml:space="preserve"> NDIS reporting requirements.</w:t>
      </w:r>
    </w:p>
    <w:p w14:paraId="27B241C9" w14:textId="77777777" w:rsidR="00BF468B" w:rsidRPr="00B846E5" w:rsidRDefault="00BF468B" w:rsidP="00BF468B">
      <w:pPr>
        <w:numPr>
          <w:ilvl w:val="0"/>
          <w:numId w:val="28"/>
        </w:numPr>
      </w:pPr>
      <w:r w:rsidRPr="3B2127CB">
        <w:rPr>
          <w:b/>
          <w:bCs/>
        </w:rPr>
        <w:t>Accessibility and environment</w:t>
      </w:r>
      <w:r>
        <w:t>:</w:t>
      </w:r>
    </w:p>
    <w:p w14:paraId="7C929482" w14:textId="77777777" w:rsidR="00BF468B" w:rsidRDefault="00BF468B" w:rsidP="00BF468B">
      <w:pPr>
        <w:numPr>
          <w:ilvl w:val="1"/>
          <w:numId w:val="28"/>
        </w:numPr>
      </w:pPr>
      <w:r>
        <w:t>More availability in under-served areas.</w:t>
      </w:r>
    </w:p>
    <w:p w14:paraId="1E582CED" w14:textId="77777777" w:rsidR="00BF468B" w:rsidRPr="00B846E5" w:rsidRDefault="00BF468B" w:rsidP="00BF468B">
      <w:pPr>
        <w:numPr>
          <w:ilvl w:val="1"/>
          <w:numId w:val="28"/>
        </w:numPr>
      </w:pPr>
      <w:r w:rsidRPr="00B846E5">
        <w:t>More home care and telehealth options.</w:t>
      </w:r>
    </w:p>
    <w:p w14:paraId="37C03094" w14:textId="77777777" w:rsidR="00BF468B" w:rsidRDefault="00BF468B" w:rsidP="00BF468B">
      <w:pPr>
        <w:numPr>
          <w:ilvl w:val="1"/>
          <w:numId w:val="28"/>
        </w:numPr>
      </w:pPr>
      <w:r w:rsidRPr="00B846E5">
        <w:t>Fragrance-free and mask requirements to protect those with sensitivities.</w:t>
      </w:r>
    </w:p>
    <w:p w14:paraId="6314653F" w14:textId="77777777" w:rsidR="00BF468B" w:rsidRDefault="00BF468B" w:rsidP="00BF468B">
      <w:pPr>
        <w:ind w:left="1440"/>
      </w:pPr>
    </w:p>
    <w:p w14:paraId="207D06AB" w14:textId="77777777" w:rsidR="00BF468B" w:rsidRPr="00B846E5" w:rsidRDefault="00BF468B" w:rsidP="00BF468B">
      <w:pPr>
        <w:numPr>
          <w:ilvl w:val="0"/>
          <w:numId w:val="28"/>
        </w:numPr>
      </w:pPr>
      <w:r w:rsidRPr="3B2127CB">
        <w:rPr>
          <w:b/>
          <w:bCs/>
        </w:rPr>
        <w:lastRenderedPageBreak/>
        <w:t>Transparency and waitlists</w:t>
      </w:r>
      <w:r>
        <w:t>:</w:t>
      </w:r>
    </w:p>
    <w:p w14:paraId="77758D5C" w14:textId="77777777" w:rsidR="00BF468B" w:rsidRDefault="00BF468B" w:rsidP="00BF468B">
      <w:pPr>
        <w:numPr>
          <w:ilvl w:val="1"/>
          <w:numId w:val="28"/>
        </w:numPr>
      </w:pPr>
      <w:r w:rsidRPr="00B846E5">
        <w:t>Public disclosure of waitlist times for services so patients can make informed choices.</w:t>
      </w:r>
    </w:p>
    <w:p w14:paraId="73BCE7F2" w14:textId="77777777" w:rsidR="00BF468B" w:rsidRPr="00B846E5" w:rsidRDefault="00BF468B" w:rsidP="00BF468B">
      <w:pPr>
        <w:pStyle w:val="IntenseQuote"/>
      </w:pPr>
      <w:r>
        <w:t xml:space="preserve">Disclosure of waitlists for all health services otherwise we are waiting our time going on waitlists unnecessarily- we are even required to disclose health information without being given an appointment which is a waste of our time if it is unlikely to happen. Reorientation of health system and services to support people with more complex needs first. Some health providers seem to "cherry pick" easier clients and are paid the same for it as someone treating a complex client. </w:t>
      </w:r>
    </w:p>
    <w:p w14:paraId="311B33EA" w14:textId="77777777" w:rsidR="00BF468B" w:rsidRPr="00B846E5" w:rsidRDefault="00BF468B" w:rsidP="00BF468B">
      <w:pPr>
        <w:numPr>
          <w:ilvl w:val="0"/>
          <w:numId w:val="28"/>
        </w:numPr>
      </w:pPr>
      <w:r w:rsidRPr="3B2127CB">
        <w:rPr>
          <w:b/>
          <w:bCs/>
        </w:rPr>
        <w:t>Disability inclusion and training</w:t>
      </w:r>
      <w:r>
        <w:t>:</w:t>
      </w:r>
    </w:p>
    <w:p w14:paraId="7BA35B5D" w14:textId="77777777" w:rsidR="00BF468B" w:rsidRPr="00B846E5" w:rsidRDefault="00BF468B" w:rsidP="00BF468B">
      <w:pPr>
        <w:numPr>
          <w:ilvl w:val="1"/>
          <w:numId w:val="28"/>
        </w:numPr>
      </w:pPr>
      <w:r w:rsidRPr="00B846E5">
        <w:t>Training for practitioners to ensure disability awareness and inclusive care.</w:t>
      </w:r>
    </w:p>
    <w:p w14:paraId="44F50A4D" w14:textId="77777777" w:rsidR="00BF468B" w:rsidRPr="00B846E5" w:rsidRDefault="00BF468B" w:rsidP="00BF468B">
      <w:pPr>
        <w:numPr>
          <w:ilvl w:val="1"/>
          <w:numId w:val="28"/>
        </w:numPr>
      </w:pPr>
      <w:r w:rsidRPr="00B846E5">
        <w:t>Recognition of the role of families and carers in ongoing treatment.</w:t>
      </w:r>
    </w:p>
    <w:p w14:paraId="07990E35" w14:textId="77777777" w:rsidR="00BF468B" w:rsidRPr="00B846E5" w:rsidRDefault="00BF468B" w:rsidP="00BF468B">
      <w:pPr>
        <w:numPr>
          <w:ilvl w:val="0"/>
          <w:numId w:val="28"/>
        </w:numPr>
      </w:pPr>
      <w:r w:rsidRPr="3B2127CB">
        <w:rPr>
          <w:b/>
          <w:bCs/>
        </w:rPr>
        <w:t>Patient-centred care</w:t>
      </w:r>
      <w:r>
        <w:t>:</w:t>
      </w:r>
    </w:p>
    <w:p w14:paraId="15C2BFC1" w14:textId="77777777" w:rsidR="00BF468B" w:rsidRDefault="00BF468B" w:rsidP="00BF468B">
      <w:pPr>
        <w:numPr>
          <w:ilvl w:val="1"/>
          <w:numId w:val="28"/>
        </w:numPr>
      </w:pPr>
      <w:r w:rsidRPr="00B846E5">
        <w:t>Education for clinicians about specific conditions.</w:t>
      </w:r>
    </w:p>
    <w:p w14:paraId="6B4300F0" w14:textId="77777777" w:rsidR="00BF468B" w:rsidRPr="00B846E5" w:rsidRDefault="00BF468B" w:rsidP="00BF468B">
      <w:pPr>
        <w:numPr>
          <w:ilvl w:val="1"/>
          <w:numId w:val="28"/>
        </w:numPr>
      </w:pPr>
      <w:r>
        <w:t>Better health coordination, navigation and assistance for patients with disability who are users of many health services and require many specialist and allied health appointments.</w:t>
      </w:r>
    </w:p>
    <w:p w14:paraId="0487EF60" w14:textId="77777777" w:rsidR="00BF468B" w:rsidRDefault="00BF468B" w:rsidP="00BF468B">
      <w:pPr>
        <w:numPr>
          <w:ilvl w:val="1"/>
          <w:numId w:val="28"/>
        </w:numPr>
      </w:pPr>
      <w:r w:rsidRPr="00B846E5">
        <w:t>A stronger focus on holistic, tailored approaches instead of generic treatment pathways.</w:t>
      </w:r>
    </w:p>
    <w:p w14:paraId="6DF6F6D6" w14:textId="77777777" w:rsidR="00BF468B" w:rsidRDefault="00BF468B" w:rsidP="00BF468B">
      <w:pPr>
        <w:spacing w:before="0" w:after="120" w:line="280" w:lineRule="atLeast"/>
      </w:pPr>
      <w:r>
        <w:br w:type="page"/>
      </w:r>
    </w:p>
    <w:p w14:paraId="36685C17" w14:textId="77777777" w:rsidR="00BF468B" w:rsidRDefault="00BF468B" w:rsidP="00BF468B">
      <w:pPr>
        <w:pStyle w:val="IntenseQuote"/>
      </w:pPr>
      <w:r>
        <w:lastRenderedPageBreak/>
        <w:t xml:space="preserve">Training ensure practitioners are disability aware and culturally aware. </w:t>
      </w:r>
      <w:proofErr w:type="gramStart"/>
      <w:r>
        <w:t>Specialist</w:t>
      </w:r>
      <w:proofErr w:type="gramEnd"/>
      <w:r>
        <w:t xml:space="preserve"> need to provide subsidised consults so </w:t>
      </w:r>
      <w:proofErr w:type="gramStart"/>
      <w:r>
        <w:t>low income</w:t>
      </w:r>
      <w:proofErr w:type="gramEnd"/>
      <w:r>
        <w:t xml:space="preserve"> people can access care</w:t>
      </w:r>
    </w:p>
    <w:p w14:paraId="5CA1AB01" w14:textId="77777777" w:rsidR="00BF468B" w:rsidRDefault="00BF468B" w:rsidP="00BF468B">
      <w:pPr>
        <w:pStyle w:val="IntenseQuote"/>
      </w:pPr>
      <w:r>
        <w:t xml:space="preserve">In time. Collaborative holistic approach to issues causing detrimental health outcomes and link people to housing, healthy food, health and support services in local area. </w:t>
      </w:r>
    </w:p>
    <w:p w14:paraId="412A3E99" w14:textId="77777777" w:rsidR="00BF468B" w:rsidRDefault="00BF468B" w:rsidP="00BF468B">
      <w:pPr>
        <w:pStyle w:val="IntenseQuote"/>
      </w:pPr>
      <w:r>
        <w:t>Funding so will be safe and subsidised to get scans and health checks within recommended times.</w:t>
      </w:r>
    </w:p>
    <w:p w14:paraId="0CB04961" w14:textId="77777777" w:rsidR="00BF468B" w:rsidRPr="007C367F" w:rsidRDefault="00BF468B" w:rsidP="00BF468B">
      <w:pPr>
        <w:pStyle w:val="IntenseQuote"/>
      </w:pPr>
      <w:r>
        <w:t xml:space="preserve">I have 9 specialists, go to the physio twice a week and get several bloods and scans often.  It is difficult to give 1 answer for </w:t>
      </w:r>
      <w:proofErr w:type="gramStart"/>
      <w:r>
        <w:t>all of</w:t>
      </w:r>
      <w:proofErr w:type="gramEnd"/>
      <w:r>
        <w:t xml:space="preserve"> the above</w:t>
      </w:r>
    </w:p>
    <w:p w14:paraId="61FBC0E3" w14:textId="77777777" w:rsidR="00BF468B" w:rsidRPr="00B90F32" w:rsidRDefault="00BF468B" w:rsidP="00BF468B">
      <w:pPr>
        <w:pStyle w:val="Heading4"/>
      </w:pPr>
      <w:r>
        <w:t>Question 12: Have you ever seen someone for mental health care or support?</w:t>
      </w:r>
    </w:p>
    <w:p w14:paraId="1223BC94" w14:textId="77777777" w:rsidR="00BF468B" w:rsidRDefault="00BF468B" w:rsidP="00BF468B">
      <w:r>
        <w:t>Answered: 234. Skipped: 35</w:t>
      </w:r>
    </w:p>
    <w:tbl>
      <w:tblPr>
        <w:tblW w:w="7516"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3970"/>
        <w:gridCol w:w="1704"/>
        <w:gridCol w:w="1842"/>
      </w:tblGrid>
      <w:tr w:rsidR="00BF468B" w:rsidRPr="0048634C" w14:paraId="7AADDD1B" w14:textId="77777777" w:rsidTr="006C3FF4">
        <w:trPr>
          <w:trHeight w:val="485"/>
          <w:jc w:val="center"/>
        </w:trPr>
        <w:tc>
          <w:tcPr>
            <w:tcW w:w="3970" w:type="dxa"/>
            <w:shd w:val="clear" w:color="auto" w:fill="00BDF2" w:themeFill="accent2"/>
            <w:vAlign w:val="center"/>
          </w:tcPr>
          <w:p w14:paraId="000633C4" w14:textId="77777777" w:rsidR="00BF468B" w:rsidRPr="00446153" w:rsidRDefault="00BF468B" w:rsidP="006C3FF4">
            <w:pPr>
              <w:spacing w:before="0" w:after="0" w:line="240" w:lineRule="auto"/>
              <w:jc w:val="center"/>
              <w:rPr>
                <w:rFonts w:ascii="Arial" w:hAnsi="Arial" w:cs="Arial"/>
                <w:b/>
                <w:bCs/>
                <w:color w:val="333333"/>
              </w:rPr>
            </w:pPr>
            <w:r w:rsidRPr="3B2127CB">
              <w:rPr>
                <w:rFonts w:ascii="Arial" w:hAnsi="Arial" w:cs="Arial"/>
                <w:b/>
                <w:bCs/>
                <w:color w:val="333333"/>
              </w:rPr>
              <w:t>Answer Choices</w:t>
            </w:r>
          </w:p>
        </w:tc>
        <w:tc>
          <w:tcPr>
            <w:tcW w:w="1704" w:type="dxa"/>
            <w:shd w:val="clear" w:color="auto" w:fill="00BDF2" w:themeFill="accent2"/>
            <w:vAlign w:val="center"/>
          </w:tcPr>
          <w:p w14:paraId="08FC89F3"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TOTAL</w:t>
            </w:r>
          </w:p>
        </w:tc>
        <w:tc>
          <w:tcPr>
            <w:tcW w:w="1842" w:type="dxa"/>
            <w:tcBorders>
              <w:top w:val="nil"/>
            </w:tcBorders>
            <w:shd w:val="clear" w:color="auto" w:fill="45B97C" w:themeFill="accent4"/>
            <w:vAlign w:val="center"/>
          </w:tcPr>
          <w:p w14:paraId="5B44D50B" w14:textId="77777777" w:rsidR="00BF468B" w:rsidRPr="00446153" w:rsidRDefault="00BF468B" w:rsidP="006C3FF4">
            <w:pPr>
              <w:pStyle w:val="TableParagraph"/>
              <w:spacing w:before="0" w:line="336" w:lineRule="auto"/>
              <w:ind w:left="532" w:right="399" w:hanging="120"/>
              <w:jc w:val="center"/>
              <w:rPr>
                <w:rFonts w:asciiTheme="minorHAnsi" w:hAnsiTheme="minorHAnsi" w:cstheme="minorBidi"/>
                <w:b/>
                <w:bCs/>
                <w:color w:val="E2DDDB" w:themeColor="background2"/>
                <w:spacing w:val="-2"/>
              </w:rPr>
            </w:pPr>
            <w:r w:rsidRPr="3B2127CB">
              <w:rPr>
                <w:rFonts w:asciiTheme="minorHAnsi" w:hAnsiTheme="minorHAnsi" w:cstheme="minorBidi"/>
                <w:b/>
                <w:bCs/>
                <w:spacing w:val="-2"/>
              </w:rPr>
              <w:t>QTY</w:t>
            </w:r>
          </w:p>
        </w:tc>
      </w:tr>
      <w:tr w:rsidR="00BF468B" w:rsidRPr="0048634C" w14:paraId="17335284" w14:textId="77777777" w:rsidTr="006C3FF4">
        <w:trPr>
          <w:trHeight w:val="390"/>
          <w:jc w:val="center"/>
        </w:trPr>
        <w:tc>
          <w:tcPr>
            <w:tcW w:w="3970" w:type="dxa"/>
            <w:vAlign w:val="bottom"/>
          </w:tcPr>
          <w:p w14:paraId="7B0841D3" w14:textId="77777777" w:rsidR="00BF468B" w:rsidRPr="006373CD" w:rsidRDefault="00BF468B" w:rsidP="006C3FF4">
            <w:pPr>
              <w:pStyle w:val="TableParagraph"/>
              <w:spacing w:line="336" w:lineRule="auto"/>
              <w:ind w:left="112"/>
              <w:jc w:val="center"/>
              <w:rPr>
                <w:rFonts w:ascii="Arial" w:hAnsi="Arial" w:cs="Arial"/>
              </w:rPr>
            </w:pPr>
            <w:r w:rsidRPr="3B2127CB">
              <w:rPr>
                <w:rFonts w:ascii="Arial" w:hAnsi="Arial" w:cs="Arial"/>
              </w:rPr>
              <w:t>Yes</w:t>
            </w:r>
          </w:p>
        </w:tc>
        <w:tc>
          <w:tcPr>
            <w:tcW w:w="1704" w:type="dxa"/>
            <w:vAlign w:val="bottom"/>
          </w:tcPr>
          <w:p w14:paraId="06D246F3" w14:textId="77777777" w:rsidR="00BF468B" w:rsidRPr="006373CD" w:rsidRDefault="00BF468B" w:rsidP="006C3FF4">
            <w:pPr>
              <w:pStyle w:val="TableParagraph"/>
              <w:spacing w:line="336" w:lineRule="auto"/>
              <w:ind w:right="7"/>
              <w:jc w:val="center"/>
              <w:rPr>
                <w:rFonts w:ascii="Arial" w:hAnsi="Arial" w:cs="Arial"/>
              </w:rPr>
            </w:pPr>
            <w:r w:rsidRPr="3B2127CB">
              <w:rPr>
                <w:rFonts w:ascii="Arial" w:hAnsi="Arial" w:cs="Arial"/>
              </w:rPr>
              <w:t>76.92%</w:t>
            </w:r>
          </w:p>
        </w:tc>
        <w:tc>
          <w:tcPr>
            <w:tcW w:w="1842" w:type="dxa"/>
            <w:vAlign w:val="bottom"/>
          </w:tcPr>
          <w:p w14:paraId="4BF87F2A" w14:textId="77777777" w:rsidR="00BF468B" w:rsidRPr="006373CD" w:rsidRDefault="00BF468B" w:rsidP="006C3FF4">
            <w:pPr>
              <w:pStyle w:val="TableParagraph"/>
              <w:spacing w:line="336" w:lineRule="auto"/>
              <w:ind w:left="18" w:right="8"/>
              <w:jc w:val="center"/>
              <w:rPr>
                <w:rFonts w:ascii="Arial" w:hAnsi="Arial" w:cs="Arial"/>
              </w:rPr>
            </w:pPr>
            <w:r w:rsidRPr="3B2127CB">
              <w:rPr>
                <w:rFonts w:ascii="Arial" w:hAnsi="Arial" w:cs="Arial"/>
              </w:rPr>
              <w:t>180</w:t>
            </w:r>
          </w:p>
        </w:tc>
      </w:tr>
      <w:tr w:rsidR="00BF468B" w:rsidRPr="0048634C" w14:paraId="34292A66" w14:textId="77777777" w:rsidTr="006C3FF4">
        <w:trPr>
          <w:trHeight w:val="390"/>
          <w:jc w:val="center"/>
        </w:trPr>
        <w:tc>
          <w:tcPr>
            <w:tcW w:w="3970" w:type="dxa"/>
            <w:vAlign w:val="bottom"/>
          </w:tcPr>
          <w:p w14:paraId="26F146C8" w14:textId="77777777" w:rsidR="00BF468B" w:rsidRPr="006373CD" w:rsidRDefault="00BF468B" w:rsidP="006C3FF4">
            <w:pPr>
              <w:pStyle w:val="TableParagraph"/>
              <w:spacing w:line="336" w:lineRule="auto"/>
              <w:ind w:left="112"/>
              <w:jc w:val="center"/>
              <w:rPr>
                <w:rFonts w:ascii="Arial" w:hAnsi="Arial" w:cs="Arial"/>
              </w:rPr>
            </w:pPr>
            <w:r w:rsidRPr="3B2127CB">
              <w:rPr>
                <w:rFonts w:ascii="Arial" w:hAnsi="Arial" w:cs="Arial"/>
              </w:rPr>
              <w:t>No</w:t>
            </w:r>
          </w:p>
        </w:tc>
        <w:tc>
          <w:tcPr>
            <w:tcW w:w="1704" w:type="dxa"/>
            <w:vAlign w:val="bottom"/>
          </w:tcPr>
          <w:p w14:paraId="11351C4F" w14:textId="77777777" w:rsidR="00BF468B" w:rsidRPr="006373CD" w:rsidRDefault="00BF468B" w:rsidP="006C3FF4">
            <w:pPr>
              <w:pStyle w:val="TableParagraph"/>
              <w:spacing w:line="336" w:lineRule="auto"/>
              <w:ind w:right="7"/>
              <w:jc w:val="center"/>
              <w:rPr>
                <w:rFonts w:ascii="Arial" w:hAnsi="Arial" w:cs="Arial"/>
              </w:rPr>
            </w:pPr>
            <w:r w:rsidRPr="3B2127CB">
              <w:rPr>
                <w:rFonts w:ascii="Arial" w:hAnsi="Arial" w:cs="Arial"/>
              </w:rPr>
              <w:t>20.09%</w:t>
            </w:r>
          </w:p>
        </w:tc>
        <w:tc>
          <w:tcPr>
            <w:tcW w:w="1842" w:type="dxa"/>
            <w:vAlign w:val="bottom"/>
          </w:tcPr>
          <w:p w14:paraId="3D8BB846" w14:textId="77777777" w:rsidR="00BF468B" w:rsidRPr="006373CD" w:rsidRDefault="00BF468B" w:rsidP="006C3FF4">
            <w:pPr>
              <w:pStyle w:val="TableParagraph"/>
              <w:spacing w:line="336" w:lineRule="auto"/>
              <w:ind w:left="18" w:right="8"/>
              <w:jc w:val="center"/>
              <w:rPr>
                <w:rFonts w:ascii="Arial" w:hAnsi="Arial" w:cs="Arial"/>
              </w:rPr>
            </w:pPr>
            <w:r w:rsidRPr="3B2127CB">
              <w:rPr>
                <w:rFonts w:ascii="Arial" w:hAnsi="Arial" w:cs="Arial"/>
              </w:rPr>
              <w:t>47</w:t>
            </w:r>
          </w:p>
        </w:tc>
      </w:tr>
      <w:tr w:rsidR="00BF468B" w:rsidRPr="0048634C" w14:paraId="1C41FA0C" w14:textId="77777777" w:rsidTr="006C3FF4">
        <w:trPr>
          <w:trHeight w:val="390"/>
          <w:jc w:val="center"/>
        </w:trPr>
        <w:tc>
          <w:tcPr>
            <w:tcW w:w="3970" w:type="dxa"/>
            <w:vAlign w:val="bottom"/>
          </w:tcPr>
          <w:p w14:paraId="2A4C6425" w14:textId="77777777" w:rsidR="00BF468B" w:rsidRPr="006373CD" w:rsidRDefault="00BF468B" w:rsidP="006C3FF4">
            <w:pPr>
              <w:pStyle w:val="TableParagraph"/>
              <w:spacing w:line="336" w:lineRule="auto"/>
              <w:ind w:left="112"/>
              <w:jc w:val="center"/>
              <w:rPr>
                <w:rFonts w:ascii="Arial" w:hAnsi="Arial" w:cs="Arial"/>
              </w:rPr>
            </w:pPr>
            <w:r w:rsidRPr="3B2127CB">
              <w:rPr>
                <w:rFonts w:ascii="Arial" w:hAnsi="Arial" w:cs="Arial"/>
              </w:rPr>
              <w:t>I am unsure</w:t>
            </w:r>
          </w:p>
        </w:tc>
        <w:tc>
          <w:tcPr>
            <w:tcW w:w="1704" w:type="dxa"/>
            <w:vAlign w:val="bottom"/>
          </w:tcPr>
          <w:p w14:paraId="4FAAB828" w14:textId="77777777" w:rsidR="00BF468B" w:rsidRPr="006373CD" w:rsidRDefault="00BF468B" w:rsidP="006C3FF4">
            <w:pPr>
              <w:pStyle w:val="TableParagraph"/>
              <w:spacing w:line="336" w:lineRule="auto"/>
              <w:ind w:right="7"/>
              <w:jc w:val="center"/>
              <w:rPr>
                <w:rFonts w:ascii="Arial" w:hAnsi="Arial" w:cs="Arial"/>
              </w:rPr>
            </w:pPr>
            <w:r w:rsidRPr="3B2127CB">
              <w:rPr>
                <w:rFonts w:ascii="Arial" w:hAnsi="Arial" w:cs="Arial"/>
              </w:rPr>
              <w:t>0.85%</w:t>
            </w:r>
          </w:p>
        </w:tc>
        <w:tc>
          <w:tcPr>
            <w:tcW w:w="1842" w:type="dxa"/>
            <w:vAlign w:val="bottom"/>
          </w:tcPr>
          <w:p w14:paraId="6367B2C4" w14:textId="77777777" w:rsidR="00BF468B" w:rsidRPr="006373CD" w:rsidRDefault="00BF468B" w:rsidP="006C3FF4">
            <w:pPr>
              <w:pStyle w:val="TableParagraph"/>
              <w:spacing w:line="336" w:lineRule="auto"/>
              <w:ind w:left="18" w:right="8"/>
              <w:jc w:val="center"/>
              <w:rPr>
                <w:rFonts w:ascii="Arial" w:hAnsi="Arial" w:cs="Arial"/>
              </w:rPr>
            </w:pPr>
            <w:r w:rsidRPr="3B2127CB">
              <w:rPr>
                <w:rFonts w:ascii="Arial" w:hAnsi="Arial" w:cs="Arial"/>
              </w:rPr>
              <w:t>2</w:t>
            </w:r>
          </w:p>
        </w:tc>
      </w:tr>
      <w:tr w:rsidR="00BF468B" w:rsidRPr="0048634C" w14:paraId="163A5DF6" w14:textId="77777777" w:rsidTr="006C3FF4">
        <w:trPr>
          <w:trHeight w:val="390"/>
          <w:jc w:val="center"/>
        </w:trPr>
        <w:tc>
          <w:tcPr>
            <w:tcW w:w="3970" w:type="dxa"/>
            <w:vAlign w:val="bottom"/>
          </w:tcPr>
          <w:p w14:paraId="2A2266F7" w14:textId="77777777" w:rsidR="00BF468B" w:rsidRPr="006373CD" w:rsidRDefault="00BF468B" w:rsidP="006C3FF4">
            <w:pPr>
              <w:pStyle w:val="TableParagraph"/>
              <w:spacing w:line="336" w:lineRule="auto"/>
              <w:ind w:left="112"/>
              <w:jc w:val="center"/>
              <w:rPr>
                <w:rFonts w:ascii="Arial" w:hAnsi="Arial" w:cs="Arial"/>
              </w:rPr>
            </w:pPr>
            <w:r w:rsidRPr="3B2127CB">
              <w:rPr>
                <w:rFonts w:ascii="Arial" w:hAnsi="Arial" w:cs="Arial"/>
              </w:rPr>
              <w:t>I prefer not to say</w:t>
            </w:r>
          </w:p>
        </w:tc>
        <w:tc>
          <w:tcPr>
            <w:tcW w:w="1704" w:type="dxa"/>
            <w:vAlign w:val="bottom"/>
          </w:tcPr>
          <w:p w14:paraId="04D4EBF3" w14:textId="77777777" w:rsidR="00BF468B" w:rsidRPr="006373CD" w:rsidRDefault="00BF468B" w:rsidP="006C3FF4">
            <w:pPr>
              <w:pStyle w:val="TableParagraph"/>
              <w:spacing w:line="336" w:lineRule="auto"/>
              <w:ind w:right="7"/>
              <w:jc w:val="center"/>
              <w:rPr>
                <w:rFonts w:ascii="Arial" w:hAnsi="Arial" w:cs="Arial"/>
              </w:rPr>
            </w:pPr>
            <w:r w:rsidRPr="3B2127CB">
              <w:rPr>
                <w:rFonts w:ascii="Arial" w:hAnsi="Arial" w:cs="Arial"/>
              </w:rPr>
              <w:t>2.14%</w:t>
            </w:r>
          </w:p>
        </w:tc>
        <w:tc>
          <w:tcPr>
            <w:tcW w:w="1842" w:type="dxa"/>
            <w:vAlign w:val="bottom"/>
          </w:tcPr>
          <w:p w14:paraId="776C7110" w14:textId="77777777" w:rsidR="00BF468B" w:rsidRPr="006373CD" w:rsidRDefault="00BF468B" w:rsidP="006C3FF4">
            <w:pPr>
              <w:pStyle w:val="TableParagraph"/>
              <w:spacing w:line="336" w:lineRule="auto"/>
              <w:ind w:left="18" w:right="8"/>
              <w:jc w:val="center"/>
              <w:rPr>
                <w:rFonts w:ascii="Arial" w:hAnsi="Arial" w:cs="Arial"/>
              </w:rPr>
            </w:pPr>
            <w:r w:rsidRPr="3B2127CB">
              <w:rPr>
                <w:rFonts w:ascii="Arial" w:hAnsi="Arial" w:cs="Arial"/>
              </w:rPr>
              <w:t>5</w:t>
            </w:r>
          </w:p>
        </w:tc>
      </w:tr>
    </w:tbl>
    <w:p w14:paraId="5833769D" w14:textId="77777777" w:rsidR="00BF468B" w:rsidRPr="00BA7044" w:rsidRDefault="00BF468B" w:rsidP="00BF468B">
      <w:pPr>
        <w:rPr>
          <w:b/>
          <w:bCs/>
        </w:rPr>
      </w:pPr>
      <w:r w:rsidRPr="3B2127CB">
        <w:rPr>
          <w:b/>
          <w:bCs/>
        </w:rPr>
        <w:t>Comments</w:t>
      </w:r>
    </w:p>
    <w:p w14:paraId="495A537B" w14:textId="77777777" w:rsidR="00BF468B" w:rsidRPr="00AD7FB2" w:rsidRDefault="00BF468B" w:rsidP="00BF468B">
      <w:pPr>
        <w:pStyle w:val="ListParagraph"/>
      </w:pPr>
      <w:r w:rsidRPr="3B2127CB">
        <w:rPr>
          <w:rFonts w:cs="Arial"/>
        </w:rPr>
        <w:t xml:space="preserve">76.92% </w:t>
      </w:r>
      <w:r>
        <w:t>of respondents have accessed some form of mental health support.</w:t>
      </w:r>
    </w:p>
    <w:p w14:paraId="2941657C" w14:textId="77777777" w:rsidR="00BF468B" w:rsidRDefault="00BF468B" w:rsidP="00BF468B">
      <w:pPr>
        <w:pStyle w:val="ListParagraph"/>
      </w:pPr>
      <w:r>
        <w:t>About 1 in 5 (</w:t>
      </w:r>
      <w:r w:rsidRPr="3B2127CB">
        <w:rPr>
          <w:rFonts w:cs="Arial"/>
        </w:rPr>
        <w:t xml:space="preserve">20.09%) </w:t>
      </w:r>
      <w:r>
        <w:t>have never accessed mental health services</w:t>
      </w:r>
    </w:p>
    <w:p w14:paraId="4CDF0AAE" w14:textId="77777777" w:rsidR="00BF468B" w:rsidRDefault="00BF468B" w:rsidP="00BF468B">
      <w:pPr>
        <w:pStyle w:val="Heading4"/>
      </w:pPr>
      <w:r>
        <w:lastRenderedPageBreak/>
        <w:t xml:space="preserve">Question 13: </w:t>
      </w:r>
      <w:r w:rsidRPr="00A24345">
        <w:t xml:space="preserve">Thinking about your </w:t>
      </w:r>
      <w:r>
        <w:t xml:space="preserve">experience </w:t>
      </w:r>
      <w:r w:rsidRPr="00A24345">
        <w:t>with these types of mental health care, what worked well for you?</w:t>
      </w:r>
    </w:p>
    <w:p w14:paraId="23A99DBD" w14:textId="77777777" w:rsidR="00BF468B" w:rsidRDefault="00BF468B" w:rsidP="00BF468B">
      <w:r>
        <w:t>Answered: 179. Skipped: 90</w:t>
      </w:r>
    </w:p>
    <w:p w14:paraId="3D151E0C" w14:textId="77777777" w:rsidR="00BF468B" w:rsidRDefault="00BF468B" w:rsidP="00BF468B">
      <w:r>
        <w:t xml:space="preserve">Access to care in terms of affordability, a lack of local appointments, and accessible transport were raised again as barriers. Respondents gave varied feedback about the mental health care provided. </w:t>
      </w:r>
    </w:p>
    <w:p w14:paraId="6E2E89A6" w14:textId="77777777" w:rsidR="00BF468B" w:rsidRDefault="00BF468B" w:rsidP="00BF468B">
      <w:pPr>
        <w:pStyle w:val="ListParagraph"/>
      </w:pPr>
      <w:r>
        <w:t>Nearly half (45%) reported positive experiences, with supportive, respectful providers and telehealth working well.</w:t>
      </w:r>
    </w:p>
    <w:p w14:paraId="0A63969A" w14:textId="77777777" w:rsidR="00BF468B" w:rsidRDefault="00BF468B" w:rsidP="00BF468B">
      <w:pPr>
        <w:pStyle w:val="ListParagraph"/>
      </w:pPr>
      <w:r>
        <w:t>Once again comments indicated that accessible, respectful communication and attitudes, genuine listening and trauma-informed care were essential.</w:t>
      </w:r>
    </w:p>
    <w:p w14:paraId="299537A3" w14:textId="77777777" w:rsidR="00BF468B" w:rsidRDefault="00BF468B" w:rsidP="00BF468B">
      <w:pPr>
        <w:pStyle w:val="IntenseQuote"/>
      </w:pPr>
      <w:r w:rsidRPr="005E381D">
        <w:t>Easy access, calm environment, understanding sensitivities (light, sound) and TFT EFT CBT were all helpful tools for disability related anxieties</w:t>
      </w:r>
    </w:p>
    <w:p w14:paraId="5C8429B3" w14:textId="77777777" w:rsidR="00BF468B" w:rsidRDefault="00BF468B" w:rsidP="00BF468B">
      <w:pPr>
        <w:pStyle w:val="IntenseQuote"/>
      </w:pPr>
      <w:r>
        <w:t>Psychology - trauma informed, knowledgeable, availability (with extra support during crisis moment), pro bono client, takeaway gems, makes a huge difference with daily life/functioning.</w:t>
      </w:r>
      <w:r>
        <w:br/>
        <w:t>Psychiatrist - public hospital DISCHARGE; community health Trauma informed, compassionate, I felt heard.</w:t>
      </w:r>
      <w:r>
        <w:br/>
        <w:t>Mental Health Nurse - I wasn’t able to visit hospital, due to post hospital discharge anxiety, so 2 nurses did a home visit.</w:t>
      </w:r>
    </w:p>
    <w:p w14:paraId="5540AECA" w14:textId="77777777" w:rsidR="00BF468B" w:rsidRPr="00154211" w:rsidRDefault="00BF468B" w:rsidP="00BF468B">
      <w:pPr>
        <w:spacing w:before="0" w:after="120" w:line="280" w:lineRule="atLeast"/>
        <w:rPr>
          <w:i/>
          <w:iCs/>
          <w:color w:val="005496" w:themeColor="accent1"/>
        </w:rPr>
      </w:pPr>
      <w:r>
        <w:br w:type="page"/>
      </w:r>
    </w:p>
    <w:p w14:paraId="2D7E5167" w14:textId="77777777" w:rsidR="00BF468B" w:rsidRDefault="00BF468B" w:rsidP="00BF468B">
      <w:pPr>
        <w:pStyle w:val="ListParagraph"/>
        <w:numPr>
          <w:ilvl w:val="0"/>
          <w:numId w:val="30"/>
        </w:numPr>
      </w:pPr>
      <w:r w:rsidRPr="00EA3043">
        <w:lastRenderedPageBreak/>
        <w:t>16% reported negative experiences, describing care as useless, harmful, or disengaged.</w:t>
      </w:r>
    </w:p>
    <w:p w14:paraId="6205A3F9" w14:textId="77777777" w:rsidR="00BF468B" w:rsidRPr="00E357B3" w:rsidRDefault="00BF468B" w:rsidP="00BF468B">
      <w:pPr>
        <w:pStyle w:val="IntenseQuote"/>
      </w:pPr>
      <w:r>
        <w:t>Nothing about the public health system works.  There are mistakes, negligence and privacy breaches.</w:t>
      </w:r>
    </w:p>
    <w:p w14:paraId="0D707335" w14:textId="77777777" w:rsidR="00BF468B" w:rsidRDefault="00BF468B" w:rsidP="00BF468B">
      <w:pPr>
        <w:pStyle w:val="IntenseQuote"/>
      </w:pPr>
      <w:proofErr w:type="gramStart"/>
      <w:r>
        <w:t>Personally</w:t>
      </w:r>
      <w:proofErr w:type="gramEnd"/>
      <w:r>
        <w:t xml:space="preserve"> not a lot. I was sent for support with a chronic illness, the person who seen me had no clue off what I had, and </w:t>
      </w:r>
      <w:proofErr w:type="gramStart"/>
      <w:r>
        <w:t>really not</w:t>
      </w:r>
      <w:proofErr w:type="gramEnd"/>
      <w:r>
        <w:t xml:space="preserve"> a lot of compassion</w:t>
      </w:r>
    </w:p>
    <w:p w14:paraId="2E007360" w14:textId="77777777" w:rsidR="00BF468B" w:rsidRPr="00B97F58" w:rsidRDefault="00BF468B" w:rsidP="00BF468B">
      <w:pPr>
        <w:pStyle w:val="IntenseQuote"/>
      </w:pPr>
      <w:r>
        <w:t xml:space="preserve">I couldn't find anyone who could use and understand my communication through AAC. If I could that would be a game changer for my </w:t>
      </w:r>
      <w:proofErr w:type="gramStart"/>
      <w:r>
        <w:t>privacy,  instead</w:t>
      </w:r>
      <w:proofErr w:type="gramEnd"/>
      <w:r>
        <w:t xml:space="preserve"> I take a support worker with me to appointments to "translate/assist with communication."  </w:t>
      </w:r>
    </w:p>
    <w:p w14:paraId="6256E96A" w14:textId="77777777" w:rsidR="00BF468B" w:rsidRDefault="00BF468B" w:rsidP="00BF468B">
      <w:r>
        <w:t>About one-third (38%) were either neutral or unclear, indicating limited or mixed experiences.</w:t>
      </w:r>
    </w:p>
    <w:p w14:paraId="3B45628C" w14:textId="77777777" w:rsidR="00BF468B" w:rsidRDefault="00BF468B" w:rsidP="00BF468B">
      <w:pPr>
        <w:pStyle w:val="ListParagraph"/>
      </w:pPr>
      <w:r>
        <w:t xml:space="preserve">The need for disability awareness training </w:t>
      </w:r>
      <w:proofErr w:type="gramStart"/>
      <w:r>
        <w:t>came</w:t>
      </w:r>
      <w:proofErr w:type="gramEnd"/>
      <w:r>
        <w:t xml:space="preserve"> up again.</w:t>
      </w:r>
    </w:p>
    <w:p w14:paraId="6FE262EF" w14:textId="77777777" w:rsidR="00BF468B" w:rsidRDefault="00BF468B" w:rsidP="00BF468B">
      <w:pPr>
        <w:pStyle w:val="IntenseQuote"/>
      </w:pPr>
      <w:r>
        <w:t>They start by telling you things like visual cues are important. Brilliant. I can't see them. Do they know what else I might do? No.</w:t>
      </w:r>
    </w:p>
    <w:p w14:paraId="5AFA4F01" w14:textId="77777777" w:rsidR="00BF468B" w:rsidRPr="00512FA5" w:rsidRDefault="00BF468B" w:rsidP="00BF468B">
      <w:pPr>
        <w:pStyle w:val="IntenseQuote"/>
      </w:pPr>
      <w:r>
        <w:t>When they are neuro-affirming in practice and not just in theory</w:t>
      </w:r>
    </w:p>
    <w:p w14:paraId="4FB5ADA8" w14:textId="77777777" w:rsidR="00BF468B" w:rsidRDefault="00BF468B" w:rsidP="00BF468B">
      <w:pPr>
        <w:spacing w:before="0" w:after="120" w:line="280" w:lineRule="atLeast"/>
        <w:rPr>
          <w:rFonts w:ascii="Arial" w:eastAsia="Times New Roman" w:hAnsi="Arial" w:cs="Times New Roman"/>
          <w:b/>
          <w:bCs/>
          <w:color w:val="005496" w:themeColor="accent1"/>
        </w:rPr>
      </w:pPr>
      <w:r>
        <w:br w:type="page"/>
      </w:r>
    </w:p>
    <w:p w14:paraId="07D3ED23" w14:textId="77777777" w:rsidR="00BF468B" w:rsidRDefault="00BF468B" w:rsidP="00BF468B">
      <w:pPr>
        <w:pStyle w:val="Heading4"/>
      </w:pPr>
      <w:r>
        <w:lastRenderedPageBreak/>
        <w:t xml:space="preserve">Question 14: </w:t>
      </w:r>
      <w:r w:rsidRPr="00A00F34">
        <w:t>What do you think needs to change to make these types of mental health care better?</w:t>
      </w:r>
    </w:p>
    <w:p w14:paraId="683D08CA" w14:textId="77777777" w:rsidR="00BF468B" w:rsidRDefault="00BF468B" w:rsidP="00BF468B">
      <w:r>
        <w:t>Answered: 182. Skipped: 87</w:t>
      </w:r>
    </w:p>
    <w:p w14:paraId="08872C9D" w14:textId="77777777" w:rsidR="00BF468B" w:rsidRPr="009B0DAB" w:rsidRDefault="00BF468B" w:rsidP="00BF468B">
      <w:pPr>
        <w:rPr>
          <w:b/>
          <w:bCs/>
        </w:rPr>
      </w:pPr>
      <w:r w:rsidRPr="3B2127CB">
        <w:rPr>
          <w:b/>
          <w:bCs/>
        </w:rPr>
        <w:t>Key Themes</w:t>
      </w:r>
    </w:p>
    <w:p w14:paraId="44C746D8" w14:textId="77777777" w:rsidR="00BF468B" w:rsidRPr="009B0DAB" w:rsidRDefault="00BF468B" w:rsidP="00BF468B">
      <w:pPr>
        <w:numPr>
          <w:ilvl w:val="0"/>
          <w:numId w:val="31"/>
        </w:numPr>
      </w:pPr>
      <w:r w:rsidRPr="3B2127CB">
        <w:rPr>
          <w:b/>
          <w:bCs/>
        </w:rPr>
        <w:t>Treatment approaches</w:t>
      </w:r>
      <w:r>
        <w:t>:</w:t>
      </w:r>
    </w:p>
    <w:p w14:paraId="2BF5B512" w14:textId="77777777" w:rsidR="00BF468B" w:rsidRPr="009B0DAB" w:rsidRDefault="00BF468B" w:rsidP="00BF468B">
      <w:pPr>
        <w:numPr>
          <w:ilvl w:val="1"/>
          <w:numId w:val="31"/>
        </w:numPr>
      </w:pPr>
      <w:r>
        <w:t xml:space="preserve">Requests for services tailored to </w:t>
      </w:r>
      <w:r w:rsidRPr="3B2127CB">
        <w:rPr>
          <w:b/>
          <w:bCs/>
        </w:rPr>
        <w:t>chronic illness and disability literacy</w:t>
      </w:r>
      <w:r>
        <w:t>.</w:t>
      </w:r>
    </w:p>
    <w:p w14:paraId="0C303CE6" w14:textId="77777777" w:rsidR="00BF468B" w:rsidRPr="009B0DAB" w:rsidRDefault="00BF468B" w:rsidP="00BF468B">
      <w:pPr>
        <w:numPr>
          <w:ilvl w:val="0"/>
          <w:numId w:val="31"/>
        </w:numPr>
      </w:pPr>
      <w:r w:rsidRPr="3B2127CB">
        <w:rPr>
          <w:b/>
          <w:bCs/>
        </w:rPr>
        <w:t>Access and affordability</w:t>
      </w:r>
      <w:r>
        <w:t>:</w:t>
      </w:r>
    </w:p>
    <w:p w14:paraId="319CF05D" w14:textId="77777777" w:rsidR="00BF468B" w:rsidRPr="009B0DAB" w:rsidRDefault="00BF468B" w:rsidP="00BF468B">
      <w:pPr>
        <w:numPr>
          <w:ilvl w:val="1"/>
          <w:numId w:val="31"/>
        </w:numPr>
      </w:pPr>
      <w:r w:rsidRPr="009B0DAB">
        <w:t>Need for more affordable services and longer appointments (10–15-minute slots seen as inadequate).</w:t>
      </w:r>
    </w:p>
    <w:p w14:paraId="6CBDEB16" w14:textId="77777777" w:rsidR="00BF468B" w:rsidRDefault="00BF468B" w:rsidP="00BF468B">
      <w:pPr>
        <w:numPr>
          <w:ilvl w:val="1"/>
          <w:numId w:val="31"/>
        </w:numPr>
      </w:pPr>
      <w:r w:rsidRPr="009B0DAB">
        <w:t>Greater access to telehealth for those unable to attend in person.</w:t>
      </w:r>
    </w:p>
    <w:p w14:paraId="4CF099E3" w14:textId="77777777" w:rsidR="00BF468B" w:rsidRDefault="00BF468B" w:rsidP="00BF468B">
      <w:pPr>
        <w:pStyle w:val="IntenseQuote"/>
      </w:pPr>
      <w:r>
        <w:t xml:space="preserve">time, time, time, </w:t>
      </w:r>
      <w:proofErr w:type="gramStart"/>
      <w:r>
        <w:t>10 minute</w:t>
      </w:r>
      <w:proofErr w:type="gramEnd"/>
      <w:r>
        <w:t xml:space="preserve"> appointments don't work and only responding with medication is short-sighted.</w:t>
      </w:r>
    </w:p>
    <w:p w14:paraId="454C6CB6" w14:textId="77777777" w:rsidR="00BF468B" w:rsidRDefault="00BF468B" w:rsidP="00BF468B">
      <w:pPr>
        <w:pStyle w:val="IntenseQuote"/>
      </w:pPr>
      <w:r w:rsidRPr="00BC54B6">
        <w:t>Funding so that people can access inclusive clinical care by trained clinical psychologists and professionals who are disability aware, cultural and trauma aware.</w:t>
      </w:r>
    </w:p>
    <w:p w14:paraId="1FF35464" w14:textId="77777777" w:rsidR="00BF468B" w:rsidRDefault="00BF468B" w:rsidP="00BF468B">
      <w:pPr>
        <w:pStyle w:val="IntenseQuote"/>
      </w:pPr>
      <w:r>
        <w:t>It’s prohibitively expensive. 6 sessions a year is woefully inadequate for most people, let alone those who are neurodivergent and have multiple other comorbidities. And realistically most people aren’t going to get lucky and find the right therapist on the first try.</w:t>
      </w:r>
    </w:p>
    <w:p w14:paraId="54F944BD" w14:textId="77777777" w:rsidR="00BF468B" w:rsidRPr="00154211" w:rsidRDefault="00BF468B" w:rsidP="00BF468B">
      <w:pPr>
        <w:spacing w:before="0" w:after="120" w:line="280" w:lineRule="atLeast"/>
        <w:rPr>
          <w:i/>
          <w:iCs/>
          <w:color w:val="005496" w:themeColor="accent1"/>
        </w:rPr>
      </w:pPr>
      <w:r>
        <w:br w:type="page"/>
      </w:r>
    </w:p>
    <w:p w14:paraId="79CEDA47" w14:textId="77777777" w:rsidR="00BF468B" w:rsidRPr="009B0DAB" w:rsidRDefault="00BF468B" w:rsidP="00BF468B">
      <w:pPr>
        <w:numPr>
          <w:ilvl w:val="0"/>
          <w:numId w:val="31"/>
        </w:numPr>
      </w:pPr>
      <w:r w:rsidRPr="3B2127CB">
        <w:rPr>
          <w:b/>
          <w:bCs/>
        </w:rPr>
        <w:lastRenderedPageBreak/>
        <w:t>Workforce training and conduct</w:t>
      </w:r>
      <w:r>
        <w:t>:</w:t>
      </w:r>
    </w:p>
    <w:p w14:paraId="0F98CAE9" w14:textId="77777777" w:rsidR="00BF468B" w:rsidRPr="009B0DAB" w:rsidRDefault="00BF468B" w:rsidP="00BF468B">
      <w:pPr>
        <w:numPr>
          <w:ilvl w:val="1"/>
          <w:numId w:val="31"/>
        </w:numPr>
      </w:pPr>
      <w:r w:rsidRPr="009B0DAB">
        <w:t>Calls for better training of professionals to avoid stigma, harmful behaviour, or dismissiveness.</w:t>
      </w:r>
    </w:p>
    <w:p w14:paraId="73ACFC85" w14:textId="77777777" w:rsidR="00BF468B" w:rsidRDefault="00BF468B" w:rsidP="00BF468B">
      <w:pPr>
        <w:numPr>
          <w:ilvl w:val="1"/>
          <w:numId w:val="31"/>
        </w:numPr>
      </w:pPr>
      <w:r w:rsidRPr="009B0DAB">
        <w:t>Monitoring of inappropriate behaviour in mental health settings.</w:t>
      </w:r>
    </w:p>
    <w:p w14:paraId="4E607D24" w14:textId="77777777" w:rsidR="00BF468B" w:rsidRPr="009B0DAB" w:rsidRDefault="00BF468B" w:rsidP="00BF468B">
      <w:pPr>
        <w:pStyle w:val="IntenseQuote"/>
      </w:pPr>
      <w:r>
        <w:t xml:space="preserve">Reform so inappropriate behaviour </w:t>
      </w:r>
      <w:proofErr w:type="gramStart"/>
      <w:r>
        <w:t>monitored</w:t>
      </w:r>
      <w:proofErr w:type="gramEnd"/>
      <w:r>
        <w:t xml:space="preserve"> and action taken. How to do complain about mental health professional who can only berate you without understanding you. How do people know if a practitioner has a negative unsafe history of behaviour?</w:t>
      </w:r>
    </w:p>
    <w:p w14:paraId="66ADAD9C" w14:textId="77777777" w:rsidR="00BF468B" w:rsidRPr="009B0DAB" w:rsidRDefault="00BF468B" w:rsidP="00BF468B">
      <w:pPr>
        <w:numPr>
          <w:ilvl w:val="0"/>
          <w:numId w:val="31"/>
        </w:numPr>
      </w:pPr>
      <w:r w:rsidRPr="3B2127CB">
        <w:rPr>
          <w:b/>
          <w:bCs/>
        </w:rPr>
        <w:t>Peer support</w:t>
      </w:r>
      <w:r>
        <w:t>:</w:t>
      </w:r>
    </w:p>
    <w:p w14:paraId="2FEA2A37" w14:textId="77777777" w:rsidR="00BF468B" w:rsidRPr="009B0DAB" w:rsidRDefault="00BF468B" w:rsidP="00BF468B">
      <w:pPr>
        <w:numPr>
          <w:ilvl w:val="1"/>
          <w:numId w:val="31"/>
        </w:numPr>
      </w:pPr>
      <w:r w:rsidRPr="009B0DAB">
        <w:t>Clear demand for peer workers in all mental health services, recognising the value of lived experience.</w:t>
      </w:r>
    </w:p>
    <w:p w14:paraId="45625313" w14:textId="77777777" w:rsidR="00BF468B" w:rsidRPr="009B0DAB" w:rsidRDefault="00BF468B" w:rsidP="00BF468B">
      <w:pPr>
        <w:numPr>
          <w:ilvl w:val="0"/>
          <w:numId w:val="31"/>
        </w:numPr>
      </w:pPr>
      <w:r w:rsidRPr="3B2127CB">
        <w:rPr>
          <w:b/>
          <w:bCs/>
        </w:rPr>
        <w:t>Environment and safety</w:t>
      </w:r>
      <w:r>
        <w:t>:</w:t>
      </w:r>
    </w:p>
    <w:p w14:paraId="6819EA99" w14:textId="77777777" w:rsidR="00BF468B" w:rsidRPr="009B0DAB" w:rsidRDefault="00BF468B" w:rsidP="00BF468B">
      <w:pPr>
        <w:numPr>
          <w:ilvl w:val="1"/>
          <w:numId w:val="31"/>
        </w:numPr>
      </w:pPr>
      <w:r w:rsidRPr="009B0DAB">
        <w:t>Need for safer, more supportive clinical environments.</w:t>
      </w:r>
    </w:p>
    <w:p w14:paraId="4549E299" w14:textId="77777777" w:rsidR="00BF468B" w:rsidRPr="00A24345" w:rsidRDefault="00BF468B" w:rsidP="00BF468B">
      <w:pPr>
        <w:numPr>
          <w:ilvl w:val="1"/>
          <w:numId w:val="31"/>
        </w:numPr>
      </w:pPr>
      <w:r w:rsidRPr="009B0DAB">
        <w:t>Some respondents described current professionals as “not practical” or dismissive.</w:t>
      </w:r>
    </w:p>
    <w:p w14:paraId="3E86DA74" w14:textId="77777777" w:rsidR="00BF468B" w:rsidRDefault="00BF468B" w:rsidP="00BF468B">
      <w:pPr>
        <w:spacing w:before="0" w:after="120" w:line="280" w:lineRule="atLeast"/>
        <w:rPr>
          <w:rFonts w:ascii="Arial" w:eastAsia="Times New Roman" w:hAnsi="Arial" w:cs="Times New Roman"/>
          <w:b/>
          <w:bCs/>
          <w:color w:val="005496"/>
        </w:rPr>
      </w:pPr>
      <w:r>
        <w:br w:type="page"/>
      </w:r>
    </w:p>
    <w:p w14:paraId="567769EF" w14:textId="77777777" w:rsidR="00BF468B" w:rsidRDefault="00BF468B" w:rsidP="00BF468B">
      <w:pPr>
        <w:pStyle w:val="Heading4"/>
      </w:pPr>
      <w:r>
        <w:lastRenderedPageBreak/>
        <w:t>Question 15: Is there anything else you’d like to tell us about your experience with heath care or ideas to make it better.</w:t>
      </w:r>
    </w:p>
    <w:p w14:paraId="3E27CED7" w14:textId="77777777" w:rsidR="00BF468B" w:rsidRPr="00A24345" w:rsidRDefault="00BF468B" w:rsidP="00BF468B">
      <w:r>
        <w:t>Answered: 178. Skipped: 91</w:t>
      </w:r>
    </w:p>
    <w:p w14:paraId="1836DFDB" w14:textId="77777777" w:rsidR="00BF468B" w:rsidRPr="008D6B1B" w:rsidRDefault="00BF468B" w:rsidP="00BF468B">
      <w:pPr>
        <w:pStyle w:val="BodyText"/>
      </w:pPr>
      <w:r>
        <w:t xml:space="preserve">Respondents used this space to raise broader systemic concerns and highlight gaps across the healthcare system. The responses </w:t>
      </w:r>
      <w:proofErr w:type="spellStart"/>
      <w:r>
        <w:t>emphasised</w:t>
      </w:r>
      <w:proofErr w:type="spellEnd"/>
      <w:r>
        <w:t xml:space="preserve"> the need for disability awareness, affordability, accessibility, and equity in healthcare.</w:t>
      </w:r>
    </w:p>
    <w:p w14:paraId="0C368E8E" w14:textId="77777777" w:rsidR="00BF468B" w:rsidRDefault="00BF468B" w:rsidP="00BF468B">
      <w:pPr>
        <w:pStyle w:val="BodyText"/>
        <w:rPr>
          <w:rFonts w:eastAsia="Times New Roman" w:cs="Times New Roman"/>
          <w:b/>
          <w:bCs/>
        </w:rPr>
      </w:pPr>
      <w:r w:rsidRPr="3B2127CB">
        <w:rPr>
          <w:rFonts w:eastAsia="Times New Roman" w:cs="Times New Roman"/>
          <w:b/>
          <w:bCs/>
        </w:rPr>
        <w:t>Key Themes</w:t>
      </w:r>
    </w:p>
    <w:p w14:paraId="2407A7B1" w14:textId="77777777" w:rsidR="00BF468B" w:rsidRPr="00C55052" w:rsidRDefault="00BF468B" w:rsidP="00BF468B">
      <w:pPr>
        <w:numPr>
          <w:ilvl w:val="0"/>
          <w:numId w:val="31"/>
        </w:numPr>
        <w:rPr>
          <w:b/>
          <w:bCs/>
        </w:rPr>
      </w:pPr>
      <w:r w:rsidRPr="00C55052">
        <w:rPr>
          <w:b/>
          <w:bCs/>
        </w:rPr>
        <w:t>Disability awareness and training:</w:t>
      </w:r>
    </w:p>
    <w:p w14:paraId="54B8FD6D" w14:textId="77777777" w:rsidR="00BF468B" w:rsidRPr="00C55052" w:rsidRDefault="00BF468B" w:rsidP="00BF468B">
      <w:pPr>
        <w:numPr>
          <w:ilvl w:val="1"/>
          <w:numId w:val="31"/>
        </w:numPr>
      </w:pPr>
      <w:r w:rsidRPr="00C55052">
        <w:t>Calls for stronger training for medical professionals on disability rights and needs.</w:t>
      </w:r>
    </w:p>
    <w:p w14:paraId="57DF2D6A" w14:textId="77777777" w:rsidR="00BF468B" w:rsidRPr="00C55052" w:rsidRDefault="00BF468B" w:rsidP="00BF468B">
      <w:pPr>
        <w:numPr>
          <w:ilvl w:val="1"/>
          <w:numId w:val="31"/>
        </w:numPr>
      </w:pPr>
      <w:r w:rsidRPr="00C55052">
        <w:t>Emphasis on “time and patience” as critical qualities for clinicians.</w:t>
      </w:r>
    </w:p>
    <w:p w14:paraId="27DE2E26" w14:textId="77777777" w:rsidR="00BF468B" w:rsidRPr="00C55052" w:rsidRDefault="00BF468B" w:rsidP="00BF468B">
      <w:pPr>
        <w:numPr>
          <w:ilvl w:val="1"/>
          <w:numId w:val="31"/>
        </w:numPr>
      </w:pPr>
      <w:r w:rsidRPr="00C55052">
        <w:t>Avoid linking all mental health issues to disability, other issues like stress or working long hours could be the problem.</w:t>
      </w:r>
    </w:p>
    <w:p w14:paraId="119D3E33" w14:textId="77777777" w:rsidR="00BF468B" w:rsidRPr="00C55052" w:rsidRDefault="00BF468B" w:rsidP="00BF468B">
      <w:pPr>
        <w:numPr>
          <w:ilvl w:val="1"/>
          <w:numId w:val="31"/>
        </w:numPr>
      </w:pPr>
      <w:r w:rsidRPr="00C55052">
        <w:t xml:space="preserve">Practitioners need to understand the difference between intellectual disability and mental health conditions, and what they look like when they are co-morbid. </w:t>
      </w:r>
    </w:p>
    <w:p w14:paraId="5867EE90" w14:textId="77777777" w:rsidR="00BF468B" w:rsidRPr="00C55052" w:rsidRDefault="00BF468B" w:rsidP="00BF468B">
      <w:pPr>
        <w:numPr>
          <w:ilvl w:val="1"/>
          <w:numId w:val="31"/>
        </w:numPr>
      </w:pPr>
      <w:r w:rsidRPr="00C55052">
        <w:t xml:space="preserve">Avoid incorrectly diagnosing disabilities or physical health issues as mental health conditions. </w:t>
      </w:r>
    </w:p>
    <w:p w14:paraId="2637E175" w14:textId="77777777" w:rsidR="00BF468B" w:rsidRPr="00C55052" w:rsidRDefault="00BF468B" w:rsidP="00BF468B">
      <w:pPr>
        <w:numPr>
          <w:ilvl w:val="1"/>
          <w:numId w:val="31"/>
        </w:numPr>
      </w:pPr>
      <w:r w:rsidRPr="00C55052">
        <w:t>Better availability and accessibility for autism and ADHD assessments and more education for providers about the different ways they present in women, men.</w:t>
      </w:r>
    </w:p>
    <w:p w14:paraId="48D1027F" w14:textId="77777777" w:rsidR="00BF468B" w:rsidRPr="00C55052" w:rsidRDefault="00BF468B" w:rsidP="00BF468B">
      <w:pPr>
        <w:numPr>
          <w:ilvl w:val="1"/>
          <w:numId w:val="31"/>
        </w:numPr>
      </w:pPr>
      <w:r w:rsidRPr="00C55052">
        <w:t xml:space="preserve">More education for practitioners about how people </w:t>
      </w:r>
      <w:proofErr w:type="gramStart"/>
      <w:r w:rsidRPr="00C55052">
        <w:t>present</w:t>
      </w:r>
      <w:proofErr w:type="gramEnd"/>
      <w:r w:rsidRPr="00C55052">
        <w:t xml:space="preserve"> when they have co-morbid conditions (e.g. ADHD and Autism, Bipolar and Autism etc.)</w:t>
      </w:r>
    </w:p>
    <w:p w14:paraId="1559966F" w14:textId="77777777" w:rsidR="00BF468B" w:rsidRPr="00154211" w:rsidRDefault="00BF468B" w:rsidP="00BF468B">
      <w:pPr>
        <w:spacing w:before="0" w:after="120" w:line="280" w:lineRule="atLeast"/>
        <w:rPr>
          <w:rFonts w:ascii="Arial" w:eastAsia="Times New Roman" w:hAnsi="Arial" w:cs="Times New Roman"/>
          <w:color w:val="000000" w:themeColor="text1"/>
        </w:rPr>
      </w:pPr>
      <w:r>
        <w:rPr>
          <w:rFonts w:ascii="Arial" w:eastAsia="Times New Roman" w:hAnsi="Arial" w:cs="Times New Roman"/>
          <w:color w:val="000000" w:themeColor="text1"/>
        </w:rPr>
        <w:br w:type="page"/>
      </w:r>
    </w:p>
    <w:p w14:paraId="28ECE110" w14:textId="77777777" w:rsidR="00BF468B" w:rsidRDefault="00BF468B" w:rsidP="00BF468B">
      <w:pPr>
        <w:pStyle w:val="IntenseQuote"/>
      </w:pPr>
      <w:r>
        <w:lastRenderedPageBreak/>
        <w:t xml:space="preserve">I think it is basically about educating health professionals about disability and making sure they treat everyone with greater respect, especially if you don’t have a </w:t>
      </w:r>
      <w:proofErr w:type="spellStart"/>
      <w:r>
        <w:t>carer</w:t>
      </w:r>
      <w:proofErr w:type="spellEnd"/>
      <w:r>
        <w:t>.</w:t>
      </w:r>
    </w:p>
    <w:p w14:paraId="2282FA42" w14:textId="77777777" w:rsidR="00BF468B" w:rsidRDefault="00BF468B" w:rsidP="00BF468B">
      <w:pPr>
        <w:pStyle w:val="IntenseQuote"/>
      </w:pPr>
      <w:r>
        <w:t>There is a lack of knowledge about how to assess, treat and support people with dual disabilities (i.e. mental health issues and cognitive disability).  A lot of traditional assessment and treatment modalities may not be appropriate.</w:t>
      </w:r>
    </w:p>
    <w:p w14:paraId="15C7687B" w14:textId="77777777" w:rsidR="00BF468B" w:rsidRPr="00613FE2" w:rsidRDefault="00BF468B" w:rsidP="00BF468B">
      <w:pPr>
        <w:pStyle w:val="IntenseQuote"/>
      </w:pPr>
      <w:r w:rsidRPr="00613FE2">
        <w:t>Stop assuming conditions such as ME/CFS, FND &amp; endometriosis are psychiatric disorders</w:t>
      </w:r>
    </w:p>
    <w:p w14:paraId="1DFFFA7F" w14:textId="77777777" w:rsidR="00BF468B" w:rsidRPr="00234392" w:rsidRDefault="00BF468B" w:rsidP="00BF468B">
      <w:pPr>
        <w:pStyle w:val="ListParagraph"/>
        <w:numPr>
          <w:ilvl w:val="0"/>
          <w:numId w:val="19"/>
        </w:numPr>
        <w:spacing w:before="0" w:after="120"/>
        <w:rPr>
          <w:rFonts w:eastAsia="Times New Roman"/>
          <w:b/>
          <w:bCs/>
          <w:color w:val="000000"/>
        </w:rPr>
      </w:pPr>
      <w:r w:rsidRPr="00234392">
        <w:rPr>
          <w:rFonts w:eastAsia="Times New Roman"/>
          <w:b/>
          <w:bCs/>
          <w:color w:val="000000" w:themeColor="text1"/>
        </w:rPr>
        <w:t>Patient-</w:t>
      </w:r>
      <w:proofErr w:type="spellStart"/>
      <w:r w:rsidRPr="00234392">
        <w:rPr>
          <w:rFonts w:eastAsia="Times New Roman"/>
          <w:b/>
          <w:bCs/>
          <w:color w:val="000000" w:themeColor="text1"/>
        </w:rPr>
        <w:t>centred</w:t>
      </w:r>
      <w:proofErr w:type="spellEnd"/>
      <w:r w:rsidRPr="00234392">
        <w:rPr>
          <w:rFonts w:eastAsia="Times New Roman"/>
          <w:b/>
          <w:bCs/>
          <w:color w:val="000000" w:themeColor="text1"/>
        </w:rPr>
        <w:t xml:space="preserve"> care: </w:t>
      </w:r>
    </w:p>
    <w:p w14:paraId="00399C61" w14:textId="77777777" w:rsidR="00BF468B" w:rsidRDefault="00BF468B" w:rsidP="00BF468B">
      <w:pPr>
        <w:pStyle w:val="IntenseQuote"/>
      </w:pPr>
      <w:r w:rsidRPr="3B2127CB">
        <w:rPr>
          <w:rStyle w:val="IntenseQuoteChar"/>
        </w:rPr>
        <w:t xml:space="preserve">Most of the problems I encountered have been due to a real lack of care. Unwillingness to be flexible, or to even think about what they are saying and doing. This comes from all levels of health care. I find registered nurses are generally the best and reception staff the worst by far. Followed in a close second by specialists. Let's face it, you don't go to a specialist unless there is a real issue. They need to do what they are paid very well to do and that is to provide a fix and to be caring and thoughtful in their manner and delivery. </w:t>
      </w:r>
    </w:p>
    <w:p w14:paraId="3D30D83B" w14:textId="77777777" w:rsidR="00BF468B" w:rsidRPr="007C2D5A" w:rsidRDefault="00BF468B" w:rsidP="00BF468B">
      <w:pPr>
        <w:pStyle w:val="IntenseQuote"/>
      </w:pPr>
      <w:r>
        <w:t>The biggest issue in healthcare is the lack of patient-</w:t>
      </w:r>
      <w:proofErr w:type="spellStart"/>
      <w:r>
        <w:t>centered</w:t>
      </w:r>
      <w:proofErr w:type="spellEnd"/>
      <w:r>
        <w:t xml:space="preserve"> care that responds to the needs of the individual.</w:t>
      </w:r>
    </w:p>
    <w:p w14:paraId="15E4229C" w14:textId="77777777" w:rsidR="00BF468B" w:rsidRPr="00234392" w:rsidRDefault="00BF468B" w:rsidP="00BF468B">
      <w:pPr>
        <w:pStyle w:val="ListParagraph"/>
        <w:numPr>
          <w:ilvl w:val="0"/>
          <w:numId w:val="19"/>
        </w:numPr>
        <w:spacing w:before="0" w:after="120"/>
        <w:rPr>
          <w:rFonts w:eastAsia="Times New Roman"/>
          <w:color w:val="000000"/>
        </w:rPr>
      </w:pPr>
      <w:r w:rsidRPr="00234392">
        <w:rPr>
          <w:rFonts w:eastAsia="Times New Roman"/>
          <w:b/>
          <w:bCs/>
          <w:color w:val="000000" w:themeColor="text1"/>
        </w:rPr>
        <w:t>Access to NDIS supports</w:t>
      </w:r>
      <w:r w:rsidRPr="00234392">
        <w:rPr>
          <w:rFonts w:eastAsia="Times New Roman"/>
          <w:color w:val="000000" w:themeColor="text1"/>
        </w:rPr>
        <w:t>:</w:t>
      </w:r>
    </w:p>
    <w:p w14:paraId="6C106DFF" w14:textId="77777777" w:rsidR="00BF468B" w:rsidRPr="00234392" w:rsidRDefault="00BF468B" w:rsidP="00BF468B">
      <w:pPr>
        <w:numPr>
          <w:ilvl w:val="1"/>
          <w:numId w:val="31"/>
        </w:numPr>
      </w:pPr>
      <w:r w:rsidRPr="00234392">
        <w:t>Concern about how NDIS rules intersect with healthcare, creating barriers to access.</w:t>
      </w:r>
    </w:p>
    <w:p w14:paraId="4D58B9BC" w14:textId="77777777" w:rsidR="00BF468B" w:rsidRPr="00234392" w:rsidRDefault="00BF468B" w:rsidP="00BF468B">
      <w:pPr>
        <w:pStyle w:val="ListParagraph"/>
        <w:numPr>
          <w:ilvl w:val="0"/>
          <w:numId w:val="19"/>
        </w:numPr>
        <w:spacing w:before="0" w:after="120"/>
        <w:rPr>
          <w:rFonts w:eastAsia="Times New Roman"/>
          <w:b/>
          <w:bCs/>
          <w:color w:val="000000" w:themeColor="text1"/>
        </w:rPr>
      </w:pPr>
      <w:r w:rsidRPr="00234392">
        <w:rPr>
          <w:rFonts w:eastAsia="Times New Roman"/>
          <w:b/>
          <w:bCs/>
          <w:color w:val="000000" w:themeColor="text1"/>
        </w:rPr>
        <w:lastRenderedPageBreak/>
        <w:t>Affordability and cost:</w:t>
      </w:r>
    </w:p>
    <w:p w14:paraId="5FDA42ED" w14:textId="77777777" w:rsidR="00BF468B" w:rsidRPr="00234392" w:rsidRDefault="00BF468B" w:rsidP="00BF468B">
      <w:pPr>
        <w:numPr>
          <w:ilvl w:val="1"/>
          <w:numId w:val="31"/>
        </w:numPr>
      </w:pPr>
      <w:r w:rsidRPr="00234392">
        <w:t>Cost of essential tests and ongoing care was a major concern, leaving some unable to access what they need.</w:t>
      </w:r>
    </w:p>
    <w:p w14:paraId="534671F0" w14:textId="77777777" w:rsidR="00BF468B" w:rsidRPr="00234392" w:rsidRDefault="00BF468B" w:rsidP="00BF468B">
      <w:pPr>
        <w:numPr>
          <w:ilvl w:val="1"/>
          <w:numId w:val="31"/>
        </w:numPr>
      </w:pPr>
      <w:r w:rsidRPr="00234392">
        <w:t>High cost and lack of care for people living in rural and regional areas.</w:t>
      </w:r>
    </w:p>
    <w:p w14:paraId="508DD6FC" w14:textId="77777777" w:rsidR="00BF468B" w:rsidRPr="00234392" w:rsidRDefault="00BF468B" w:rsidP="00BF468B">
      <w:pPr>
        <w:pStyle w:val="ListParagraph"/>
        <w:numPr>
          <w:ilvl w:val="0"/>
          <w:numId w:val="19"/>
        </w:numPr>
        <w:spacing w:before="0" w:after="120"/>
        <w:rPr>
          <w:rFonts w:eastAsia="Times New Roman"/>
          <w:b/>
          <w:bCs/>
          <w:color w:val="000000" w:themeColor="text1"/>
        </w:rPr>
      </w:pPr>
      <w:r w:rsidRPr="3B2127CB">
        <w:rPr>
          <w:rFonts w:eastAsia="Times New Roman"/>
          <w:b/>
          <w:bCs/>
          <w:color w:val="000000" w:themeColor="text1"/>
        </w:rPr>
        <w:t>COVID and infection control</w:t>
      </w:r>
      <w:r w:rsidRPr="00234392">
        <w:rPr>
          <w:rFonts w:eastAsia="Times New Roman"/>
          <w:b/>
          <w:bCs/>
          <w:color w:val="000000" w:themeColor="text1"/>
        </w:rPr>
        <w:t>:</w:t>
      </w:r>
    </w:p>
    <w:p w14:paraId="6C7D505E" w14:textId="77777777" w:rsidR="00BF468B" w:rsidRPr="00234392" w:rsidRDefault="00BF468B" w:rsidP="00BF468B">
      <w:pPr>
        <w:numPr>
          <w:ilvl w:val="1"/>
          <w:numId w:val="31"/>
        </w:numPr>
      </w:pPr>
      <w:r w:rsidRPr="00234392">
        <w:t>Some respondents stressed the importance of maintaining mask requirements and strong safety standards in hospitals.</w:t>
      </w:r>
    </w:p>
    <w:p w14:paraId="1E8129A6" w14:textId="77777777" w:rsidR="00BF468B" w:rsidRPr="00234392" w:rsidRDefault="00BF468B" w:rsidP="00BF468B">
      <w:pPr>
        <w:pStyle w:val="ListParagraph"/>
        <w:numPr>
          <w:ilvl w:val="0"/>
          <w:numId w:val="19"/>
        </w:numPr>
        <w:spacing w:before="0" w:after="120"/>
        <w:rPr>
          <w:rFonts w:eastAsia="Times New Roman"/>
          <w:b/>
          <w:bCs/>
          <w:color w:val="000000" w:themeColor="text1"/>
        </w:rPr>
      </w:pPr>
      <w:r w:rsidRPr="3B2127CB">
        <w:rPr>
          <w:rFonts w:eastAsia="Times New Roman"/>
          <w:b/>
          <w:bCs/>
          <w:color w:val="000000" w:themeColor="text1"/>
        </w:rPr>
        <w:t>Accessibility:</w:t>
      </w:r>
    </w:p>
    <w:p w14:paraId="5C2796C0" w14:textId="77777777" w:rsidR="00BF468B" w:rsidRPr="00234392" w:rsidRDefault="00BF468B" w:rsidP="00BF468B">
      <w:pPr>
        <w:numPr>
          <w:ilvl w:val="1"/>
          <w:numId w:val="31"/>
        </w:numPr>
      </w:pPr>
      <w:r w:rsidRPr="00234392">
        <w:t>The lack of appropriate or sufficient mental health care was raised, both crisis care and care by appointment.</w:t>
      </w:r>
    </w:p>
    <w:p w14:paraId="75CF2E98" w14:textId="77777777" w:rsidR="00BF468B" w:rsidRPr="00234392" w:rsidRDefault="00BF468B" w:rsidP="00BF468B">
      <w:pPr>
        <w:numPr>
          <w:ilvl w:val="1"/>
          <w:numId w:val="31"/>
        </w:numPr>
      </w:pPr>
      <w:r w:rsidRPr="00234392">
        <w:t>Premises and bathroom physical inaccessibility came up repeatedly</w:t>
      </w:r>
    </w:p>
    <w:p w14:paraId="283B7E2C" w14:textId="77777777" w:rsidR="00BF468B" w:rsidRPr="00234392" w:rsidRDefault="00BF468B" w:rsidP="00BF468B">
      <w:pPr>
        <w:numPr>
          <w:ilvl w:val="1"/>
          <w:numId w:val="31"/>
        </w:numPr>
      </w:pPr>
      <w:r w:rsidRPr="00234392">
        <w:t xml:space="preserve">Lack of accessible communication and </w:t>
      </w:r>
      <w:proofErr w:type="spellStart"/>
      <w:r w:rsidRPr="00234392">
        <w:t>Auslan</w:t>
      </w:r>
      <w:proofErr w:type="spellEnd"/>
      <w:r w:rsidRPr="00234392">
        <w:t xml:space="preserve"> were raised.</w:t>
      </w:r>
    </w:p>
    <w:p w14:paraId="0D6428B1" w14:textId="77777777" w:rsidR="00BF468B" w:rsidRPr="00234392" w:rsidRDefault="00BF468B" w:rsidP="00BF468B">
      <w:pPr>
        <w:pStyle w:val="ListParagraph"/>
        <w:numPr>
          <w:ilvl w:val="0"/>
          <w:numId w:val="19"/>
        </w:numPr>
        <w:spacing w:before="0" w:after="120"/>
        <w:rPr>
          <w:rFonts w:eastAsia="Times New Roman"/>
          <w:b/>
          <w:bCs/>
          <w:color w:val="000000" w:themeColor="text1"/>
        </w:rPr>
      </w:pPr>
      <w:r w:rsidRPr="3B2127CB">
        <w:rPr>
          <w:rFonts w:eastAsia="Times New Roman"/>
          <w:b/>
          <w:bCs/>
          <w:color w:val="000000" w:themeColor="text1"/>
        </w:rPr>
        <w:t>Equity and systemic barriers</w:t>
      </w:r>
      <w:r w:rsidRPr="00234392">
        <w:rPr>
          <w:rFonts w:eastAsia="Times New Roman"/>
          <w:b/>
          <w:bCs/>
          <w:color w:val="000000" w:themeColor="text1"/>
        </w:rPr>
        <w:t>:</w:t>
      </w:r>
    </w:p>
    <w:p w14:paraId="5679C572" w14:textId="77777777" w:rsidR="00BF468B" w:rsidRPr="00234392" w:rsidRDefault="00BF468B" w:rsidP="00BF468B">
      <w:pPr>
        <w:numPr>
          <w:ilvl w:val="1"/>
          <w:numId w:val="31"/>
        </w:numPr>
      </w:pPr>
      <w:r w:rsidRPr="00234392">
        <w:t>People described inequities across the health system, with barriers disproportionately affecting people with disability.</w:t>
      </w:r>
    </w:p>
    <w:p w14:paraId="18989AA1" w14:textId="77777777" w:rsidR="00BF468B" w:rsidRPr="00234392" w:rsidRDefault="00BF468B" w:rsidP="00BF468B">
      <w:pPr>
        <w:numPr>
          <w:ilvl w:val="1"/>
          <w:numId w:val="31"/>
        </w:numPr>
      </w:pPr>
      <w:r w:rsidRPr="00234392">
        <w:t>The issue of discrimination and stigma, both disability-related and mental-health-related, was raised.</w:t>
      </w:r>
    </w:p>
    <w:p w14:paraId="3170E1C3" w14:textId="77777777" w:rsidR="00BF468B" w:rsidRPr="00234392" w:rsidRDefault="00BF468B" w:rsidP="00BF468B">
      <w:pPr>
        <w:numPr>
          <w:ilvl w:val="1"/>
          <w:numId w:val="31"/>
        </w:numPr>
      </w:pPr>
      <w:r w:rsidRPr="00234392">
        <w:t>Criticism of the public vs private healthcare model, particularly affordability and gaps in services.</w:t>
      </w:r>
    </w:p>
    <w:p w14:paraId="5291D66C" w14:textId="77777777" w:rsidR="00BF468B" w:rsidRPr="00234392" w:rsidRDefault="00BF468B" w:rsidP="00BF468B">
      <w:pPr>
        <w:numPr>
          <w:ilvl w:val="1"/>
          <w:numId w:val="31"/>
        </w:numPr>
      </w:pPr>
      <w:r w:rsidRPr="00234392">
        <w:t>Improving written standards will not change anything without enforcing penalties for non-adherence.</w:t>
      </w:r>
    </w:p>
    <w:p w14:paraId="3FDBCC3E" w14:textId="77777777" w:rsidR="00BF468B" w:rsidRDefault="00BF468B" w:rsidP="00BF468B">
      <w:pPr>
        <w:pStyle w:val="IntenseQuote"/>
      </w:pPr>
      <w:r w:rsidRPr="3B2127CB">
        <w:rPr>
          <w:rStyle w:val="IntenseQuoteChar"/>
        </w:rPr>
        <w:t xml:space="preserve">My experience of healthcare services has been highly abusive, as has a lot of what I have witnessed happen to others in the same facilities and </w:t>
      </w:r>
      <w:r w:rsidRPr="3B2127CB">
        <w:rPr>
          <w:rStyle w:val="IntenseQuoteChar"/>
        </w:rPr>
        <w:lastRenderedPageBreak/>
        <w:t>hospitals. I am proud of how I have advocated for myself and my peers when I’ve been able. I hope one day it becomes unnecessary as our governments and other healthcare bureaucrats listen to their disabled patients and stop protecting staff acting in bad faith</w:t>
      </w:r>
      <w:r>
        <w:t>.</w:t>
      </w:r>
    </w:p>
    <w:p w14:paraId="6E374CA6" w14:textId="77777777" w:rsidR="00BF468B" w:rsidRDefault="00BF468B" w:rsidP="00BF468B">
      <w:pPr>
        <w:pStyle w:val="IntenseQuote"/>
      </w:pPr>
      <w:r>
        <w:t>If you tell 000 that the person who is needing care has autism, they will not come. They keep calling you asking how they are going and saying they are extremely busy. This has happened on many occasions. However, when autism is not mentioned, they arrive in a timely manner.</w:t>
      </w:r>
    </w:p>
    <w:p w14:paraId="5A846C3F" w14:textId="77777777" w:rsidR="00BF468B" w:rsidRPr="005F450F" w:rsidRDefault="00BF468B" w:rsidP="00BF468B">
      <w:pPr>
        <w:pStyle w:val="IntenseQuote"/>
      </w:pPr>
      <w:r>
        <w:t xml:space="preserve">I don’t want to be talked down to because I have cerebral palsy. People think I’m </w:t>
      </w:r>
      <w:proofErr w:type="gramStart"/>
      <w:r>
        <w:t>thick</w:t>
      </w:r>
      <w:proofErr w:type="gramEnd"/>
      <w:r>
        <w:t xml:space="preserve"> but it doesn’t affect my mental capacity and </w:t>
      </w:r>
      <w:proofErr w:type="gramStart"/>
      <w:r>
        <w:t>actually I’m</w:t>
      </w:r>
      <w:proofErr w:type="gramEnd"/>
      <w:r>
        <w:t xml:space="preserve"> super aware of how my body works.</w:t>
      </w:r>
    </w:p>
    <w:p w14:paraId="2539951D" w14:textId="77777777" w:rsidR="00BF468B" w:rsidRDefault="00BF468B" w:rsidP="00BF468B">
      <w:pPr>
        <w:spacing w:before="0" w:after="120" w:line="280" w:lineRule="atLeast"/>
        <w:rPr>
          <w:rFonts w:ascii="VAG Rounded" w:eastAsia="Times New Roman" w:hAnsi="VAG Rounded" w:cs="Times New Roman"/>
          <w:b/>
          <w:bCs/>
          <w:color w:val="00884F"/>
          <w:sz w:val="32"/>
          <w:szCs w:val="32"/>
        </w:rPr>
      </w:pPr>
    </w:p>
    <w:p w14:paraId="2D1A466A" w14:textId="77777777" w:rsidR="00BF468B" w:rsidRDefault="00BF468B" w:rsidP="00BF468B">
      <w:pPr>
        <w:spacing w:before="0" w:after="120" w:line="280" w:lineRule="atLeast"/>
        <w:rPr>
          <w:rFonts w:ascii="VAG Rounded" w:eastAsia="Times New Roman" w:hAnsi="VAG Rounded" w:cs="Times New Roman"/>
          <w:b/>
          <w:bCs/>
          <w:color w:val="00884F"/>
          <w:sz w:val="32"/>
          <w:szCs w:val="32"/>
          <w:lang w:val="en-US"/>
        </w:rPr>
      </w:pPr>
      <w:r>
        <w:rPr>
          <w:rFonts w:ascii="VAG Rounded" w:eastAsia="Times New Roman" w:hAnsi="VAG Rounded" w:cs="Times New Roman"/>
          <w:b/>
          <w:bCs/>
          <w:color w:val="00884F"/>
          <w:sz w:val="32"/>
          <w:szCs w:val="32"/>
        </w:rPr>
        <w:br w:type="page"/>
      </w:r>
    </w:p>
    <w:p w14:paraId="640C11EB" w14:textId="77777777" w:rsidR="00BF468B" w:rsidRDefault="00BF468B" w:rsidP="00BF468B">
      <w:pPr>
        <w:pStyle w:val="BodyText"/>
        <w:spacing w:line="336" w:lineRule="auto"/>
        <w:rPr>
          <w:rFonts w:ascii="VAG Rounded" w:eastAsia="Times New Roman" w:hAnsi="VAG Rounded" w:cs="Times New Roman"/>
          <w:b/>
          <w:bCs/>
          <w:color w:val="00884F"/>
          <w:sz w:val="32"/>
          <w:szCs w:val="32"/>
          <w:lang w:val="en-AU"/>
        </w:rPr>
      </w:pPr>
      <w:r w:rsidRPr="3B2127CB">
        <w:rPr>
          <w:rFonts w:ascii="VAG Rounded" w:eastAsia="Times New Roman" w:hAnsi="VAG Rounded" w:cs="Times New Roman"/>
          <w:b/>
          <w:bCs/>
          <w:color w:val="00884F"/>
          <w:sz w:val="32"/>
          <w:szCs w:val="32"/>
        </w:rPr>
        <w:lastRenderedPageBreak/>
        <w:t xml:space="preserve">People completing the survey </w:t>
      </w:r>
    </w:p>
    <w:p w14:paraId="3E18542A" w14:textId="77777777" w:rsidR="00BF468B" w:rsidRDefault="00BF468B" w:rsidP="00BF468B">
      <w:pPr>
        <w:pStyle w:val="Heading4"/>
      </w:pPr>
      <w:r>
        <w:t>Question 16: Do you identify as a person with disability? (tick one)</w:t>
      </w:r>
    </w:p>
    <w:p w14:paraId="4661A965" w14:textId="77777777" w:rsidR="00BF468B" w:rsidRPr="00B05A6D" w:rsidRDefault="00BF468B" w:rsidP="00BF468B">
      <w:r>
        <w:t>Answered: 231. Skipped: 38</w:t>
      </w:r>
    </w:p>
    <w:tbl>
      <w:tblPr>
        <w:tblpPr w:leftFromText="180" w:rightFromText="180" w:vertAnchor="text" w:tblpXSpec="center" w:tblpY="1"/>
        <w:tblOverlap w:val="never"/>
        <w:tblW w:w="8934"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5388"/>
        <w:gridCol w:w="1704"/>
        <w:gridCol w:w="1842"/>
      </w:tblGrid>
      <w:tr w:rsidR="00BF468B" w:rsidRPr="0048634C" w14:paraId="033BC897" w14:textId="77777777" w:rsidTr="006C3FF4">
        <w:trPr>
          <w:trHeight w:val="485"/>
          <w:jc w:val="center"/>
        </w:trPr>
        <w:tc>
          <w:tcPr>
            <w:tcW w:w="5388" w:type="dxa"/>
            <w:shd w:val="clear" w:color="auto" w:fill="00BDF2" w:themeFill="accent2"/>
            <w:vAlign w:val="center"/>
          </w:tcPr>
          <w:p w14:paraId="2BAC753D" w14:textId="77777777" w:rsidR="00BF468B" w:rsidRPr="00947E56" w:rsidRDefault="00BF468B" w:rsidP="006C3FF4">
            <w:pPr>
              <w:pStyle w:val="TableParagraph"/>
              <w:spacing w:before="0" w:line="336" w:lineRule="auto"/>
              <w:jc w:val="center"/>
              <w:rPr>
                <w:rFonts w:asciiTheme="minorHAnsi" w:hAnsiTheme="minorHAnsi" w:cstheme="minorBidi"/>
                <w:b/>
                <w:bCs/>
              </w:rPr>
            </w:pPr>
            <w:r w:rsidRPr="3B2127CB">
              <w:rPr>
                <w:rFonts w:asciiTheme="minorHAnsi" w:hAnsiTheme="minorHAnsi" w:cstheme="minorBidi"/>
                <w:b/>
                <w:bCs/>
              </w:rPr>
              <w:t>ANSWER CHOICES</w:t>
            </w:r>
          </w:p>
        </w:tc>
        <w:tc>
          <w:tcPr>
            <w:tcW w:w="1704" w:type="dxa"/>
            <w:shd w:val="clear" w:color="auto" w:fill="00BDF2" w:themeFill="accent2"/>
            <w:vAlign w:val="center"/>
          </w:tcPr>
          <w:p w14:paraId="121A6E12"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TOTAL</w:t>
            </w:r>
          </w:p>
        </w:tc>
        <w:tc>
          <w:tcPr>
            <w:tcW w:w="1842" w:type="dxa"/>
            <w:tcBorders>
              <w:top w:val="nil"/>
            </w:tcBorders>
            <w:shd w:val="clear" w:color="auto" w:fill="45B97C" w:themeFill="accent4"/>
            <w:vAlign w:val="center"/>
          </w:tcPr>
          <w:p w14:paraId="1AFD51E7"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color w:val="E2DDDB" w:themeColor="background2"/>
                <w:spacing w:val="-2"/>
              </w:rPr>
            </w:pPr>
            <w:r w:rsidRPr="3B2127CB">
              <w:rPr>
                <w:rFonts w:asciiTheme="minorHAnsi" w:hAnsiTheme="minorHAnsi" w:cstheme="minorBidi"/>
                <w:b/>
                <w:bCs/>
                <w:spacing w:val="-2"/>
              </w:rPr>
              <w:t>QTY</w:t>
            </w:r>
          </w:p>
        </w:tc>
      </w:tr>
      <w:tr w:rsidR="00BF468B" w:rsidRPr="0048634C" w14:paraId="4DBA44A2" w14:textId="77777777" w:rsidTr="006C3FF4">
        <w:trPr>
          <w:trHeight w:val="390"/>
          <w:jc w:val="center"/>
        </w:trPr>
        <w:tc>
          <w:tcPr>
            <w:tcW w:w="5388" w:type="dxa"/>
            <w:vAlign w:val="bottom"/>
          </w:tcPr>
          <w:p w14:paraId="278AE8C7" w14:textId="77777777" w:rsidR="00BF468B" w:rsidRPr="00947E56"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Yes</w:t>
            </w:r>
          </w:p>
        </w:tc>
        <w:tc>
          <w:tcPr>
            <w:tcW w:w="1704" w:type="dxa"/>
            <w:vAlign w:val="bottom"/>
          </w:tcPr>
          <w:p w14:paraId="1710DC4F" w14:textId="77777777" w:rsidR="00BF468B" w:rsidRPr="00947E56"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rPr>
              <w:t>89.61%</w:t>
            </w:r>
          </w:p>
        </w:tc>
        <w:tc>
          <w:tcPr>
            <w:tcW w:w="1842" w:type="dxa"/>
            <w:vAlign w:val="bottom"/>
          </w:tcPr>
          <w:p w14:paraId="7CE08E26" w14:textId="77777777" w:rsidR="00BF468B" w:rsidRPr="00947E56"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rPr>
              <w:t>207</w:t>
            </w:r>
          </w:p>
        </w:tc>
      </w:tr>
      <w:tr w:rsidR="00BF468B" w:rsidRPr="0048634C" w14:paraId="15FA6AE0" w14:textId="77777777" w:rsidTr="006C3FF4">
        <w:trPr>
          <w:trHeight w:val="390"/>
          <w:jc w:val="center"/>
        </w:trPr>
        <w:tc>
          <w:tcPr>
            <w:tcW w:w="5388" w:type="dxa"/>
            <w:vAlign w:val="bottom"/>
          </w:tcPr>
          <w:p w14:paraId="7DE7EC5D" w14:textId="77777777" w:rsidR="00BF468B" w:rsidRPr="00947E56"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No</w:t>
            </w:r>
          </w:p>
        </w:tc>
        <w:tc>
          <w:tcPr>
            <w:tcW w:w="1704" w:type="dxa"/>
            <w:vAlign w:val="bottom"/>
          </w:tcPr>
          <w:p w14:paraId="4563B31B" w14:textId="77777777" w:rsidR="00BF468B" w:rsidRPr="00947E56"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rPr>
              <w:t>8.66%</w:t>
            </w:r>
          </w:p>
        </w:tc>
        <w:tc>
          <w:tcPr>
            <w:tcW w:w="1842" w:type="dxa"/>
            <w:vAlign w:val="bottom"/>
          </w:tcPr>
          <w:p w14:paraId="1CDAEE73" w14:textId="77777777" w:rsidR="00BF468B" w:rsidRPr="00947E56"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rPr>
              <w:t>20</w:t>
            </w:r>
          </w:p>
        </w:tc>
      </w:tr>
      <w:tr w:rsidR="00BF468B" w:rsidRPr="0048634C" w14:paraId="223D3871" w14:textId="77777777" w:rsidTr="006C3FF4">
        <w:trPr>
          <w:trHeight w:val="390"/>
          <w:jc w:val="center"/>
        </w:trPr>
        <w:tc>
          <w:tcPr>
            <w:tcW w:w="5388" w:type="dxa"/>
            <w:vAlign w:val="bottom"/>
          </w:tcPr>
          <w:p w14:paraId="42E2D696" w14:textId="77777777" w:rsidR="00BF468B" w:rsidRPr="00947E56"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rPr>
              <w:t>I prefer not to say</w:t>
            </w:r>
          </w:p>
        </w:tc>
        <w:tc>
          <w:tcPr>
            <w:tcW w:w="1704" w:type="dxa"/>
            <w:vAlign w:val="bottom"/>
          </w:tcPr>
          <w:p w14:paraId="134F0FB6" w14:textId="77777777" w:rsidR="00BF468B" w:rsidRPr="00947E56"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rPr>
              <w:t>1.73%</w:t>
            </w:r>
          </w:p>
        </w:tc>
        <w:tc>
          <w:tcPr>
            <w:tcW w:w="1842" w:type="dxa"/>
            <w:vAlign w:val="bottom"/>
          </w:tcPr>
          <w:p w14:paraId="5B1A7D13" w14:textId="77777777" w:rsidR="00BF468B" w:rsidRPr="00947E56"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rPr>
              <w:t>4</w:t>
            </w:r>
          </w:p>
        </w:tc>
      </w:tr>
    </w:tbl>
    <w:p w14:paraId="21AB082A" w14:textId="77777777" w:rsidR="00BF468B" w:rsidRDefault="00BF468B" w:rsidP="00BF468B">
      <w:pPr>
        <w:pStyle w:val="BodyText"/>
        <w:rPr>
          <w:b/>
          <w:bCs/>
        </w:rPr>
      </w:pPr>
      <w:r w:rsidRPr="3B2127CB">
        <w:rPr>
          <w:b/>
          <w:bCs/>
        </w:rPr>
        <w:t xml:space="preserve">Comments: </w:t>
      </w:r>
    </w:p>
    <w:p w14:paraId="3965072E" w14:textId="77777777" w:rsidR="00BF468B" w:rsidRDefault="00BF468B" w:rsidP="00BF468B">
      <w:pPr>
        <w:pStyle w:val="BodyText"/>
        <w:numPr>
          <w:ilvl w:val="0"/>
          <w:numId w:val="37"/>
        </w:numPr>
        <w:rPr>
          <w:b/>
          <w:bCs/>
        </w:rPr>
      </w:pPr>
      <w:r w:rsidRPr="3B2127CB">
        <w:rPr>
          <w:color w:val="auto"/>
        </w:rPr>
        <w:t xml:space="preserve">89.61% (207) of respondents identify as a person with disability. </w:t>
      </w:r>
    </w:p>
    <w:p w14:paraId="73D133F8" w14:textId="77777777" w:rsidR="00BF468B" w:rsidRDefault="00BF468B" w:rsidP="00BF468B">
      <w:pPr>
        <w:pStyle w:val="Heading4"/>
      </w:pPr>
      <w:r>
        <w:t>Question 17: Do you care for or help someone with disability access health care: (tick all that apply)</w:t>
      </w:r>
    </w:p>
    <w:p w14:paraId="3BC39D24" w14:textId="77777777" w:rsidR="00BF468B" w:rsidRPr="00B05A6D" w:rsidRDefault="00BF468B" w:rsidP="00BF468B">
      <w:r>
        <w:t>Answered: 225. Skipped: 44</w:t>
      </w:r>
    </w:p>
    <w:tbl>
      <w:tblPr>
        <w:tblpPr w:leftFromText="180" w:rightFromText="180" w:vertAnchor="text" w:tblpXSpec="center" w:tblpY="1"/>
        <w:tblOverlap w:val="never"/>
        <w:tblW w:w="8934"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5388"/>
        <w:gridCol w:w="1704"/>
        <w:gridCol w:w="1842"/>
      </w:tblGrid>
      <w:tr w:rsidR="00BF468B" w:rsidRPr="0048634C" w14:paraId="2683F3E4" w14:textId="77777777" w:rsidTr="006C3FF4">
        <w:trPr>
          <w:trHeight w:val="485"/>
          <w:jc w:val="center"/>
        </w:trPr>
        <w:tc>
          <w:tcPr>
            <w:tcW w:w="5388" w:type="dxa"/>
            <w:shd w:val="clear" w:color="auto" w:fill="00BDF2" w:themeFill="accent2"/>
            <w:vAlign w:val="center"/>
          </w:tcPr>
          <w:p w14:paraId="5A704538" w14:textId="77777777" w:rsidR="00BF468B" w:rsidRPr="00947E56" w:rsidRDefault="00BF468B" w:rsidP="006C3FF4">
            <w:pPr>
              <w:pStyle w:val="TableParagraph"/>
              <w:spacing w:before="0" w:line="336" w:lineRule="auto"/>
              <w:jc w:val="center"/>
              <w:rPr>
                <w:rFonts w:asciiTheme="minorHAnsi" w:hAnsiTheme="minorHAnsi" w:cstheme="minorBidi"/>
                <w:b/>
                <w:bCs/>
              </w:rPr>
            </w:pPr>
            <w:r w:rsidRPr="3B2127CB">
              <w:rPr>
                <w:rFonts w:asciiTheme="minorHAnsi" w:hAnsiTheme="minorHAnsi" w:cstheme="minorBidi"/>
                <w:b/>
                <w:bCs/>
                <w:spacing w:val="-2"/>
              </w:rPr>
              <w:t>Answer Choices</w:t>
            </w:r>
          </w:p>
        </w:tc>
        <w:tc>
          <w:tcPr>
            <w:tcW w:w="1704" w:type="dxa"/>
            <w:shd w:val="clear" w:color="auto" w:fill="00BDF2" w:themeFill="accent2"/>
            <w:vAlign w:val="center"/>
          </w:tcPr>
          <w:p w14:paraId="201C58B3"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TOTAL</w:t>
            </w:r>
          </w:p>
        </w:tc>
        <w:tc>
          <w:tcPr>
            <w:tcW w:w="1842" w:type="dxa"/>
            <w:tcBorders>
              <w:top w:val="nil"/>
            </w:tcBorders>
            <w:shd w:val="clear" w:color="auto" w:fill="45B97C" w:themeFill="accent4"/>
            <w:vAlign w:val="center"/>
          </w:tcPr>
          <w:p w14:paraId="7A839F52"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color w:val="E2DDDB" w:themeColor="background2"/>
                <w:spacing w:val="-2"/>
              </w:rPr>
            </w:pPr>
            <w:r w:rsidRPr="3B2127CB">
              <w:rPr>
                <w:rFonts w:asciiTheme="minorHAnsi" w:hAnsiTheme="minorHAnsi" w:cstheme="minorBidi"/>
                <w:b/>
                <w:bCs/>
                <w:spacing w:val="-2"/>
              </w:rPr>
              <w:t>QTY</w:t>
            </w:r>
          </w:p>
        </w:tc>
      </w:tr>
      <w:tr w:rsidR="00BF468B" w:rsidRPr="0048634C" w14:paraId="75A34773" w14:textId="77777777" w:rsidTr="006C3FF4">
        <w:trPr>
          <w:trHeight w:val="390"/>
          <w:jc w:val="center"/>
        </w:trPr>
        <w:tc>
          <w:tcPr>
            <w:tcW w:w="5388" w:type="dxa"/>
            <w:vAlign w:val="bottom"/>
          </w:tcPr>
          <w:p w14:paraId="2F304945" w14:textId="77777777" w:rsidR="00BF468B" w:rsidRPr="00947E56"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color w:val="333333"/>
              </w:rPr>
              <w:t>Yes</w:t>
            </w:r>
          </w:p>
        </w:tc>
        <w:tc>
          <w:tcPr>
            <w:tcW w:w="1704" w:type="dxa"/>
            <w:vAlign w:val="bottom"/>
          </w:tcPr>
          <w:p w14:paraId="6A77B4EE" w14:textId="77777777" w:rsidR="00BF468B" w:rsidRPr="00947E56"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color w:val="333333"/>
              </w:rPr>
              <w:t>39.56%</w:t>
            </w:r>
          </w:p>
        </w:tc>
        <w:tc>
          <w:tcPr>
            <w:tcW w:w="1842" w:type="dxa"/>
            <w:vAlign w:val="bottom"/>
          </w:tcPr>
          <w:p w14:paraId="0D64F8A3" w14:textId="77777777" w:rsidR="00BF468B" w:rsidRPr="00947E56"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color w:val="333333"/>
              </w:rPr>
              <w:t>89</w:t>
            </w:r>
          </w:p>
        </w:tc>
      </w:tr>
      <w:tr w:rsidR="00BF468B" w:rsidRPr="0048634C" w14:paraId="6510F3C8" w14:textId="77777777" w:rsidTr="006C3FF4">
        <w:trPr>
          <w:trHeight w:val="390"/>
          <w:jc w:val="center"/>
        </w:trPr>
        <w:tc>
          <w:tcPr>
            <w:tcW w:w="5388" w:type="dxa"/>
            <w:vAlign w:val="bottom"/>
          </w:tcPr>
          <w:p w14:paraId="13F8F680" w14:textId="77777777" w:rsidR="00BF468B" w:rsidRPr="00947E56"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color w:val="333333"/>
              </w:rPr>
              <w:t>No</w:t>
            </w:r>
          </w:p>
        </w:tc>
        <w:tc>
          <w:tcPr>
            <w:tcW w:w="1704" w:type="dxa"/>
            <w:vAlign w:val="bottom"/>
          </w:tcPr>
          <w:p w14:paraId="51153962" w14:textId="77777777" w:rsidR="00BF468B" w:rsidRPr="00947E56"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color w:val="333333"/>
              </w:rPr>
              <w:t>58.67%</w:t>
            </w:r>
          </w:p>
        </w:tc>
        <w:tc>
          <w:tcPr>
            <w:tcW w:w="1842" w:type="dxa"/>
            <w:vAlign w:val="bottom"/>
          </w:tcPr>
          <w:p w14:paraId="364736E0" w14:textId="77777777" w:rsidR="00BF468B" w:rsidRPr="00947E56"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color w:val="333333"/>
              </w:rPr>
              <w:t>132</w:t>
            </w:r>
          </w:p>
        </w:tc>
      </w:tr>
      <w:tr w:rsidR="00BF468B" w:rsidRPr="0048634C" w14:paraId="00A15A12" w14:textId="77777777" w:rsidTr="006C3FF4">
        <w:trPr>
          <w:trHeight w:val="390"/>
          <w:jc w:val="center"/>
        </w:trPr>
        <w:tc>
          <w:tcPr>
            <w:tcW w:w="5388" w:type="dxa"/>
            <w:vAlign w:val="bottom"/>
          </w:tcPr>
          <w:p w14:paraId="566539A3" w14:textId="77777777" w:rsidR="00BF468B" w:rsidRPr="00947E56" w:rsidRDefault="00BF468B" w:rsidP="006C3FF4">
            <w:pPr>
              <w:pStyle w:val="TableParagraph"/>
              <w:spacing w:line="336" w:lineRule="auto"/>
              <w:ind w:left="112"/>
              <w:jc w:val="center"/>
              <w:rPr>
                <w:rFonts w:asciiTheme="minorHAnsi" w:hAnsiTheme="minorHAnsi" w:cstheme="minorBidi"/>
              </w:rPr>
            </w:pPr>
            <w:r w:rsidRPr="3B2127CB">
              <w:rPr>
                <w:rFonts w:ascii="Arial" w:hAnsi="Arial" w:cs="Arial"/>
                <w:color w:val="333333"/>
              </w:rPr>
              <w:t>I prefer not to say</w:t>
            </w:r>
          </w:p>
        </w:tc>
        <w:tc>
          <w:tcPr>
            <w:tcW w:w="1704" w:type="dxa"/>
            <w:vAlign w:val="bottom"/>
          </w:tcPr>
          <w:p w14:paraId="04611755" w14:textId="77777777" w:rsidR="00BF468B" w:rsidRPr="00947E56" w:rsidRDefault="00BF468B" w:rsidP="006C3FF4">
            <w:pPr>
              <w:pStyle w:val="TableParagraph"/>
              <w:spacing w:line="336" w:lineRule="auto"/>
              <w:ind w:right="7"/>
              <w:jc w:val="center"/>
              <w:rPr>
                <w:rFonts w:asciiTheme="minorHAnsi" w:hAnsiTheme="minorHAnsi" w:cstheme="minorBidi"/>
              </w:rPr>
            </w:pPr>
            <w:r w:rsidRPr="3B2127CB">
              <w:rPr>
                <w:rFonts w:ascii="Arial" w:hAnsi="Arial" w:cs="Arial"/>
                <w:color w:val="333333"/>
              </w:rPr>
              <w:t>2.22%</w:t>
            </w:r>
          </w:p>
        </w:tc>
        <w:tc>
          <w:tcPr>
            <w:tcW w:w="1842" w:type="dxa"/>
            <w:vAlign w:val="bottom"/>
          </w:tcPr>
          <w:p w14:paraId="1BC8C7B0" w14:textId="77777777" w:rsidR="00BF468B" w:rsidRPr="00947E56" w:rsidRDefault="00BF468B" w:rsidP="006C3FF4">
            <w:pPr>
              <w:pStyle w:val="TableParagraph"/>
              <w:spacing w:line="336" w:lineRule="auto"/>
              <w:ind w:left="18" w:right="8"/>
              <w:jc w:val="center"/>
              <w:rPr>
                <w:rFonts w:asciiTheme="minorHAnsi" w:hAnsiTheme="minorHAnsi" w:cstheme="minorBidi"/>
              </w:rPr>
            </w:pPr>
            <w:r w:rsidRPr="3B2127CB">
              <w:rPr>
                <w:rFonts w:ascii="Arial" w:hAnsi="Arial" w:cs="Arial"/>
                <w:color w:val="333333"/>
              </w:rPr>
              <w:t>5</w:t>
            </w:r>
          </w:p>
        </w:tc>
      </w:tr>
    </w:tbl>
    <w:p w14:paraId="490921AE" w14:textId="77777777" w:rsidR="00BF468B" w:rsidRPr="00F144A3" w:rsidRDefault="00BF468B" w:rsidP="00BF468B">
      <w:pPr>
        <w:pStyle w:val="BodyText"/>
        <w:rPr>
          <w:b/>
          <w:bCs/>
        </w:rPr>
      </w:pPr>
      <w:r w:rsidRPr="3B2127CB">
        <w:rPr>
          <w:b/>
          <w:bCs/>
        </w:rPr>
        <w:t xml:space="preserve">Comments: </w:t>
      </w:r>
    </w:p>
    <w:p w14:paraId="7E5DF271" w14:textId="77777777" w:rsidR="00BF468B" w:rsidRPr="00E27F76" w:rsidRDefault="00BF468B" w:rsidP="00BF468B">
      <w:pPr>
        <w:pStyle w:val="BodyText"/>
        <w:numPr>
          <w:ilvl w:val="0"/>
          <w:numId w:val="41"/>
        </w:numPr>
      </w:pPr>
      <w:r>
        <w:t>A large proportion of respondents (</w:t>
      </w:r>
      <w:r w:rsidRPr="3B2127CB">
        <w:rPr>
          <w:color w:val="333333"/>
        </w:rPr>
        <w:t>39.56</w:t>
      </w:r>
      <w:r>
        <w:t>%) care for or help someone with disability access health care, reflecting the dual perspectives of people both living with disability and providing support to others.</w:t>
      </w:r>
    </w:p>
    <w:p w14:paraId="752AC35F" w14:textId="77777777" w:rsidR="00BF468B" w:rsidRPr="00E27F76" w:rsidRDefault="00BF468B" w:rsidP="00BF468B">
      <w:pPr>
        <w:pStyle w:val="BodyText"/>
        <w:numPr>
          <w:ilvl w:val="0"/>
          <w:numId w:val="41"/>
        </w:numPr>
      </w:pPr>
      <w:r>
        <w:lastRenderedPageBreak/>
        <w:t xml:space="preserve">The majority (59%) stated they are not in a caring role or support someone with disability to access health care. </w:t>
      </w:r>
    </w:p>
    <w:p w14:paraId="04960A21" w14:textId="77777777" w:rsidR="00BF468B" w:rsidRPr="00E27F76" w:rsidRDefault="00BF468B" w:rsidP="00BF468B">
      <w:pPr>
        <w:pStyle w:val="BodyText"/>
        <w:numPr>
          <w:ilvl w:val="0"/>
          <w:numId w:val="41"/>
        </w:numPr>
      </w:pPr>
      <w:r>
        <w:t>A small proportion chose not to disclose.</w:t>
      </w:r>
    </w:p>
    <w:p w14:paraId="0B0F35C9" w14:textId="77777777" w:rsidR="00BF468B" w:rsidRDefault="00BF468B" w:rsidP="00BF468B">
      <w:pPr>
        <w:pStyle w:val="Heading4"/>
      </w:pPr>
      <w:r>
        <w:t>Question 18: Do you identify as any of the following: (tick all that apply)</w:t>
      </w:r>
    </w:p>
    <w:p w14:paraId="618F106C" w14:textId="77777777" w:rsidR="00BF468B" w:rsidRPr="001A0EA2" w:rsidRDefault="00BF468B" w:rsidP="00BF468B">
      <w:pPr>
        <w:pStyle w:val="BodyText"/>
      </w:pPr>
      <w:proofErr w:type="gramStart"/>
      <w:r>
        <w:t>Answered</w:t>
      </w:r>
      <w:proofErr w:type="gramEnd"/>
      <w:r>
        <w:t>: 210. Skipped: 59</w:t>
      </w:r>
    </w:p>
    <w:tbl>
      <w:tblPr>
        <w:tblpPr w:leftFromText="180" w:rightFromText="180" w:vertAnchor="text" w:horzAnchor="margin" w:tblpY="-112"/>
        <w:tblW w:w="9778" w:type="dxa"/>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5384"/>
        <w:gridCol w:w="2126"/>
        <w:gridCol w:w="2268"/>
      </w:tblGrid>
      <w:tr w:rsidR="00BF468B" w:rsidRPr="0048634C" w14:paraId="5E98D453" w14:textId="77777777" w:rsidTr="006C3FF4">
        <w:trPr>
          <w:trHeight w:val="485"/>
        </w:trPr>
        <w:tc>
          <w:tcPr>
            <w:tcW w:w="5384" w:type="dxa"/>
            <w:shd w:val="clear" w:color="auto" w:fill="00BDF2" w:themeFill="accent2"/>
          </w:tcPr>
          <w:p w14:paraId="4875E61C"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Answer Choices</w:t>
            </w:r>
          </w:p>
        </w:tc>
        <w:tc>
          <w:tcPr>
            <w:tcW w:w="2126" w:type="dxa"/>
            <w:shd w:val="clear" w:color="auto" w:fill="00BDF2" w:themeFill="accent2"/>
          </w:tcPr>
          <w:p w14:paraId="6E09A912"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Responses</w:t>
            </w:r>
          </w:p>
        </w:tc>
        <w:tc>
          <w:tcPr>
            <w:tcW w:w="2268" w:type="dxa"/>
            <w:tcBorders>
              <w:top w:val="nil"/>
            </w:tcBorders>
            <w:shd w:val="clear" w:color="auto" w:fill="45B97C" w:themeFill="accent4"/>
          </w:tcPr>
          <w:p w14:paraId="03A7FCC5" w14:textId="77777777" w:rsidR="00BF468B" w:rsidRPr="0048634C" w:rsidRDefault="00BF468B" w:rsidP="006C3FF4">
            <w:pPr>
              <w:pStyle w:val="TableParagraph"/>
              <w:spacing w:before="0" w:line="336" w:lineRule="auto"/>
              <w:ind w:left="532" w:right="399" w:hanging="120"/>
              <w:jc w:val="center"/>
              <w:rPr>
                <w:rFonts w:asciiTheme="minorHAnsi" w:hAnsiTheme="minorHAnsi" w:cstheme="minorBidi"/>
                <w:b/>
                <w:bCs/>
                <w:spacing w:val="-2"/>
              </w:rPr>
            </w:pPr>
            <w:r w:rsidRPr="3B2127CB">
              <w:rPr>
                <w:rFonts w:asciiTheme="minorHAnsi" w:hAnsiTheme="minorHAnsi" w:cstheme="minorBidi"/>
                <w:b/>
                <w:bCs/>
                <w:spacing w:val="-2"/>
              </w:rPr>
              <w:t>QTY</w:t>
            </w:r>
          </w:p>
        </w:tc>
      </w:tr>
      <w:tr w:rsidR="00BF468B" w:rsidRPr="0048634C" w14:paraId="496038F4" w14:textId="77777777" w:rsidTr="006C3FF4">
        <w:trPr>
          <w:trHeight w:val="489"/>
        </w:trPr>
        <w:tc>
          <w:tcPr>
            <w:tcW w:w="5384" w:type="dxa"/>
            <w:vAlign w:val="bottom"/>
          </w:tcPr>
          <w:p w14:paraId="28166E4A"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Aboriginal and / or Torres Strait Islander</w:t>
            </w:r>
          </w:p>
        </w:tc>
        <w:tc>
          <w:tcPr>
            <w:tcW w:w="2126" w:type="dxa"/>
            <w:vAlign w:val="bottom"/>
          </w:tcPr>
          <w:p w14:paraId="7F91C334"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3.81%</w:t>
            </w:r>
          </w:p>
        </w:tc>
        <w:tc>
          <w:tcPr>
            <w:tcW w:w="2268" w:type="dxa"/>
            <w:vAlign w:val="bottom"/>
          </w:tcPr>
          <w:p w14:paraId="15FA962F"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8</w:t>
            </w:r>
          </w:p>
        </w:tc>
      </w:tr>
      <w:tr w:rsidR="00BF468B" w:rsidRPr="0048634C" w14:paraId="123A171A" w14:textId="77777777" w:rsidTr="006C3FF4">
        <w:trPr>
          <w:trHeight w:val="390"/>
        </w:trPr>
        <w:tc>
          <w:tcPr>
            <w:tcW w:w="5384" w:type="dxa"/>
            <w:vAlign w:val="bottom"/>
          </w:tcPr>
          <w:p w14:paraId="0B75C51B"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From a culturally or linguistically diverse (CALD) background</w:t>
            </w:r>
          </w:p>
        </w:tc>
        <w:tc>
          <w:tcPr>
            <w:tcW w:w="2126" w:type="dxa"/>
            <w:vAlign w:val="bottom"/>
          </w:tcPr>
          <w:p w14:paraId="401755D4"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11.90%</w:t>
            </w:r>
          </w:p>
        </w:tc>
        <w:tc>
          <w:tcPr>
            <w:tcW w:w="2268" w:type="dxa"/>
            <w:vAlign w:val="bottom"/>
          </w:tcPr>
          <w:p w14:paraId="5A44889F"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25</w:t>
            </w:r>
          </w:p>
        </w:tc>
      </w:tr>
      <w:tr w:rsidR="00BF468B" w:rsidRPr="0048634C" w14:paraId="5541BACE" w14:textId="77777777" w:rsidTr="006C3FF4">
        <w:trPr>
          <w:trHeight w:val="390"/>
        </w:trPr>
        <w:tc>
          <w:tcPr>
            <w:tcW w:w="5384" w:type="dxa"/>
            <w:vAlign w:val="bottom"/>
          </w:tcPr>
          <w:p w14:paraId="59950408"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Member of the LGBTQIA+ community</w:t>
            </w:r>
          </w:p>
        </w:tc>
        <w:tc>
          <w:tcPr>
            <w:tcW w:w="2126" w:type="dxa"/>
            <w:vAlign w:val="bottom"/>
          </w:tcPr>
          <w:p w14:paraId="44C87A9A"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23.33%</w:t>
            </w:r>
          </w:p>
        </w:tc>
        <w:tc>
          <w:tcPr>
            <w:tcW w:w="2268" w:type="dxa"/>
            <w:vAlign w:val="bottom"/>
          </w:tcPr>
          <w:p w14:paraId="5A143BA9"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49</w:t>
            </w:r>
          </w:p>
        </w:tc>
      </w:tr>
      <w:tr w:rsidR="00BF468B" w:rsidRPr="0048634C" w14:paraId="76983E3B" w14:textId="77777777" w:rsidTr="006C3FF4">
        <w:trPr>
          <w:trHeight w:val="723"/>
        </w:trPr>
        <w:tc>
          <w:tcPr>
            <w:tcW w:w="5384" w:type="dxa"/>
            <w:vAlign w:val="bottom"/>
          </w:tcPr>
          <w:p w14:paraId="55A846B4"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Woman or girl with disability</w:t>
            </w:r>
          </w:p>
        </w:tc>
        <w:tc>
          <w:tcPr>
            <w:tcW w:w="2126" w:type="dxa"/>
            <w:vAlign w:val="bottom"/>
          </w:tcPr>
          <w:p w14:paraId="33AD4760"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63.81%</w:t>
            </w:r>
          </w:p>
        </w:tc>
        <w:tc>
          <w:tcPr>
            <w:tcW w:w="2268" w:type="dxa"/>
            <w:vAlign w:val="bottom"/>
          </w:tcPr>
          <w:p w14:paraId="1997FB81"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134</w:t>
            </w:r>
          </w:p>
        </w:tc>
      </w:tr>
      <w:tr w:rsidR="00BF468B" w:rsidRPr="0048634C" w14:paraId="2D97B79B" w14:textId="77777777" w:rsidTr="006C3FF4">
        <w:trPr>
          <w:trHeight w:val="585"/>
        </w:trPr>
        <w:tc>
          <w:tcPr>
            <w:tcW w:w="5384" w:type="dxa"/>
            <w:vAlign w:val="bottom"/>
          </w:tcPr>
          <w:p w14:paraId="49984A61"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Trans and / or gender diverse</w:t>
            </w:r>
          </w:p>
        </w:tc>
        <w:tc>
          <w:tcPr>
            <w:tcW w:w="2126" w:type="dxa"/>
            <w:vAlign w:val="bottom"/>
          </w:tcPr>
          <w:p w14:paraId="726A4945"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5.71%</w:t>
            </w:r>
          </w:p>
        </w:tc>
        <w:tc>
          <w:tcPr>
            <w:tcW w:w="2268" w:type="dxa"/>
            <w:vAlign w:val="bottom"/>
          </w:tcPr>
          <w:p w14:paraId="7289DAB1"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12</w:t>
            </w:r>
          </w:p>
        </w:tc>
      </w:tr>
      <w:tr w:rsidR="00BF468B" w:rsidRPr="0048634C" w14:paraId="00D00ECB" w14:textId="77777777" w:rsidTr="006C3FF4">
        <w:trPr>
          <w:trHeight w:val="585"/>
        </w:trPr>
        <w:tc>
          <w:tcPr>
            <w:tcW w:w="5384" w:type="dxa"/>
            <w:vAlign w:val="bottom"/>
          </w:tcPr>
          <w:p w14:paraId="306B802A"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Young person with disability (under 25 years)</w:t>
            </w:r>
          </w:p>
        </w:tc>
        <w:tc>
          <w:tcPr>
            <w:tcW w:w="2126" w:type="dxa"/>
            <w:vAlign w:val="bottom"/>
          </w:tcPr>
          <w:p w14:paraId="27209058"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3.81%</w:t>
            </w:r>
          </w:p>
        </w:tc>
        <w:tc>
          <w:tcPr>
            <w:tcW w:w="2268" w:type="dxa"/>
            <w:vAlign w:val="bottom"/>
          </w:tcPr>
          <w:p w14:paraId="274E4594"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8</w:t>
            </w:r>
          </w:p>
        </w:tc>
      </w:tr>
      <w:tr w:rsidR="00BF468B" w:rsidRPr="0048634C" w14:paraId="0A68591E" w14:textId="77777777" w:rsidTr="006C3FF4">
        <w:trPr>
          <w:trHeight w:val="585"/>
        </w:trPr>
        <w:tc>
          <w:tcPr>
            <w:tcW w:w="5384" w:type="dxa"/>
            <w:vAlign w:val="bottom"/>
          </w:tcPr>
          <w:p w14:paraId="48D434EC"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Older person with disability (65+ years)</w:t>
            </w:r>
          </w:p>
        </w:tc>
        <w:tc>
          <w:tcPr>
            <w:tcW w:w="2126" w:type="dxa"/>
            <w:vAlign w:val="bottom"/>
          </w:tcPr>
          <w:p w14:paraId="0FFF1DE7"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20.48%</w:t>
            </w:r>
          </w:p>
        </w:tc>
        <w:tc>
          <w:tcPr>
            <w:tcW w:w="2268" w:type="dxa"/>
            <w:vAlign w:val="bottom"/>
          </w:tcPr>
          <w:p w14:paraId="492ACF87"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43</w:t>
            </w:r>
          </w:p>
        </w:tc>
      </w:tr>
      <w:tr w:rsidR="00BF468B" w:rsidRPr="0048634C" w14:paraId="26246B14" w14:textId="77777777" w:rsidTr="006C3FF4">
        <w:trPr>
          <w:trHeight w:val="585"/>
        </w:trPr>
        <w:tc>
          <w:tcPr>
            <w:tcW w:w="5384" w:type="dxa"/>
            <w:vAlign w:val="bottom"/>
          </w:tcPr>
          <w:p w14:paraId="602F9D07"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A person living in a rural or remote area</w:t>
            </w:r>
          </w:p>
        </w:tc>
        <w:tc>
          <w:tcPr>
            <w:tcW w:w="2126" w:type="dxa"/>
            <w:vAlign w:val="bottom"/>
          </w:tcPr>
          <w:p w14:paraId="1DA7FA2D"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19.52%</w:t>
            </w:r>
          </w:p>
        </w:tc>
        <w:tc>
          <w:tcPr>
            <w:tcW w:w="2268" w:type="dxa"/>
            <w:vAlign w:val="bottom"/>
          </w:tcPr>
          <w:p w14:paraId="503541A6"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41</w:t>
            </w:r>
          </w:p>
        </w:tc>
      </w:tr>
      <w:tr w:rsidR="00BF468B" w:rsidRPr="0048634C" w14:paraId="354F1F35" w14:textId="77777777" w:rsidTr="006C3FF4">
        <w:trPr>
          <w:trHeight w:val="585"/>
        </w:trPr>
        <w:tc>
          <w:tcPr>
            <w:tcW w:w="5384" w:type="dxa"/>
            <w:vAlign w:val="bottom"/>
          </w:tcPr>
          <w:p w14:paraId="5E2C95B6"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I prefer not to say</w:t>
            </w:r>
          </w:p>
        </w:tc>
        <w:tc>
          <w:tcPr>
            <w:tcW w:w="2126" w:type="dxa"/>
            <w:vAlign w:val="bottom"/>
          </w:tcPr>
          <w:p w14:paraId="6F7850D7"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5.24%</w:t>
            </w:r>
          </w:p>
        </w:tc>
        <w:tc>
          <w:tcPr>
            <w:tcW w:w="2268" w:type="dxa"/>
            <w:vAlign w:val="bottom"/>
          </w:tcPr>
          <w:p w14:paraId="75C22D41"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11</w:t>
            </w:r>
          </w:p>
        </w:tc>
      </w:tr>
      <w:tr w:rsidR="00BF468B" w:rsidRPr="0048634C" w14:paraId="3C5E8FEF" w14:textId="77777777" w:rsidTr="006C3FF4">
        <w:trPr>
          <w:trHeight w:val="277"/>
        </w:trPr>
        <w:tc>
          <w:tcPr>
            <w:tcW w:w="5384" w:type="dxa"/>
            <w:vAlign w:val="bottom"/>
          </w:tcPr>
          <w:p w14:paraId="376D1330"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Other (please describe):</w:t>
            </w:r>
          </w:p>
        </w:tc>
        <w:tc>
          <w:tcPr>
            <w:tcW w:w="2126" w:type="dxa"/>
            <w:vAlign w:val="bottom"/>
          </w:tcPr>
          <w:p w14:paraId="6E85F798"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13.33%</w:t>
            </w:r>
          </w:p>
        </w:tc>
        <w:tc>
          <w:tcPr>
            <w:tcW w:w="2268" w:type="dxa"/>
            <w:vAlign w:val="bottom"/>
          </w:tcPr>
          <w:p w14:paraId="24787649" w14:textId="77777777" w:rsidR="00BF468B" w:rsidRPr="00832CE6"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28</w:t>
            </w:r>
          </w:p>
        </w:tc>
      </w:tr>
    </w:tbl>
    <w:p w14:paraId="12C48D42" w14:textId="77777777" w:rsidR="00BF468B" w:rsidRDefault="00BF468B" w:rsidP="00BF468B">
      <w:pPr>
        <w:pStyle w:val="BodyText"/>
      </w:pPr>
      <w:r w:rsidRPr="3B2127CB">
        <w:rPr>
          <w:b/>
          <w:bCs/>
        </w:rPr>
        <w:t>Comments</w:t>
      </w:r>
      <w:r>
        <w:t xml:space="preserve">: </w:t>
      </w:r>
    </w:p>
    <w:p w14:paraId="196BD0C1" w14:textId="77777777" w:rsidR="00BF468B" w:rsidRPr="001F6246" w:rsidRDefault="00BF468B" w:rsidP="00BF468B">
      <w:pPr>
        <w:pStyle w:val="BodyText"/>
        <w:numPr>
          <w:ilvl w:val="0"/>
          <w:numId w:val="15"/>
        </w:numPr>
      </w:pPr>
      <w:r w:rsidRPr="001F6246">
        <w:t>Women and girls with disability made up most respondents (</w:t>
      </w:r>
      <w:r w:rsidRPr="00832CE6">
        <w:rPr>
          <w:color w:val="auto"/>
        </w:rPr>
        <w:t>63.81%</w:t>
      </w:r>
    </w:p>
    <w:p w14:paraId="5834434B" w14:textId="77777777" w:rsidR="00BF468B" w:rsidRPr="001F6246" w:rsidRDefault="00BF468B" w:rsidP="00BF468B">
      <w:pPr>
        <w:pStyle w:val="BodyText"/>
        <w:numPr>
          <w:ilvl w:val="0"/>
          <w:numId w:val="15"/>
        </w:numPr>
      </w:pPr>
      <w:r w:rsidRPr="3B2127CB">
        <w:rPr>
          <w:color w:val="auto"/>
        </w:rPr>
        <w:t xml:space="preserve">23.33% of respondents identify as </w:t>
      </w:r>
      <w:r>
        <w:t xml:space="preserve">LGBTQIA+ and </w:t>
      </w:r>
      <w:r w:rsidRPr="3B2127CB">
        <w:rPr>
          <w:color w:val="auto"/>
        </w:rPr>
        <w:t>5.71%</w:t>
      </w:r>
      <w:r>
        <w:t>% as trans and/or gender diverse.</w:t>
      </w:r>
    </w:p>
    <w:p w14:paraId="68068383" w14:textId="77777777" w:rsidR="00BF468B" w:rsidRPr="001F6246" w:rsidRDefault="00BF468B" w:rsidP="00BF468B">
      <w:pPr>
        <w:pStyle w:val="BodyText"/>
        <w:numPr>
          <w:ilvl w:val="0"/>
          <w:numId w:val="15"/>
        </w:numPr>
      </w:pPr>
      <w:r w:rsidRPr="3B2127CB">
        <w:rPr>
          <w:color w:val="auto"/>
        </w:rPr>
        <w:lastRenderedPageBreak/>
        <w:t xml:space="preserve">11.90% </w:t>
      </w:r>
      <w:r>
        <w:t xml:space="preserve">as CALD and </w:t>
      </w:r>
      <w:r w:rsidRPr="3B2127CB">
        <w:rPr>
          <w:color w:val="auto"/>
        </w:rPr>
        <w:t>3.81%</w:t>
      </w:r>
      <w:r>
        <w:t>First Nations.</w:t>
      </w:r>
    </w:p>
    <w:p w14:paraId="5CF02EAD" w14:textId="77777777" w:rsidR="00BF468B" w:rsidRDefault="00BF468B" w:rsidP="00BF468B">
      <w:pPr>
        <w:pStyle w:val="BodyText"/>
        <w:numPr>
          <w:ilvl w:val="0"/>
          <w:numId w:val="15"/>
        </w:numPr>
      </w:pPr>
      <w:r w:rsidRPr="3B2127CB">
        <w:rPr>
          <w:color w:val="auto"/>
        </w:rPr>
        <w:t xml:space="preserve">19.52% </w:t>
      </w:r>
      <w:r>
        <w:t>came from rural or remote areas.</w:t>
      </w:r>
    </w:p>
    <w:p w14:paraId="053B86E1" w14:textId="77777777" w:rsidR="00BF468B" w:rsidRPr="00566657" w:rsidRDefault="00BF468B" w:rsidP="00BF468B">
      <w:pPr>
        <w:pStyle w:val="BodyText"/>
        <w:numPr>
          <w:ilvl w:val="0"/>
          <w:numId w:val="15"/>
        </w:numPr>
      </w:pPr>
      <w:r w:rsidRPr="00832CE6">
        <w:rPr>
          <w:color w:val="auto"/>
        </w:rPr>
        <w:t>3.81%</w:t>
      </w:r>
      <w:r>
        <w:rPr>
          <w:color w:val="auto"/>
        </w:rPr>
        <w:t xml:space="preserve"> of people identify as a y</w:t>
      </w:r>
      <w:r w:rsidRPr="00832CE6">
        <w:rPr>
          <w:color w:val="auto"/>
        </w:rPr>
        <w:t>oung person with disability (under 25 years)</w:t>
      </w:r>
    </w:p>
    <w:p w14:paraId="57B22C05" w14:textId="77777777" w:rsidR="00BF468B" w:rsidRPr="005A78C4" w:rsidRDefault="00BF468B" w:rsidP="00BF468B">
      <w:pPr>
        <w:pStyle w:val="Heading4"/>
      </w:pPr>
      <w:r w:rsidRPr="005A78C4">
        <w:t xml:space="preserve">Question </w:t>
      </w:r>
      <w:r>
        <w:t>19</w:t>
      </w:r>
      <w:r w:rsidRPr="005A78C4">
        <w:t>: Where do you live in Australia?</w:t>
      </w:r>
    </w:p>
    <w:p w14:paraId="694FA430" w14:textId="77777777" w:rsidR="00BF468B" w:rsidRDefault="00BF468B" w:rsidP="00BF468B">
      <w:pPr>
        <w:pStyle w:val="BodyText"/>
        <w:spacing w:line="336" w:lineRule="auto"/>
        <w:rPr>
          <w:lang w:val="en-AU"/>
        </w:rPr>
      </w:pPr>
      <w:proofErr w:type="gramStart"/>
      <w:r>
        <w:t>Answered</w:t>
      </w:r>
      <w:proofErr w:type="gramEnd"/>
      <w:r>
        <w:t>: 229. Skipped: 40</w:t>
      </w:r>
    </w:p>
    <w:tbl>
      <w:tblPr>
        <w:tblW w:w="0" w:type="auto"/>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2845"/>
        <w:gridCol w:w="1591"/>
        <w:gridCol w:w="2035"/>
      </w:tblGrid>
      <w:tr w:rsidR="00BF468B" w:rsidRPr="00F52849" w14:paraId="6E674A70" w14:textId="77777777" w:rsidTr="006C3FF4">
        <w:trPr>
          <w:trHeight w:val="270"/>
          <w:jc w:val="center"/>
        </w:trPr>
        <w:tc>
          <w:tcPr>
            <w:tcW w:w="2845" w:type="dxa"/>
            <w:shd w:val="clear" w:color="auto" w:fill="00B0F0"/>
          </w:tcPr>
          <w:p w14:paraId="2F5AC69D" w14:textId="77777777" w:rsidR="00BF468B" w:rsidRPr="00F52849" w:rsidRDefault="00BF468B" w:rsidP="006C3FF4">
            <w:pPr>
              <w:pStyle w:val="TableParagraph"/>
              <w:spacing w:before="0" w:line="336" w:lineRule="auto"/>
              <w:jc w:val="center"/>
              <w:rPr>
                <w:rFonts w:asciiTheme="minorHAnsi" w:hAnsiTheme="minorHAnsi" w:cstheme="minorBidi"/>
              </w:rPr>
            </w:pPr>
            <w:r w:rsidRPr="3B2127CB">
              <w:rPr>
                <w:rFonts w:asciiTheme="minorHAnsi" w:hAnsiTheme="minorHAnsi" w:cstheme="minorBidi"/>
                <w:b/>
                <w:bCs/>
                <w:spacing w:val="-2"/>
              </w:rPr>
              <w:t>Answer Choices</w:t>
            </w:r>
          </w:p>
        </w:tc>
        <w:tc>
          <w:tcPr>
            <w:tcW w:w="1591" w:type="dxa"/>
            <w:shd w:val="clear" w:color="auto" w:fill="00B0F0"/>
          </w:tcPr>
          <w:p w14:paraId="48825492" w14:textId="77777777" w:rsidR="00BF468B" w:rsidRPr="00F52849" w:rsidRDefault="00BF468B" w:rsidP="006C3FF4">
            <w:pPr>
              <w:pStyle w:val="TableParagraph"/>
              <w:spacing w:before="14" w:line="336" w:lineRule="auto"/>
              <w:ind w:left="9"/>
              <w:jc w:val="center"/>
              <w:rPr>
                <w:rFonts w:asciiTheme="minorHAnsi" w:hAnsiTheme="minorHAnsi" w:cstheme="minorBidi"/>
                <w:b/>
                <w:bCs/>
              </w:rPr>
            </w:pPr>
            <w:r w:rsidRPr="3B2127CB">
              <w:rPr>
                <w:rFonts w:asciiTheme="minorHAnsi" w:hAnsiTheme="minorHAnsi" w:cstheme="minorBidi"/>
                <w:b/>
                <w:bCs/>
                <w:spacing w:val="-2"/>
              </w:rPr>
              <w:t>TOTAL</w:t>
            </w:r>
          </w:p>
        </w:tc>
        <w:tc>
          <w:tcPr>
            <w:tcW w:w="2035" w:type="dxa"/>
            <w:tcBorders>
              <w:top w:val="nil"/>
            </w:tcBorders>
            <w:shd w:val="clear" w:color="auto" w:fill="45B97C" w:themeFill="accent4"/>
          </w:tcPr>
          <w:p w14:paraId="4AF32F38" w14:textId="77777777" w:rsidR="00BF468B" w:rsidRPr="00F52849" w:rsidRDefault="00BF468B" w:rsidP="006C3FF4">
            <w:pPr>
              <w:pStyle w:val="TableParagraph"/>
              <w:spacing w:before="14" w:line="336" w:lineRule="auto"/>
              <w:jc w:val="center"/>
              <w:rPr>
                <w:rFonts w:asciiTheme="minorHAnsi" w:hAnsiTheme="minorHAnsi" w:cstheme="minorBidi"/>
                <w:b/>
                <w:bCs/>
              </w:rPr>
            </w:pPr>
            <w:r w:rsidRPr="3B2127CB">
              <w:rPr>
                <w:rFonts w:asciiTheme="minorHAnsi" w:hAnsiTheme="minorHAnsi" w:cstheme="minorBidi"/>
                <w:b/>
                <w:bCs/>
              </w:rPr>
              <w:t>QTY</w:t>
            </w:r>
          </w:p>
        </w:tc>
      </w:tr>
      <w:tr w:rsidR="00BF468B" w:rsidRPr="00F52849" w14:paraId="252BC7DC" w14:textId="77777777" w:rsidTr="006C3FF4">
        <w:trPr>
          <w:trHeight w:val="385"/>
          <w:jc w:val="center"/>
        </w:trPr>
        <w:tc>
          <w:tcPr>
            <w:tcW w:w="2845" w:type="dxa"/>
            <w:vAlign w:val="bottom"/>
          </w:tcPr>
          <w:p w14:paraId="0B9F9564" w14:textId="77777777" w:rsidR="00BF468B" w:rsidRPr="00823F2D"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Major City</w:t>
            </w:r>
          </w:p>
        </w:tc>
        <w:tc>
          <w:tcPr>
            <w:tcW w:w="1591" w:type="dxa"/>
            <w:vAlign w:val="bottom"/>
          </w:tcPr>
          <w:p w14:paraId="0432C39F" w14:textId="77777777" w:rsidR="00BF468B" w:rsidRPr="00823F2D" w:rsidRDefault="00BF468B" w:rsidP="006C3FF4">
            <w:pPr>
              <w:pStyle w:val="TableParagraph"/>
              <w:spacing w:line="336" w:lineRule="auto"/>
              <w:ind w:left="112" w:right="4"/>
              <w:jc w:val="center"/>
              <w:rPr>
                <w:rFonts w:asciiTheme="minorHAnsi" w:hAnsiTheme="minorHAnsi" w:cstheme="minorBidi"/>
                <w:spacing w:val="-5"/>
              </w:rPr>
            </w:pPr>
            <w:r w:rsidRPr="3B2127CB">
              <w:rPr>
                <w:rFonts w:ascii="Arial" w:hAnsi="Arial" w:cs="Arial"/>
              </w:rPr>
              <w:t>58.52%</w:t>
            </w:r>
          </w:p>
        </w:tc>
        <w:tc>
          <w:tcPr>
            <w:tcW w:w="2035" w:type="dxa"/>
            <w:vAlign w:val="bottom"/>
          </w:tcPr>
          <w:p w14:paraId="2A875745" w14:textId="77777777" w:rsidR="00BF468B" w:rsidRPr="00823F2D" w:rsidRDefault="00BF468B" w:rsidP="006C3FF4">
            <w:pPr>
              <w:pStyle w:val="TableParagraph"/>
              <w:spacing w:line="336" w:lineRule="auto"/>
              <w:ind w:left="112" w:right="6"/>
              <w:jc w:val="center"/>
              <w:rPr>
                <w:rFonts w:asciiTheme="minorHAnsi" w:hAnsiTheme="minorHAnsi" w:cstheme="minorBidi"/>
                <w:spacing w:val="-5"/>
              </w:rPr>
            </w:pPr>
            <w:r w:rsidRPr="3B2127CB">
              <w:rPr>
                <w:rFonts w:ascii="Arial" w:hAnsi="Arial" w:cs="Arial"/>
              </w:rPr>
              <w:t>134</w:t>
            </w:r>
          </w:p>
        </w:tc>
      </w:tr>
      <w:tr w:rsidR="00BF468B" w:rsidRPr="00F52849" w14:paraId="6332B12D" w14:textId="77777777" w:rsidTr="006C3FF4">
        <w:trPr>
          <w:trHeight w:val="390"/>
          <w:jc w:val="center"/>
        </w:trPr>
        <w:tc>
          <w:tcPr>
            <w:tcW w:w="2845" w:type="dxa"/>
            <w:vAlign w:val="bottom"/>
          </w:tcPr>
          <w:p w14:paraId="1B9F1BF0" w14:textId="77777777" w:rsidR="00BF468B" w:rsidRPr="00823F2D"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Rural or regional area</w:t>
            </w:r>
          </w:p>
        </w:tc>
        <w:tc>
          <w:tcPr>
            <w:tcW w:w="1591" w:type="dxa"/>
            <w:vAlign w:val="bottom"/>
          </w:tcPr>
          <w:p w14:paraId="41FF97EF" w14:textId="77777777" w:rsidR="00BF468B" w:rsidRPr="00823F2D" w:rsidRDefault="00BF468B" w:rsidP="006C3FF4">
            <w:pPr>
              <w:pStyle w:val="TableParagraph"/>
              <w:spacing w:line="336" w:lineRule="auto"/>
              <w:ind w:left="112" w:right="4"/>
              <w:jc w:val="center"/>
              <w:rPr>
                <w:rFonts w:asciiTheme="minorHAnsi" w:hAnsiTheme="minorHAnsi" w:cstheme="minorBidi"/>
                <w:spacing w:val="-5"/>
              </w:rPr>
            </w:pPr>
            <w:r w:rsidRPr="3B2127CB">
              <w:rPr>
                <w:rFonts w:ascii="Arial" w:hAnsi="Arial" w:cs="Arial"/>
              </w:rPr>
              <w:t>36.68%</w:t>
            </w:r>
          </w:p>
        </w:tc>
        <w:tc>
          <w:tcPr>
            <w:tcW w:w="2035" w:type="dxa"/>
            <w:vAlign w:val="bottom"/>
          </w:tcPr>
          <w:p w14:paraId="05748C30" w14:textId="77777777" w:rsidR="00BF468B" w:rsidRPr="00823F2D" w:rsidRDefault="00BF468B" w:rsidP="006C3FF4">
            <w:pPr>
              <w:pStyle w:val="TableParagraph"/>
              <w:spacing w:line="336" w:lineRule="auto"/>
              <w:ind w:left="112" w:right="6"/>
              <w:jc w:val="center"/>
              <w:rPr>
                <w:rFonts w:asciiTheme="minorHAnsi" w:hAnsiTheme="minorHAnsi" w:cstheme="minorBidi"/>
                <w:spacing w:val="-5"/>
              </w:rPr>
            </w:pPr>
            <w:r w:rsidRPr="3B2127CB">
              <w:rPr>
                <w:rFonts w:ascii="Arial" w:hAnsi="Arial" w:cs="Arial"/>
              </w:rPr>
              <w:t>84</w:t>
            </w:r>
          </w:p>
        </w:tc>
      </w:tr>
      <w:tr w:rsidR="00BF468B" w:rsidRPr="00F52849" w14:paraId="1AB14840" w14:textId="77777777" w:rsidTr="006C3FF4">
        <w:trPr>
          <w:trHeight w:val="390"/>
          <w:jc w:val="center"/>
        </w:trPr>
        <w:tc>
          <w:tcPr>
            <w:tcW w:w="2845" w:type="dxa"/>
            <w:vAlign w:val="bottom"/>
          </w:tcPr>
          <w:p w14:paraId="2AC3FDD7" w14:textId="77777777" w:rsidR="00BF468B" w:rsidRPr="00823F2D"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Remote area</w:t>
            </w:r>
          </w:p>
        </w:tc>
        <w:tc>
          <w:tcPr>
            <w:tcW w:w="1591" w:type="dxa"/>
            <w:vAlign w:val="bottom"/>
          </w:tcPr>
          <w:p w14:paraId="3BEDE990" w14:textId="77777777" w:rsidR="00BF468B" w:rsidRPr="00823F2D" w:rsidRDefault="00BF468B" w:rsidP="006C3FF4">
            <w:pPr>
              <w:pStyle w:val="TableParagraph"/>
              <w:spacing w:line="336" w:lineRule="auto"/>
              <w:ind w:left="112" w:right="4"/>
              <w:jc w:val="center"/>
              <w:rPr>
                <w:rFonts w:asciiTheme="minorHAnsi" w:hAnsiTheme="minorHAnsi" w:cstheme="minorBidi"/>
                <w:spacing w:val="-5"/>
              </w:rPr>
            </w:pPr>
            <w:r w:rsidRPr="3B2127CB">
              <w:rPr>
                <w:rFonts w:ascii="Arial" w:hAnsi="Arial" w:cs="Arial"/>
              </w:rPr>
              <w:t>0.44%</w:t>
            </w:r>
          </w:p>
        </w:tc>
        <w:tc>
          <w:tcPr>
            <w:tcW w:w="2035" w:type="dxa"/>
            <w:vAlign w:val="bottom"/>
          </w:tcPr>
          <w:p w14:paraId="31260597" w14:textId="77777777" w:rsidR="00BF468B" w:rsidRPr="00823F2D" w:rsidRDefault="00BF468B" w:rsidP="006C3FF4">
            <w:pPr>
              <w:pStyle w:val="TableParagraph"/>
              <w:spacing w:line="336" w:lineRule="auto"/>
              <w:ind w:left="112" w:right="6"/>
              <w:jc w:val="center"/>
              <w:rPr>
                <w:rFonts w:asciiTheme="minorHAnsi" w:hAnsiTheme="minorHAnsi" w:cstheme="minorBidi"/>
                <w:spacing w:val="-5"/>
              </w:rPr>
            </w:pPr>
            <w:r w:rsidRPr="3B2127CB">
              <w:rPr>
                <w:rFonts w:ascii="Arial" w:hAnsi="Arial" w:cs="Arial"/>
              </w:rPr>
              <w:t>1</w:t>
            </w:r>
          </w:p>
        </w:tc>
      </w:tr>
      <w:tr w:rsidR="00BF468B" w:rsidRPr="00F52849" w14:paraId="0EE1060C" w14:textId="77777777" w:rsidTr="006C3FF4">
        <w:trPr>
          <w:trHeight w:val="390"/>
          <w:jc w:val="center"/>
        </w:trPr>
        <w:tc>
          <w:tcPr>
            <w:tcW w:w="2845" w:type="dxa"/>
            <w:vAlign w:val="bottom"/>
          </w:tcPr>
          <w:p w14:paraId="1E2D834A" w14:textId="77777777" w:rsidR="00BF468B" w:rsidRPr="00823F2D"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I prefer not to say</w:t>
            </w:r>
          </w:p>
        </w:tc>
        <w:tc>
          <w:tcPr>
            <w:tcW w:w="1591" w:type="dxa"/>
            <w:vAlign w:val="bottom"/>
          </w:tcPr>
          <w:p w14:paraId="53125EA9" w14:textId="77777777" w:rsidR="00BF468B" w:rsidRPr="00823F2D" w:rsidRDefault="00BF468B" w:rsidP="006C3FF4">
            <w:pPr>
              <w:pStyle w:val="TableParagraph"/>
              <w:spacing w:line="336" w:lineRule="auto"/>
              <w:ind w:left="112" w:right="4"/>
              <w:jc w:val="center"/>
              <w:rPr>
                <w:rFonts w:asciiTheme="minorHAnsi" w:hAnsiTheme="minorHAnsi" w:cstheme="minorBidi"/>
                <w:spacing w:val="-5"/>
              </w:rPr>
            </w:pPr>
            <w:r w:rsidRPr="3B2127CB">
              <w:rPr>
                <w:rFonts w:ascii="Arial" w:hAnsi="Arial" w:cs="Arial"/>
              </w:rPr>
              <w:t>2.62%</w:t>
            </w:r>
          </w:p>
        </w:tc>
        <w:tc>
          <w:tcPr>
            <w:tcW w:w="2035" w:type="dxa"/>
            <w:vAlign w:val="bottom"/>
          </w:tcPr>
          <w:p w14:paraId="02C65CC1" w14:textId="77777777" w:rsidR="00BF468B" w:rsidRPr="00823F2D" w:rsidRDefault="00BF468B" w:rsidP="006C3FF4">
            <w:pPr>
              <w:pStyle w:val="TableParagraph"/>
              <w:spacing w:line="336" w:lineRule="auto"/>
              <w:ind w:left="112" w:right="6"/>
              <w:jc w:val="center"/>
              <w:rPr>
                <w:rFonts w:asciiTheme="minorHAnsi" w:hAnsiTheme="minorHAnsi" w:cstheme="minorBidi"/>
                <w:spacing w:val="-5"/>
              </w:rPr>
            </w:pPr>
            <w:r w:rsidRPr="3B2127CB">
              <w:rPr>
                <w:rFonts w:ascii="Arial" w:hAnsi="Arial" w:cs="Arial"/>
              </w:rPr>
              <w:t>6</w:t>
            </w:r>
          </w:p>
        </w:tc>
      </w:tr>
      <w:tr w:rsidR="00BF468B" w:rsidRPr="00F52849" w14:paraId="0C0B411B" w14:textId="77777777" w:rsidTr="006C3FF4">
        <w:trPr>
          <w:trHeight w:val="390"/>
          <w:jc w:val="center"/>
        </w:trPr>
        <w:tc>
          <w:tcPr>
            <w:tcW w:w="2845" w:type="dxa"/>
            <w:vAlign w:val="bottom"/>
          </w:tcPr>
          <w:p w14:paraId="69B1BB19" w14:textId="77777777" w:rsidR="00BF468B" w:rsidRPr="00823F2D"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Other (please describe):</w:t>
            </w:r>
          </w:p>
        </w:tc>
        <w:tc>
          <w:tcPr>
            <w:tcW w:w="1591" w:type="dxa"/>
            <w:vAlign w:val="bottom"/>
          </w:tcPr>
          <w:p w14:paraId="62639C86" w14:textId="77777777" w:rsidR="00BF468B" w:rsidRPr="00823F2D" w:rsidRDefault="00BF468B" w:rsidP="006C3FF4">
            <w:pPr>
              <w:pStyle w:val="TableParagraph"/>
              <w:spacing w:line="336" w:lineRule="auto"/>
              <w:ind w:left="112" w:right="4"/>
              <w:jc w:val="center"/>
              <w:rPr>
                <w:rFonts w:asciiTheme="minorHAnsi" w:hAnsiTheme="minorHAnsi" w:cstheme="minorBidi"/>
                <w:spacing w:val="-5"/>
              </w:rPr>
            </w:pPr>
            <w:r w:rsidRPr="3B2127CB">
              <w:rPr>
                <w:rFonts w:ascii="Arial" w:hAnsi="Arial" w:cs="Arial"/>
              </w:rPr>
              <w:t>1.75%</w:t>
            </w:r>
          </w:p>
        </w:tc>
        <w:tc>
          <w:tcPr>
            <w:tcW w:w="2035" w:type="dxa"/>
            <w:vAlign w:val="bottom"/>
          </w:tcPr>
          <w:p w14:paraId="2278B6D8" w14:textId="77777777" w:rsidR="00BF468B" w:rsidRPr="00823F2D" w:rsidRDefault="00BF468B" w:rsidP="006C3FF4">
            <w:pPr>
              <w:pStyle w:val="TableParagraph"/>
              <w:spacing w:line="336" w:lineRule="auto"/>
              <w:ind w:left="112" w:right="6"/>
              <w:jc w:val="center"/>
              <w:rPr>
                <w:rFonts w:asciiTheme="minorHAnsi" w:hAnsiTheme="minorHAnsi" w:cstheme="minorBidi"/>
                <w:spacing w:val="-5"/>
              </w:rPr>
            </w:pPr>
            <w:r w:rsidRPr="3B2127CB">
              <w:rPr>
                <w:rFonts w:ascii="Arial" w:hAnsi="Arial" w:cs="Arial"/>
              </w:rPr>
              <w:t>4</w:t>
            </w:r>
          </w:p>
        </w:tc>
      </w:tr>
    </w:tbl>
    <w:p w14:paraId="26CD6AF9" w14:textId="77777777" w:rsidR="00BF468B" w:rsidRDefault="00BF468B" w:rsidP="00BF468B">
      <w:pPr>
        <w:pStyle w:val="BodyText"/>
        <w:spacing w:line="336" w:lineRule="auto"/>
        <w:rPr>
          <w:b/>
          <w:bCs/>
          <w:lang w:val="en-AU"/>
        </w:rPr>
      </w:pPr>
      <w:r w:rsidRPr="3B2127CB">
        <w:rPr>
          <w:b/>
          <w:bCs/>
        </w:rPr>
        <w:t>Comments:</w:t>
      </w:r>
    </w:p>
    <w:p w14:paraId="318D94D8" w14:textId="77777777" w:rsidR="00BF468B" w:rsidRPr="005500A5" w:rsidRDefault="00BF468B" w:rsidP="00BF468B">
      <w:pPr>
        <w:pStyle w:val="BodyText"/>
        <w:numPr>
          <w:ilvl w:val="0"/>
          <w:numId w:val="16"/>
        </w:numPr>
        <w:spacing w:line="336" w:lineRule="auto"/>
        <w:rPr>
          <w:lang w:val="en-AU"/>
        </w:rPr>
      </w:pPr>
      <w:r>
        <w:t>Most respondents (</w:t>
      </w:r>
      <w:r w:rsidRPr="3B2127CB">
        <w:rPr>
          <w:color w:val="auto"/>
        </w:rPr>
        <w:t xml:space="preserve">58.52%) </w:t>
      </w:r>
      <w:r>
        <w:t>live in major cities</w:t>
      </w:r>
    </w:p>
    <w:p w14:paraId="1F93F9C3" w14:textId="77777777" w:rsidR="00BF468B" w:rsidRPr="005500A5" w:rsidRDefault="00BF468B" w:rsidP="00BF468B">
      <w:pPr>
        <w:pStyle w:val="BodyText"/>
        <w:numPr>
          <w:ilvl w:val="0"/>
          <w:numId w:val="16"/>
        </w:numPr>
        <w:spacing w:line="336" w:lineRule="auto"/>
        <w:rPr>
          <w:lang w:val="en-AU"/>
        </w:rPr>
      </w:pPr>
      <w:r>
        <w:t>Over one-third (</w:t>
      </w:r>
      <w:r w:rsidRPr="3B2127CB">
        <w:rPr>
          <w:color w:val="auto"/>
        </w:rPr>
        <w:t>36.68</w:t>
      </w:r>
      <w:r>
        <w:t>%) live in rural or regional areas</w:t>
      </w:r>
    </w:p>
    <w:p w14:paraId="0AE178C6" w14:textId="77777777" w:rsidR="00BF468B" w:rsidRDefault="00BF468B" w:rsidP="00BF468B">
      <w:pPr>
        <w:pStyle w:val="BodyText"/>
        <w:numPr>
          <w:ilvl w:val="0"/>
          <w:numId w:val="16"/>
        </w:numPr>
        <w:spacing w:line="336" w:lineRule="auto"/>
        <w:rPr>
          <w:lang w:val="en-AU"/>
        </w:rPr>
      </w:pPr>
      <w:r>
        <w:t>Only one person identified as living in a remote area.</w:t>
      </w:r>
    </w:p>
    <w:p w14:paraId="06E2E99F" w14:textId="77777777" w:rsidR="00BF468B" w:rsidRPr="004D7CE7" w:rsidRDefault="00BF468B" w:rsidP="00BF468B">
      <w:pPr>
        <w:pStyle w:val="Heading4"/>
      </w:pPr>
      <w:r>
        <w:br w:type="page"/>
      </w:r>
      <w:r>
        <w:lastRenderedPageBreak/>
        <w:t>Question 20: What is your age group? (tick one)</w:t>
      </w:r>
    </w:p>
    <w:p w14:paraId="4A293A40" w14:textId="77777777" w:rsidR="00BF468B" w:rsidRPr="007E02DD" w:rsidRDefault="00BF468B" w:rsidP="00BF468B">
      <w:pPr>
        <w:pStyle w:val="BodyText"/>
        <w:spacing w:line="336" w:lineRule="auto"/>
        <w:rPr>
          <w:lang w:val="en-AU"/>
        </w:rPr>
      </w:pPr>
      <w:proofErr w:type="gramStart"/>
      <w:r>
        <w:t>Answered</w:t>
      </w:r>
      <w:proofErr w:type="gramEnd"/>
      <w:r>
        <w:t>: 230. Skipped: 39</w:t>
      </w:r>
    </w:p>
    <w:tbl>
      <w:tblPr>
        <w:tblW w:w="6099" w:type="dxa"/>
        <w:jc w:val="center"/>
        <w:tblBorders>
          <w:top w:val="single" w:sz="2" w:space="0" w:color="7E7E7E"/>
          <w:left w:val="single" w:sz="2" w:space="0" w:color="7E7E7E"/>
          <w:bottom w:val="single" w:sz="2" w:space="0" w:color="7E7E7E"/>
          <w:right w:val="single" w:sz="2" w:space="0" w:color="7E7E7E"/>
          <w:insideH w:val="single" w:sz="2" w:space="0" w:color="7E7E7E"/>
          <w:insideV w:val="single" w:sz="2" w:space="0" w:color="7E7E7E"/>
        </w:tblBorders>
        <w:tblLayout w:type="fixed"/>
        <w:tblCellMar>
          <w:left w:w="0" w:type="dxa"/>
          <w:right w:w="0" w:type="dxa"/>
        </w:tblCellMar>
        <w:tblLook w:val="01E0" w:firstRow="1" w:lastRow="1" w:firstColumn="1" w:lastColumn="1" w:noHBand="0" w:noVBand="0"/>
      </w:tblPr>
      <w:tblGrid>
        <w:gridCol w:w="2130"/>
        <w:gridCol w:w="1843"/>
        <w:gridCol w:w="2126"/>
      </w:tblGrid>
      <w:tr w:rsidR="00BF468B" w:rsidRPr="00F52849" w14:paraId="725B497F" w14:textId="77777777" w:rsidTr="006C3FF4">
        <w:trPr>
          <w:trHeight w:val="485"/>
          <w:jc w:val="center"/>
        </w:trPr>
        <w:tc>
          <w:tcPr>
            <w:tcW w:w="2130" w:type="dxa"/>
            <w:shd w:val="clear" w:color="auto" w:fill="00B0F0"/>
          </w:tcPr>
          <w:p w14:paraId="2AAC79A6" w14:textId="77777777" w:rsidR="00BF468B" w:rsidRPr="00F52849" w:rsidRDefault="00BF468B" w:rsidP="006C3FF4">
            <w:pPr>
              <w:pStyle w:val="TableParagraph"/>
              <w:spacing w:before="0" w:line="336" w:lineRule="auto"/>
              <w:rPr>
                <w:rFonts w:asciiTheme="minorHAnsi" w:hAnsiTheme="minorHAnsi" w:cstheme="minorBidi"/>
              </w:rPr>
            </w:pPr>
          </w:p>
        </w:tc>
        <w:tc>
          <w:tcPr>
            <w:tcW w:w="1843" w:type="dxa"/>
            <w:shd w:val="clear" w:color="auto" w:fill="00B0F0"/>
          </w:tcPr>
          <w:p w14:paraId="35C3AB53" w14:textId="77777777" w:rsidR="00BF468B" w:rsidRPr="00F52849" w:rsidRDefault="00BF468B" w:rsidP="006C3FF4">
            <w:pPr>
              <w:pStyle w:val="TableParagraph"/>
              <w:spacing w:before="125" w:line="336" w:lineRule="auto"/>
              <w:ind w:left="16" w:right="7"/>
              <w:jc w:val="center"/>
              <w:rPr>
                <w:rFonts w:asciiTheme="minorHAnsi" w:hAnsiTheme="minorHAnsi" w:cstheme="minorBidi"/>
                <w:b/>
                <w:bCs/>
              </w:rPr>
            </w:pPr>
            <w:r w:rsidRPr="3B2127CB">
              <w:rPr>
                <w:rFonts w:asciiTheme="minorHAnsi" w:hAnsiTheme="minorHAnsi" w:cstheme="minorBidi"/>
                <w:b/>
                <w:bCs/>
                <w:spacing w:val="-2"/>
              </w:rPr>
              <w:t>TOTAL</w:t>
            </w:r>
          </w:p>
        </w:tc>
        <w:tc>
          <w:tcPr>
            <w:tcW w:w="2126" w:type="dxa"/>
            <w:tcBorders>
              <w:top w:val="nil"/>
            </w:tcBorders>
            <w:shd w:val="clear" w:color="auto" w:fill="45B97C" w:themeFill="accent4"/>
          </w:tcPr>
          <w:p w14:paraId="2E9056B6" w14:textId="77777777" w:rsidR="00BF468B" w:rsidRPr="00F52849" w:rsidRDefault="00BF468B" w:rsidP="006C3FF4">
            <w:pPr>
              <w:pStyle w:val="TableParagraph"/>
              <w:spacing w:before="125" w:line="336" w:lineRule="auto"/>
              <w:ind w:left="18" w:right="1"/>
              <w:jc w:val="center"/>
              <w:rPr>
                <w:rFonts w:asciiTheme="minorHAnsi" w:hAnsiTheme="minorHAnsi" w:cstheme="minorBidi"/>
                <w:b/>
                <w:bCs/>
              </w:rPr>
            </w:pPr>
            <w:r w:rsidRPr="3B2127CB">
              <w:rPr>
                <w:rFonts w:asciiTheme="minorHAnsi" w:hAnsiTheme="minorHAnsi" w:cstheme="minorBidi"/>
                <w:b/>
                <w:bCs/>
              </w:rPr>
              <w:t>QTY</w:t>
            </w:r>
          </w:p>
        </w:tc>
      </w:tr>
      <w:tr w:rsidR="00BF468B" w:rsidRPr="00F52849" w14:paraId="4D9A54DF" w14:textId="77777777" w:rsidTr="006C3FF4">
        <w:trPr>
          <w:trHeight w:val="390"/>
          <w:jc w:val="center"/>
        </w:trPr>
        <w:tc>
          <w:tcPr>
            <w:tcW w:w="2130" w:type="dxa"/>
            <w:vAlign w:val="bottom"/>
          </w:tcPr>
          <w:p w14:paraId="331F94FC"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Under 18</w:t>
            </w:r>
          </w:p>
        </w:tc>
        <w:tc>
          <w:tcPr>
            <w:tcW w:w="1843" w:type="dxa"/>
            <w:vAlign w:val="bottom"/>
          </w:tcPr>
          <w:p w14:paraId="5DA34729"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0.00%</w:t>
            </w:r>
          </w:p>
        </w:tc>
        <w:tc>
          <w:tcPr>
            <w:tcW w:w="2126" w:type="dxa"/>
            <w:vAlign w:val="bottom"/>
          </w:tcPr>
          <w:p w14:paraId="5BEDD1E6"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0</w:t>
            </w:r>
          </w:p>
        </w:tc>
      </w:tr>
      <w:tr w:rsidR="00BF468B" w:rsidRPr="00F52849" w14:paraId="45F844DA" w14:textId="77777777" w:rsidTr="006C3FF4">
        <w:trPr>
          <w:trHeight w:val="390"/>
          <w:jc w:val="center"/>
        </w:trPr>
        <w:tc>
          <w:tcPr>
            <w:tcW w:w="2130" w:type="dxa"/>
            <w:vAlign w:val="bottom"/>
          </w:tcPr>
          <w:p w14:paraId="34B6D391"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18 - 24</w:t>
            </w:r>
          </w:p>
        </w:tc>
        <w:tc>
          <w:tcPr>
            <w:tcW w:w="1843" w:type="dxa"/>
            <w:vAlign w:val="bottom"/>
          </w:tcPr>
          <w:p w14:paraId="64DF325F"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2.61%</w:t>
            </w:r>
          </w:p>
        </w:tc>
        <w:tc>
          <w:tcPr>
            <w:tcW w:w="2126" w:type="dxa"/>
            <w:vAlign w:val="bottom"/>
          </w:tcPr>
          <w:p w14:paraId="619C5867"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6</w:t>
            </w:r>
          </w:p>
        </w:tc>
      </w:tr>
      <w:tr w:rsidR="00BF468B" w:rsidRPr="00F52849" w14:paraId="59AB854B" w14:textId="77777777" w:rsidTr="006C3FF4">
        <w:trPr>
          <w:trHeight w:val="390"/>
          <w:jc w:val="center"/>
        </w:trPr>
        <w:tc>
          <w:tcPr>
            <w:tcW w:w="2130" w:type="dxa"/>
            <w:vAlign w:val="bottom"/>
          </w:tcPr>
          <w:p w14:paraId="60764C70"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25 - 34</w:t>
            </w:r>
          </w:p>
        </w:tc>
        <w:tc>
          <w:tcPr>
            <w:tcW w:w="1843" w:type="dxa"/>
            <w:vAlign w:val="bottom"/>
          </w:tcPr>
          <w:p w14:paraId="355F5E72"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4.78%</w:t>
            </w:r>
          </w:p>
        </w:tc>
        <w:tc>
          <w:tcPr>
            <w:tcW w:w="2126" w:type="dxa"/>
            <w:vAlign w:val="bottom"/>
          </w:tcPr>
          <w:p w14:paraId="26B71BA0"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11</w:t>
            </w:r>
          </w:p>
        </w:tc>
      </w:tr>
      <w:tr w:rsidR="00BF468B" w:rsidRPr="00F52849" w14:paraId="2598953B" w14:textId="77777777" w:rsidTr="006C3FF4">
        <w:trPr>
          <w:trHeight w:val="385"/>
          <w:jc w:val="center"/>
        </w:trPr>
        <w:tc>
          <w:tcPr>
            <w:tcW w:w="2130" w:type="dxa"/>
            <w:vAlign w:val="bottom"/>
          </w:tcPr>
          <w:p w14:paraId="2425629E"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35 - 44</w:t>
            </w:r>
          </w:p>
        </w:tc>
        <w:tc>
          <w:tcPr>
            <w:tcW w:w="1843" w:type="dxa"/>
            <w:vAlign w:val="bottom"/>
          </w:tcPr>
          <w:p w14:paraId="49450F1B"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16.96%</w:t>
            </w:r>
          </w:p>
        </w:tc>
        <w:tc>
          <w:tcPr>
            <w:tcW w:w="2126" w:type="dxa"/>
            <w:vAlign w:val="bottom"/>
          </w:tcPr>
          <w:p w14:paraId="79615220"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39</w:t>
            </w:r>
          </w:p>
        </w:tc>
      </w:tr>
      <w:tr w:rsidR="00BF468B" w:rsidRPr="00F52849" w14:paraId="08F4821B" w14:textId="77777777" w:rsidTr="006C3FF4">
        <w:trPr>
          <w:trHeight w:val="385"/>
          <w:jc w:val="center"/>
        </w:trPr>
        <w:tc>
          <w:tcPr>
            <w:tcW w:w="2130" w:type="dxa"/>
            <w:vAlign w:val="bottom"/>
          </w:tcPr>
          <w:p w14:paraId="69A1B8CB"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45 - 54</w:t>
            </w:r>
          </w:p>
        </w:tc>
        <w:tc>
          <w:tcPr>
            <w:tcW w:w="1843" w:type="dxa"/>
            <w:vAlign w:val="bottom"/>
          </w:tcPr>
          <w:p w14:paraId="7C3B4512"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28.70%</w:t>
            </w:r>
          </w:p>
        </w:tc>
        <w:tc>
          <w:tcPr>
            <w:tcW w:w="2126" w:type="dxa"/>
            <w:vAlign w:val="bottom"/>
          </w:tcPr>
          <w:p w14:paraId="08D5B103"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66</w:t>
            </w:r>
          </w:p>
        </w:tc>
      </w:tr>
      <w:tr w:rsidR="00BF468B" w:rsidRPr="00F52849" w14:paraId="22E934D0" w14:textId="77777777" w:rsidTr="006C3FF4">
        <w:trPr>
          <w:trHeight w:val="385"/>
          <w:jc w:val="center"/>
        </w:trPr>
        <w:tc>
          <w:tcPr>
            <w:tcW w:w="2130" w:type="dxa"/>
            <w:vAlign w:val="bottom"/>
          </w:tcPr>
          <w:p w14:paraId="272FFA43"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55 - 64</w:t>
            </w:r>
          </w:p>
        </w:tc>
        <w:tc>
          <w:tcPr>
            <w:tcW w:w="1843" w:type="dxa"/>
            <w:vAlign w:val="bottom"/>
          </w:tcPr>
          <w:p w14:paraId="76A09582"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24.78%</w:t>
            </w:r>
          </w:p>
        </w:tc>
        <w:tc>
          <w:tcPr>
            <w:tcW w:w="2126" w:type="dxa"/>
            <w:vAlign w:val="bottom"/>
          </w:tcPr>
          <w:p w14:paraId="09948CC6"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57</w:t>
            </w:r>
          </w:p>
        </w:tc>
      </w:tr>
      <w:tr w:rsidR="00BF468B" w:rsidRPr="00F52849" w14:paraId="115A9E23" w14:textId="77777777" w:rsidTr="006C3FF4">
        <w:trPr>
          <w:trHeight w:val="385"/>
          <w:jc w:val="center"/>
        </w:trPr>
        <w:tc>
          <w:tcPr>
            <w:tcW w:w="2130" w:type="dxa"/>
            <w:vAlign w:val="bottom"/>
          </w:tcPr>
          <w:p w14:paraId="679BE1D5"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65+</w:t>
            </w:r>
          </w:p>
        </w:tc>
        <w:tc>
          <w:tcPr>
            <w:tcW w:w="1843" w:type="dxa"/>
            <w:vAlign w:val="bottom"/>
          </w:tcPr>
          <w:p w14:paraId="62339326"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21.30%</w:t>
            </w:r>
          </w:p>
        </w:tc>
        <w:tc>
          <w:tcPr>
            <w:tcW w:w="2126" w:type="dxa"/>
            <w:vAlign w:val="bottom"/>
          </w:tcPr>
          <w:p w14:paraId="6FA112C9"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49</w:t>
            </w:r>
          </w:p>
        </w:tc>
      </w:tr>
      <w:tr w:rsidR="00BF468B" w:rsidRPr="00F52849" w14:paraId="0F5E32D4" w14:textId="77777777" w:rsidTr="006C3FF4">
        <w:trPr>
          <w:trHeight w:val="385"/>
          <w:jc w:val="center"/>
        </w:trPr>
        <w:tc>
          <w:tcPr>
            <w:tcW w:w="2130" w:type="dxa"/>
            <w:vAlign w:val="bottom"/>
          </w:tcPr>
          <w:p w14:paraId="5C715498" w14:textId="77777777" w:rsidR="00BF468B" w:rsidRPr="009F1969" w:rsidRDefault="00BF468B" w:rsidP="006C3FF4">
            <w:pPr>
              <w:pStyle w:val="TableParagraph"/>
              <w:spacing w:line="336" w:lineRule="auto"/>
              <w:ind w:left="112"/>
              <w:jc w:val="center"/>
              <w:rPr>
                <w:rFonts w:asciiTheme="minorHAnsi" w:hAnsiTheme="minorHAnsi" w:cstheme="minorBidi"/>
                <w:spacing w:val="-5"/>
              </w:rPr>
            </w:pPr>
            <w:r w:rsidRPr="3B2127CB">
              <w:rPr>
                <w:rFonts w:ascii="Arial" w:hAnsi="Arial" w:cs="Arial"/>
              </w:rPr>
              <w:t>I prefer not to say</w:t>
            </w:r>
          </w:p>
        </w:tc>
        <w:tc>
          <w:tcPr>
            <w:tcW w:w="1843" w:type="dxa"/>
            <w:vAlign w:val="bottom"/>
          </w:tcPr>
          <w:p w14:paraId="02C727AF" w14:textId="77777777" w:rsidR="00BF468B" w:rsidRPr="009F1969" w:rsidRDefault="00BF468B" w:rsidP="006C3FF4">
            <w:pPr>
              <w:pStyle w:val="TableParagraph"/>
              <w:spacing w:line="336" w:lineRule="auto"/>
              <w:ind w:left="112" w:right="11"/>
              <w:jc w:val="center"/>
              <w:rPr>
                <w:rFonts w:asciiTheme="minorHAnsi" w:hAnsiTheme="minorHAnsi" w:cstheme="minorBidi"/>
                <w:spacing w:val="-5"/>
              </w:rPr>
            </w:pPr>
            <w:r w:rsidRPr="3B2127CB">
              <w:rPr>
                <w:rFonts w:ascii="Arial" w:hAnsi="Arial" w:cs="Arial"/>
              </w:rPr>
              <w:t>0.87%</w:t>
            </w:r>
          </w:p>
        </w:tc>
        <w:tc>
          <w:tcPr>
            <w:tcW w:w="2126" w:type="dxa"/>
            <w:vAlign w:val="bottom"/>
          </w:tcPr>
          <w:p w14:paraId="2D4A1D99" w14:textId="77777777" w:rsidR="00BF468B" w:rsidRPr="009F1969" w:rsidRDefault="00BF468B" w:rsidP="006C3FF4">
            <w:pPr>
              <w:pStyle w:val="TableParagraph"/>
              <w:spacing w:line="336" w:lineRule="auto"/>
              <w:ind w:left="112" w:right="8"/>
              <w:jc w:val="center"/>
              <w:rPr>
                <w:rFonts w:asciiTheme="minorHAnsi" w:hAnsiTheme="minorHAnsi" w:cstheme="minorBidi"/>
                <w:spacing w:val="-5"/>
              </w:rPr>
            </w:pPr>
            <w:r w:rsidRPr="3B2127CB">
              <w:rPr>
                <w:rFonts w:ascii="Arial" w:hAnsi="Arial" w:cs="Arial"/>
              </w:rPr>
              <w:t>2</w:t>
            </w:r>
          </w:p>
        </w:tc>
      </w:tr>
    </w:tbl>
    <w:p w14:paraId="2BD0BAFF" w14:textId="77777777" w:rsidR="00BF468B" w:rsidRDefault="00BF468B" w:rsidP="00BF468B">
      <w:pPr>
        <w:pStyle w:val="BodyText"/>
        <w:spacing w:line="336" w:lineRule="auto"/>
        <w:rPr>
          <w:b/>
          <w:bCs/>
          <w:lang w:val="en-AU"/>
        </w:rPr>
      </w:pPr>
      <w:r w:rsidRPr="3B2127CB">
        <w:rPr>
          <w:b/>
          <w:bCs/>
        </w:rPr>
        <w:t>Comments:</w:t>
      </w:r>
    </w:p>
    <w:p w14:paraId="01A28329" w14:textId="77777777" w:rsidR="00BF468B" w:rsidRDefault="00BF468B" w:rsidP="00BF468B">
      <w:pPr>
        <w:pStyle w:val="BodyText"/>
        <w:numPr>
          <w:ilvl w:val="0"/>
          <w:numId w:val="17"/>
        </w:numPr>
      </w:pPr>
      <w:r>
        <w:t>Most respondents are between 35 and 64 years old</w:t>
      </w:r>
    </w:p>
    <w:p w14:paraId="528E6A0D" w14:textId="77777777" w:rsidR="00BF468B" w:rsidRDefault="00BF468B" w:rsidP="00BF468B">
      <w:pPr>
        <w:pStyle w:val="BodyText"/>
        <w:numPr>
          <w:ilvl w:val="0"/>
          <w:numId w:val="17"/>
        </w:numPr>
      </w:pPr>
      <w:r>
        <w:t>A significant 21.30% are 65+</w:t>
      </w:r>
    </w:p>
    <w:p w14:paraId="3C874A5E" w14:textId="77777777" w:rsidR="00BF468B" w:rsidRDefault="00BF468B" w:rsidP="00BF468B">
      <w:pPr>
        <w:pStyle w:val="BodyText"/>
        <w:numPr>
          <w:ilvl w:val="0"/>
          <w:numId w:val="17"/>
        </w:numPr>
      </w:pPr>
      <w:r>
        <w:t>Very few respondents were under 25 (only 6 people total).</w:t>
      </w:r>
    </w:p>
    <w:p w14:paraId="1C0437FF" w14:textId="77777777" w:rsidR="00BF468B" w:rsidRPr="00BF468B" w:rsidRDefault="00BF468B" w:rsidP="00BF468B"/>
    <w:p w14:paraId="28496C66" w14:textId="77777777" w:rsidR="00462207" w:rsidRDefault="00462207" w:rsidP="000948DB">
      <w:bookmarkStart w:id="99" w:name="_Appendix_B_-Positive"/>
      <w:bookmarkEnd w:id="99"/>
    </w:p>
    <w:p w14:paraId="15373D10" w14:textId="07A603F2" w:rsidR="007F0F21" w:rsidRDefault="007F0F21" w:rsidP="007F0F21">
      <w:pPr>
        <w:pStyle w:val="Heading3"/>
      </w:pPr>
      <w:bookmarkStart w:id="100" w:name="_Appendix_F_what"/>
      <w:bookmarkEnd w:id="100"/>
    </w:p>
    <w:p w14:paraId="0F9C8B02" w14:textId="7851FF6D" w:rsidR="007F0F21" w:rsidRPr="000948DB" w:rsidRDefault="007F0F21" w:rsidP="000948DB">
      <w:pPr>
        <w:sectPr w:rsidR="007F0F21" w:rsidRPr="000948DB" w:rsidSect="00CD4D83">
          <w:footerReference w:type="default" r:id="rId28"/>
          <w:footnotePr>
            <w:pos w:val="beneathText"/>
          </w:footnotePr>
          <w:pgSz w:w="11906" w:h="16838" w:code="9"/>
          <w:pgMar w:top="1701" w:right="1134" w:bottom="1928" w:left="1134" w:header="284" w:footer="510" w:gutter="0"/>
          <w:cols w:space="708"/>
          <w:docGrid w:linePitch="360"/>
        </w:sectPr>
      </w:pPr>
    </w:p>
    <w:p w14:paraId="5960C641" w14:textId="2F76044D" w:rsidR="000E2282" w:rsidRDefault="006741BD" w:rsidP="000E2282">
      <w:pPr>
        <w:tabs>
          <w:tab w:val="left" w:pos="2327"/>
        </w:tabs>
        <w:rPr>
          <w:rFonts w:cstheme="minorHAnsi"/>
          <w:color w:val="000000"/>
          <w:sz w:val="20"/>
          <w:szCs w:val="20"/>
        </w:rPr>
      </w:pPr>
      <w:r>
        <w:rPr>
          <w:noProof/>
          <w:lang w:eastAsia="en-AU"/>
        </w:rPr>
        <w:lastRenderedPageBreak/>
        <w:drawing>
          <wp:anchor distT="0" distB="0" distL="114300" distR="114300" simplePos="0" relativeHeight="251658240" behindDoc="1" locked="1" layoutInCell="1" allowOverlap="1" wp14:anchorId="0A0E0F67" wp14:editId="3649D8CB">
            <wp:simplePos x="0" y="0"/>
            <wp:positionH relativeFrom="page">
              <wp:align>left</wp:align>
            </wp:positionH>
            <wp:positionV relativeFrom="page">
              <wp:align>bottom</wp:align>
            </wp:positionV>
            <wp:extent cx="7559675" cy="10690860"/>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sidR="000E2282">
        <w:rPr>
          <w:rFonts w:cstheme="minorHAnsi"/>
          <w:color w:val="000000"/>
          <w:sz w:val="20"/>
          <w:szCs w:val="20"/>
        </w:rPr>
        <w:t>People with Disability Australia (PWDA) is a national disability rights and advocacy organisation made up of, and led by, people with disability.</w:t>
      </w:r>
    </w:p>
    <w:p w14:paraId="3B130FF8" w14:textId="18A9B1CE" w:rsidR="000E2282" w:rsidRPr="000E2282" w:rsidRDefault="000E2282" w:rsidP="000E2282">
      <w:pPr>
        <w:tabs>
          <w:tab w:val="left" w:pos="2327"/>
        </w:tabs>
        <w:rPr>
          <w:rFonts w:cstheme="minorHAnsi"/>
        </w:rPr>
      </w:pPr>
      <w:r w:rsidRPr="00497F78">
        <w:rPr>
          <w:rFonts w:cstheme="minorHAnsi"/>
          <w:color w:val="000000"/>
          <w:sz w:val="20"/>
          <w:szCs w:val="20"/>
        </w:rPr>
        <w:t xml:space="preserve">For individual advocacy support contact </w:t>
      </w:r>
      <w:r>
        <w:rPr>
          <w:rFonts w:cstheme="minorHAnsi"/>
          <w:color w:val="000000"/>
          <w:sz w:val="20"/>
          <w:szCs w:val="20"/>
        </w:rPr>
        <w:t>PWDA</w:t>
      </w:r>
      <w:r w:rsidRPr="00497F78">
        <w:rPr>
          <w:rFonts w:cstheme="minorHAnsi"/>
          <w:b/>
          <w:bCs/>
          <w:color w:val="000000"/>
          <w:sz w:val="20"/>
          <w:szCs w:val="20"/>
        </w:rPr>
        <w:t xml:space="preserve"> </w:t>
      </w:r>
      <w:r w:rsidRPr="00497F78">
        <w:rPr>
          <w:rFonts w:cstheme="minorHAnsi"/>
          <w:color w:val="000000"/>
          <w:sz w:val="20"/>
          <w:szCs w:val="20"/>
        </w:rPr>
        <w:t>between 9 am and 5 pm (AEST/AEDT)</w:t>
      </w:r>
      <w:r>
        <w:rPr>
          <w:rFonts w:cstheme="minorHAnsi"/>
          <w:color w:val="000000"/>
          <w:sz w:val="20"/>
          <w:szCs w:val="20"/>
        </w:rPr>
        <w:t xml:space="preserve"> Monday to Friday via phone (toll free) on </w:t>
      </w:r>
      <w:r>
        <w:rPr>
          <w:rFonts w:cstheme="minorHAnsi"/>
          <w:b/>
          <w:bCs/>
          <w:color w:val="000000"/>
          <w:sz w:val="20"/>
          <w:szCs w:val="20"/>
        </w:rPr>
        <w:t xml:space="preserve">1800 843 929 </w:t>
      </w:r>
      <w:r>
        <w:rPr>
          <w:rFonts w:cstheme="minorHAnsi"/>
          <w:color w:val="000000"/>
          <w:sz w:val="20"/>
          <w:szCs w:val="20"/>
        </w:rPr>
        <w:t xml:space="preserve">or via email at </w:t>
      </w:r>
      <w:hyperlink r:id="rId30" w:history="1">
        <w:r w:rsidRPr="000C7C6B">
          <w:rPr>
            <w:rStyle w:val="Hyperlink"/>
            <w:rFonts w:cstheme="minorHAnsi"/>
            <w:sz w:val="20"/>
            <w:szCs w:val="20"/>
          </w:rPr>
          <w:t>pwd@pwd.org.au</w:t>
        </w:r>
      </w:hyperlink>
      <w:r>
        <w:rPr>
          <w:rFonts w:cstheme="minorHAnsi"/>
          <w:color w:val="000000"/>
          <w:sz w:val="20"/>
          <w:szCs w:val="20"/>
        </w:rPr>
        <w:t xml:space="preserve"> </w:t>
      </w:r>
    </w:p>
    <w:p w14:paraId="7ADC4094" w14:textId="77777777" w:rsidR="000E2282" w:rsidRDefault="000E2282" w:rsidP="000E2282">
      <w:pPr>
        <w:pStyle w:val="PWDAContacts"/>
        <w:rPr>
          <w:rFonts w:cstheme="minorHAnsi"/>
          <w:b/>
          <w:bCs/>
          <w:color w:val="000000"/>
          <w:szCs w:val="20"/>
        </w:rPr>
      </w:pPr>
      <w:r>
        <w:rPr>
          <w:rFonts w:cstheme="minorHAnsi"/>
          <w:b/>
          <w:bCs/>
          <w:color w:val="000000"/>
          <w:szCs w:val="20"/>
        </w:rPr>
        <w:t>Submission</w:t>
      </w:r>
      <w:r w:rsidRPr="00497F78">
        <w:rPr>
          <w:rFonts w:cstheme="minorHAnsi"/>
          <w:b/>
          <w:bCs/>
          <w:color w:val="000000"/>
          <w:szCs w:val="20"/>
        </w:rPr>
        <w:t xml:space="preserve"> contact</w:t>
      </w:r>
    </w:p>
    <w:p w14:paraId="5247A7FD" w14:textId="2792BF66" w:rsidR="000E2282" w:rsidRDefault="00683CDC" w:rsidP="000E2282">
      <w:pPr>
        <w:pStyle w:val="PWDAContacts"/>
        <w:rPr>
          <w:rFonts w:cstheme="minorHAnsi"/>
          <w:color w:val="000000"/>
          <w:szCs w:val="20"/>
        </w:rPr>
      </w:pPr>
      <w:r>
        <w:rPr>
          <w:rFonts w:cstheme="minorHAnsi"/>
          <w:color w:val="000000"/>
          <w:szCs w:val="20"/>
        </w:rPr>
        <w:t>Bastien Wallace</w:t>
      </w:r>
    </w:p>
    <w:p w14:paraId="44AED580" w14:textId="53107F0E" w:rsidR="000E2282" w:rsidRDefault="000E2282" w:rsidP="000E2282">
      <w:pPr>
        <w:pStyle w:val="PWDAContacts"/>
        <w:rPr>
          <w:rFonts w:cstheme="minorHAnsi"/>
          <w:color w:val="000000"/>
          <w:szCs w:val="20"/>
        </w:rPr>
      </w:pPr>
      <w:r w:rsidRPr="00497F78">
        <w:rPr>
          <w:rFonts w:cstheme="minorHAnsi"/>
          <w:color w:val="000000"/>
          <w:szCs w:val="20"/>
        </w:rPr>
        <w:t>Senior Policy</w:t>
      </w:r>
      <w:r w:rsidR="00683CDC">
        <w:rPr>
          <w:rFonts w:cstheme="minorHAnsi"/>
          <w:color w:val="000000"/>
          <w:szCs w:val="20"/>
        </w:rPr>
        <w:t xml:space="preserve"> Officer</w:t>
      </w:r>
    </w:p>
    <w:p w14:paraId="203382D2" w14:textId="6CA3A34E" w:rsidR="000E2282" w:rsidRPr="000E2282" w:rsidRDefault="000E2282" w:rsidP="000E2282">
      <w:pPr>
        <w:pStyle w:val="PWDAContacts"/>
        <w:rPr>
          <w:rFonts w:cstheme="minorHAnsi"/>
          <w:b/>
          <w:bCs/>
          <w:color w:val="000000"/>
          <w:szCs w:val="20"/>
        </w:rPr>
      </w:pPr>
      <w:r>
        <w:rPr>
          <w:rFonts w:cstheme="minorHAnsi"/>
          <w:color w:val="000000"/>
          <w:szCs w:val="20"/>
        </w:rPr>
        <w:t xml:space="preserve">E: </w:t>
      </w:r>
      <w:hyperlink r:id="rId31" w:history="1">
        <w:r w:rsidR="00BF468B" w:rsidRPr="009D3F6D">
          <w:rPr>
            <w:rStyle w:val="Hyperlink"/>
            <w:rFonts w:cstheme="minorHAnsi"/>
            <w:bCs/>
            <w:szCs w:val="20"/>
          </w:rPr>
          <w:t>bastienw@pwd.org.au</w:t>
        </w:r>
      </w:hyperlink>
      <w:r w:rsidRPr="00497F78">
        <w:rPr>
          <w:rFonts w:cstheme="minorHAnsi"/>
          <w:b/>
          <w:bCs/>
          <w:color w:val="000000"/>
          <w:szCs w:val="20"/>
        </w:rPr>
        <w:t xml:space="preserve"> </w:t>
      </w:r>
    </w:p>
    <w:p w14:paraId="732E6A68" w14:textId="7ACD04FB" w:rsidR="00CB2E90" w:rsidRDefault="00C8024E" w:rsidP="006741BD">
      <w:pPr>
        <w:pStyle w:val="Finalpagecontactinformation"/>
      </w:pPr>
      <w:r>
        <w:br/>
      </w:r>
    </w:p>
    <w:sectPr w:rsidR="00CB2E90" w:rsidSect="00C02BFC">
      <w:headerReference w:type="default" r:id="rId32"/>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B44D" w14:textId="77777777" w:rsidR="00A4312C" w:rsidRDefault="00A4312C" w:rsidP="00F1283C">
      <w:pPr>
        <w:spacing w:after="0" w:line="240" w:lineRule="auto"/>
      </w:pPr>
      <w:r>
        <w:separator/>
      </w:r>
    </w:p>
  </w:endnote>
  <w:endnote w:type="continuationSeparator" w:id="0">
    <w:p w14:paraId="4CB6CF04" w14:textId="77777777" w:rsidR="00A4312C" w:rsidRDefault="00A4312C" w:rsidP="00F1283C">
      <w:pPr>
        <w:spacing w:after="0" w:line="240" w:lineRule="auto"/>
      </w:pPr>
      <w:r>
        <w:continuationSeparator/>
      </w:r>
    </w:p>
  </w:endnote>
  <w:endnote w:id="1">
    <w:p w14:paraId="26E0593B" w14:textId="2D9F48B7" w:rsidR="0087584E" w:rsidRPr="006E567A" w:rsidRDefault="0087584E" w:rsidP="002D13D1">
      <w:pPr>
        <w:pStyle w:val="EndnoteText"/>
        <w:spacing w:before="0"/>
        <w:rPr>
          <w:rFonts w:cstheme="minorHAnsi"/>
          <w:b/>
          <w:bCs/>
          <w:sz w:val="16"/>
          <w:szCs w:val="16"/>
        </w:rPr>
      </w:pPr>
      <w:r w:rsidRPr="006E567A">
        <w:rPr>
          <w:rStyle w:val="EndnoteReference"/>
          <w:rFonts w:cstheme="minorHAnsi"/>
          <w:sz w:val="16"/>
          <w:szCs w:val="16"/>
        </w:rPr>
        <w:endnoteRef/>
      </w:r>
      <w:r w:rsidRPr="006E567A">
        <w:rPr>
          <w:rFonts w:cstheme="minorHAnsi"/>
          <w:sz w:val="16"/>
          <w:szCs w:val="16"/>
        </w:rPr>
        <w:t xml:space="preserve"> </w:t>
      </w:r>
      <w:r w:rsidRPr="00E43D00">
        <w:rPr>
          <w:rFonts w:cstheme="minorHAnsi"/>
          <w:sz w:val="16"/>
          <w:szCs w:val="16"/>
        </w:rPr>
        <w:t>Australian Bureau of Statistics (2022), </w:t>
      </w:r>
      <w:hyperlink r:id="rId1" w:history="1">
        <w:r w:rsidRPr="00E43D00">
          <w:rPr>
            <w:rStyle w:val="Hyperlink"/>
            <w:rFonts w:cstheme="minorHAnsi"/>
            <w:i/>
            <w:iCs/>
            <w:sz w:val="16"/>
            <w:szCs w:val="16"/>
          </w:rPr>
          <w:t>Disability, Ageing and Carers, Australia: Summary of Findings</w:t>
        </w:r>
      </w:hyperlink>
      <w:r w:rsidRPr="00E43D00">
        <w:rPr>
          <w:rFonts w:cstheme="minorHAnsi"/>
          <w:sz w:val="16"/>
          <w:szCs w:val="16"/>
        </w:rPr>
        <w:t>, ABS Website, accessed 22 September 2025.</w:t>
      </w:r>
      <w:r w:rsidRPr="006E567A">
        <w:rPr>
          <w:rFonts w:cstheme="minorHAnsi"/>
          <w:b/>
          <w:bCs/>
          <w:sz w:val="16"/>
          <w:szCs w:val="16"/>
        </w:rPr>
        <w:t xml:space="preserve">. </w:t>
      </w:r>
    </w:p>
  </w:endnote>
  <w:endnote w:id="2">
    <w:p w14:paraId="346DB2E7" w14:textId="77777777" w:rsidR="0087584E" w:rsidRPr="006E567A" w:rsidRDefault="0087584E" w:rsidP="002D13D1">
      <w:pPr>
        <w:pStyle w:val="EndnoteText"/>
        <w:spacing w:before="0"/>
        <w:rPr>
          <w:rFonts w:cstheme="minorHAnsi"/>
          <w:sz w:val="16"/>
          <w:szCs w:val="16"/>
          <w:lang w:val="en-US"/>
        </w:rPr>
      </w:pPr>
      <w:r w:rsidRPr="006E567A">
        <w:rPr>
          <w:rStyle w:val="EndnoteReference"/>
          <w:rFonts w:cstheme="minorHAnsi"/>
          <w:sz w:val="16"/>
          <w:szCs w:val="16"/>
        </w:rPr>
        <w:endnoteRef/>
      </w:r>
      <w:r w:rsidRPr="006E567A">
        <w:rPr>
          <w:rFonts w:cstheme="minorHAnsi"/>
          <w:sz w:val="16"/>
          <w:szCs w:val="16"/>
        </w:rPr>
        <w:t xml:space="preserve"> Rosemary Kayess and Therese Sands, </w:t>
      </w:r>
      <w:r w:rsidRPr="006E567A">
        <w:rPr>
          <w:rFonts w:cstheme="minorHAnsi"/>
          <w:i/>
          <w:iCs/>
          <w:sz w:val="16"/>
          <w:szCs w:val="16"/>
        </w:rPr>
        <w:t>Convention on the Rights of Persons with Disabilities: Shining a light on Social Transformation</w:t>
      </w:r>
      <w:r w:rsidRPr="006E567A">
        <w:rPr>
          <w:rFonts w:cstheme="minorHAnsi"/>
          <w:sz w:val="16"/>
          <w:szCs w:val="16"/>
        </w:rPr>
        <w:t xml:space="preserve"> (UNSW Social Policy Research Centre, 2020); Australian Bureau of Statistics (n1); Australian Institute of Health and Welfare (n 1); Jeromey B Temple, Margaret Kelaher and Ruth Williams, ‘Discrimination and avoidance due to disability in Australia: evidence from a National Cross-Sectional Survey’ (2018) 18 </w:t>
      </w:r>
      <w:r w:rsidRPr="006E567A">
        <w:rPr>
          <w:rFonts w:cstheme="minorHAnsi"/>
          <w:i/>
          <w:iCs/>
          <w:sz w:val="16"/>
          <w:szCs w:val="16"/>
        </w:rPr>
        <w:t>BMC Public Health</w:t>
      </w:r>
      <w:r w:rsidRPr="006E567A">
        <w:rPr>
          <w:rFonts w:cstheme="minorHAnsi"/>
          <w:sz w:val="16"/>
          <w:szCs w:val="16"/>
        </w:rPr>
        <w:t xml:space="preserve"> 1347.</w:t>
      </w:r>
    </w:p>
  </w:endnote>
  <w:endnote w:id="3">
    <w:p w14:paraId="6F751551" w14:textId="77777777" w:rsidR="0087584E" w:rsidRPr="006E567A" w:rsidRDefault="0087584E" w:rsidP="002D13D1">
      <w:pPr>
        <w:pStyle w:val="EndnoteText"/>
        <w:spacing w:before="0"/>
        <w:rPr>
          <w:rFonts w:cstheme="minorHAnsi"/>
          <w:sz w:val="16"/>
          <w:szCs w:val="16"/>
          <w:lang w:val="en-US"/>
        </w:rPr>
      </w:pPr>
      <w:r w:rsidRPr="006E567A">
        <w:rPr>
          <w:rStyle w:val="EndnoteReference"/>
          <w:rFonts w:cstheme="minorHAnsi"/>
          <w:sz w:val="16"/>
          <w:szCs w:val="16"/>
        </w:rPr>
        <w:endnoteRef/>
      </w:r>
      <w:r w:rsidRPr="006E567A">
        <w:rPr>
          <w:rFonts w:cstheme="minorHAnsi"/>
          <w:sz w:val="16"/>
          <w:szCs w:val="16"/>
        </w:rPr>
        <w:t xml:space="preserve"> Australian Institute of Health and Welfare (n 1) </w:t>
      </w:r>
      <w:r w:rsidRPr="006E567A">
        <w:rPr>
          <w:rFonts w:cstheme="minorHAnsi"/>
          <w:sz w:val="16"/>
          <w:szCs w:val="16"/>
          <w:lang w:val="en-US"/>
        </w:rPr>
        <w:t>163.</w:t>
      </w:r>
    </w:p>
  </w:endnote>
  <w:endnote w:id="4">
    <w:p w14:paraId="79BFB69D" w14:textId="77777777" w:rsidR="0087584E" w:rsidRPr="009C2F53" w:rsidRDefault="0087584E" w:rsidP="002D13D1">
      <w:pPr>
        <w:pStyle w:val="EndnoteText"/>
        <w:spacing w:before="0"/>
        <w:rPr>
          <w:rFonts w:cstheme="minorHAnsi"/>
          <w:sz w:val="16"/>
          <w:szCs w:val="16"/>
          <w:lang w:val="en-US"/>
        </w:rPr>
      </w:pPr>
      <w:r w:rsidRPr="006E567A">
        <w:rPr>
          <w:rStyle w:val="EndnoteReference"/>
          <w:rFonts w:cstheme="minorHAnsi"/>
          <w:sz w:val="16"/>
          <w:szCs w:val="16"/>
        </w:rPr>
        <w:endnoteRef/>
      </w:r>
      <w:r w:rsidRPr="006E567A">
        <w:rPr>
          <w:rFonts w:cstheme="minorHAnsi"/>
          <w:sz w:val="16"/>
          <w:szCs w:val="16"/>
        </w:rPr>
        <w:t xml:space="preserve"> Anti-</w:t>
      </w:r>
      <w:r w:rsidRPr="009C2F53">
        <w:rPr>
          <w:rFonts w:cstheme="minorHAnsi"/>
          <w:sz w:val="16"/>
          <w:szCs w:val="16"/>
        </w:rPr>
        <w:t xml:space="preserve">Discrimination NSW, </w:t>
      </w:r>
      <w:r w:rsidRPr="009C2F53">
        <w:rPr>
          <w:rFonts w:cstheme="minorHAnsi"/>
          <w:i/>
          <w:iCs/>
          <w:sz w:val="16"/>
          <w:szCs w:val="16"/>
        </w:rPr>
        <w:t>Annual Report 2021-22</w:t>
      </w:r>
      <w:r w:rsidRPr="009C2F53">
        <w:rPr>
          <w:rFonts w:cstheme="minorHAnsi"/>
          <w:sz w:val="16"/>
          <w:szCs w:val="16"/>
        </w:rPr>
        <w:t xml:space="preserve"> (2022) 15  </w:t>
      </w:r>
      <w:hyperlink r:id="rId2" w:history="1">
        <w:r w:rsidRPr="009C2F53">
          <w:rPr>
            <w:rStyle w:val="Hyperlink"/>
            <w:rFonts w:cstheme="minorHAnsi"/>
            <w:sz w:val="16"/>
            <w:szCs w:val="16"/>
          </w:rPr>
          <w:t>https://antidiscrimination.nsw.gov.au/documents/annual-reports/anti-discrimination-annual-report-2021-22.pdf</w:t>
        </w:r>
      </w:hyperlink>
      <w:r w:rsidRPr="009C2F53">
        <w:rPr>
          <w:rFonts w:cstheme="minorHAnsi"/>
          <w:sz w:val="16"/>
          <w:szCs w:val="16"/>
        </w:rPr>
        <w:t xml:space="preserve"> </w:t>
      </w:r>
    </w:p>
  </w:endnote>
  <w:endnote w:id="5">
    <w:p w14:paraId="4ACD9E58" w14:textId="77777777" w:rsidR="0087584E" w:rsidRPr="009C2F53" w:rsidRDefault="0087584E" w:rsidP="002D13D1">
      <w:pPr>
        <w:pStyle w:val="EndnoteText"/>
        <w:spacing w:before="0"/>
        <w:rPr>
          <w:rFonts w:cstheme="minorHAnsi"/>
          <w:sz w:val="16"/>
          <w:szCs w:val="16"/>
          <w:lang w:val="en-US"/>
        </w:rPr>
      </w:pPr>
      <w:r w:rsidRPr="009C2F53">
        <w:rPr>
          <w:rStyle w:val="EndnoteReference"/>
          <w:rFonts w:cstheme="minorHAnsi"/>
          <w:sz w:val="16"/>
          <w:szCs w:val="16"/>
        </w:rPr>
        <w:endnoteRef/>
      </w:r>
      <w:r w:rsidRPr="009C2F53">
        <w:rPr>
          <w:rFonts w:cstheme="minorHAnsi"/>
          <w:sz w:val="16"/>
          <w:szCs w:val="16"/>
        </w:rPr>
        <w:t xml:space="preserve"> Australian Institute of Health and Welfare (n 1) </w:t>
      </w:r>
      <w:r w:rsidRPr="009C2F53">
        <w:rPr>
          <w:rFonts w:cstheme="minorHAnsi"/>
          <w:sz w:val="16"/>
          <w:szCs w:val="16"/>
          <w:lang w:val="en-US"/>
        </w:rPr>
        <w:t>163.</w:t>
      </w:r>
    </w:p>
  </w:endnote>
  <w:endnote w:id="6">
    <w:p w14:paraId="4D4072CE" w14:textId="77777777" w:rsidR="0087584E" w:rsidRPr="009C2F53" w:rsidRDefault="0087584E" w:rsidP="002D13D1">
      <w:pPr>
        <w:pStyle w:val="EndnoteText"/>
        <w:spacing w:before="0"/>
        <w:rPr>
          <w:rFonts w:cstheme="minorHAnsi"/>
          <w:sz w:val="16"/>
          <w:szCs w:val="16"/>
          <w:lang w:val="en-US"/>
        </w:rPr>
      </w:pPr>
      <w:r w:rsidRPr="009C2F53">
        <w:rPr>
          <w:rStyle w:val="EndnoteReference"/>
          <w:rFonts w:cstheme="minorHAnsi"/>
          <w:sz w:val="16"/>
          <w:szCs w:val="16"/>
        </w:rPr>
        <w:endnoteRef/>
      </w:r>
      <w:r w:rsidRPr="009C2F53">
        <w:rPr>
          <w:rFonts w:cstheme="minorHAnsi"/>
          <w:sz w:val="16"/>
          <w:szCs w:val="16"/>
        </w:rPr>
        <w:t xml:space="preserve"> Committee on the Rights of Persons with Disabilities, </w:t>
      </w:r>
      <w:r w:rsidRPr="009C2F53">
        <w:rPr>
          <w:rFonts w:cstheme="minorHAnsi"/>
          <w:i/>
          <w:iCs/>
          <w:sz w:val="16"/>
          <w:szCs w:val="16"/>
        </w:rPr>
        <w:t>General comment No. 6 (2018) Equality and non-discrimination</w:t>
      </w:r>
      <w:r w:rsidRPr="009C2F53">
        <w:rPr>
          <w:rFonts w:cstheme="minorHAnsi"/>
          <w:sz w:val="16"/>
          <w:szCs w:val="16"/>
        </w:rPr>
        <w:t xml:space="preserve"> CRPD/C/GC/6 (26 April 2018) [30]</w:t>
      </w:r>
      <w:r w:rsidRPr="009C2F53">
        <w:rPr>
          <w:rFonts w:cstheme="minorHAnsi"/>
          <w:sz w:val="16"/>
          <w:szCs w:val="16"/>
          <w:lang w:val="en-US"/>
        </w:rPr>
        <w:t xml:space="preserve">; Australian Human Rights Commission, </w:t>
      </w:r>
      <w:r w:rsidRPr="009C2F53">
        <w:rPr>
          <w:rFonts w:cstheme="minorHAnsi"/>
          <w:i/>
          <w:iCs/>
          <w:sz w:val="16"/>
          <w:szCs w:val="16"/>
          <w:lang w:val="en-US"/>
        </w:rPr>
        <w:t>Free and Equal. A reform agenda for federal discrimination laws</w:t>
      </w:r>
      <w:r w:rsidRPr="009C2F53">
        <w:rPr>
          <w:rFonts w:cstheme="minorHAnsi"/>
          <w:sz w:val="16"/>
          <w:szCs w:val="16"/>
          <w:lang w:val="en-US"/>
        </w:rPr>
        <w:t xml:space="preserve"> (December 2021) 16; United Nations, </w:t>
      </w:r>
      <w:r w:rsidRPr="009C2F53">
        <w:rPr>
          <w:rFonts w:cstheme="minorHAnsi"/>
          <w:i/>
          <w:iCs/>
          <w:sz w:val="16"/>
          <w:szCs w:val="16"/>
          <w:lang w:val="en-US"/>
        </w:rPr>
        <w:t xml:space="preserve">Convention on the Rights of Persons with Disabilities </w:t>
      </w:r>
      <w:r w:rsidRPr="009C2F53">
        <w:rPr>
          <w:rFonts w:cstheme="minorHAnsi"/>
          <w:sz w:val="16"/>
          <w:szCs w:val="16"/>
          <w:lang w:val="en-US"/>
        </w:rPr>
        <w:t>(12 December 2006), article 5.</w:t>
      </w:r>
    </w:p>
  </w:endnote>
  <w:endnote w:id="7">
    <w:p w14:paraId="4D575CAC" w14:textId="7A50D0CC" w:rsidR="0087584E" w:rsidRPr="009C2F53" w:rsidRDefault="0087584E">
      <w:pPr>
        <w:pStyle w:val="EndnoteText"/>
        <w:rPr>
          <w:sz w:val="16"/>
          <w:szCs w:val="16"/>
          <w:lang w:val="en-US"/>
        </w:rPr>
      </w:pPr>
      <w:r w:rsidRPr="009C2F53">
        <w:rPr>
          <w:rStyle w:val="EndnoteReference"/>
          <w:sz w:val="16"/>
          <w:szCs w:val="16"/>
        </w:rPr>
        <w:endnoteRef/>
      </w:r>
      <w:r w:rsidRPr="009C2F53">
        <w:rPr>
          <w:sz w:val="16"/>
          <w:szCs w:val="16"/>
        </w:rPr>
        <w:t xml:space="preserve"> Yang, Yi et al., All-cause and cause-specific mortality inequalities between people with and without disability: a nationwide data linkage study in Australia,</w:t>
      </w:r>
      <w:r w:rsidRPr="009C2F53">
        <w:rPr>
          <w:b/>
          <w:bCs/>
          <w:sz w:val="16"/>
          <w:szCs w:val="16"/>
        </w:rPr>
        <w:t xml:space="preserve"> </w:t>
      </w:r>
      <w:r w:rsidRPr="009C2F53">
        <w:rPr>
          <w:sz w:val="16"/>
          <w:szCs w:val="16"/>
        </w:rPr>
        <w:t xml:space="preserve">The Lancet Public Health, Volume 10, Issue 1, e11 - e19 last accessed 2 Sep 2025,  </w:t>
      </w:r>
      <w:hyperlink r:id="rId3" w:history="1">
        <w:r w:rsidRPr="009C2F53">
          <w:rPr>
            <w:rStyle w:val="Hyperlink"/>
            <w:sz w:val="16"/>
            <w:szCs w:val="16"/>
          </w:rPr>
          <w:t>https://www.thelancet.com/journals/lanpub/article/PIIS2468-2667(24)00266-4/fulltext</w:t>
        </w:r>
      </w:hyperlink>
      <w:r w:rsidRPr="009C2F53">
        <w:rPr>
          <w:sz w:val="16"/>
          <w:szCs w:val="16"/>
        </w:rPr>
        <w:t xml:space="preserve"> </w:t>
      </w:r>
    </w:p>
  </w:endnote>
  <w:endnote w:id="8">
    <w:p w14:paraId="3C9DC8F7" w14:textId="28C653A1" w:rsidR="0087584E" w:rsidRPr="009C2F53" w:rsidRDefault="0087584E">
      <w:pPr>
        <w:pStyle w:val="EndnoteText"/>
        <w:rPr>
          <w:sz w:val="16"/>
          <w:szCs w:val="16"/>
          <w:lang w:val="en-US"/>
        </w:rPr>
      </w:pPr>
      <w:r w:rsidRPr="009C2F53">
        <w:rPr>
          <w:rStyle w:val="EndnoteReference"/>
          <w:sz w:val="16"/>
          <w:szCs w:val="16"/>
        </w:rPr>
        <w:endnoteRef/>
      </w:r>
      <w:r w:rsidRPr="009C2F53">
        <w:rPr>
          <w:sz w:val="16"/>
          <w:szCs w:val="16"/>
        </w:rPr>
        <w:t xml:space="preserve"> Trollor J, Srasuebkul P, Xu H</w:t>
      </w:r>
      <w:r w:rsidRPr="009C2F53">
        <w:rPr>
          <w:i/>
          <w:iCs/>
          <w:sz w:val="16"/>
          <w:szCs w:val="16"/>
        </w:rPr>
        <w:t xml:space="preserve">, et al, </w:t>
      </w:r>
      <w:r w:rsidRPr="009C2F53">
        <w:rPr>
          <w:sz w:val="16"/>
          <w:szCs w:val="16"/>
        </w:rPr>
        <w:t xml:space="preserve">Cause of death and potentially avoidable deaths in Australian adults with intellectual disability using retrospective linked data, </w:t>
      </w:r>
      <w:r w:rsidRPr="009C2F53">
        <w:rPr>
          <w:i/>
          <w:iCs/>
          <w:sz w:val="16"/>
          <w:szCs w:val="16"/>
        </w:rPr>
        <w:t>BMJ Open </w:t>
      </w:r>
      <w:r w:rsidRPr="009C2F53">
        <w:rPr>
          <w:sz w:val="16"/>
          <w:szCs w:val="16"/>
        </w:rPr>
        <w:t>2017;</w:t>
      </w:r>
      <w:r w:rsidRPr="009C2F53">
        <w:rPr>
          <w:b/>
          <w:bCs/>
          <w:sz w:val="16"/>
          <w:szCs w:val="16"/>
        </w:rPr>
        <w:t>7:</w:t>
      </w:r>
      <w:r w:rsidRPr="009C2F53">
        <w:rPr>
          <w:sz w:val="16"/>
          <w:szCs w:val="16"/>
        </w:rPr>
        <w:t xml:space="preserve">e 013489. Last accessed 2 Sep 2025 </w:t>
      </w:r>
      <w:hyperlink r:id="rId4" w:history="1">
        <w:r w:rsidRPr="009C2F53">
          <w:rPr>
            <w:rStyle w:val="Hyperlink"/>
            <w:sz w:val="16"/>
            <w:szCs w:val="16"/>
          </w:rPr>
          <w:t>https://bmjopen.bmj.com/content/7/2/e013489</w:t>
        </w:r>
      </w:hyperlink>
      <w:r w:rsidRPr="009C2F53">
        <w:rPr>
          <w:sz w:val="16"/>
          <w:szCs w:val="16"/>
        </w:rPr>
        <w:t xml:space="preserve"> </w:t>
      </w:r>
    </w:p>
  </w:endnote>
  <w:endnote w:id="9">
    <w:p w14:paraId="05A0EBD7" w14:textId="77777777" w:rsidR="0087584E" w:rsidRPr="009C2F53" w:rsidRDefault="0087584E" w:rsidP="00433EAC">
      <w:pPr>
        <w:pStyle w:val="EndnoteText"/>
        <w:rPr>
          <w:sz w:val="16"/>
          <w:szCs w:val="16"/>
          <w:lang w:val="en-US"/>
        </w:rPr>
      </w:pPr>
      <w:r w:rsidRPr="009C2F53">
        <w:rPr>
          <w:rStyle w:val="EndnoteReference"/>
          <w:sz w:val="16"/>
          <w:szCs w:val="16"/>
        </w:rPr>
        <w:endnoteRef/>
      </w:r>
      <w:r w:rsidRPr="009C2F53">
        <w:rPr>
          <w:sz w:val="16"/>
          <w:szCs w:val="16"/>
        </w:rPr>
        <w:t xml:space="preserve"> Australian Government, Department of Health, National Preventative Health Strategy 2021-2030; Valuing health before illness: Living well for longer, 2021, </w:t>
      </w:r>
      <w:r w:rsidRPr="009C2F53">
        <w:rPr>
          <w:sz w:val="16"/>
          <w:szCs w:val="16"/>
          <w:lang w:val="en-US"/>
        </w:rPr>
        <w:t>P21 last accessed 2 September 2025, https://www.health.gov.au/sites/default/files/documents/2021/12/national-preventive-health-strategy-2021-2030_1.pdf</w:t>
      </w:r>
    </w:p>
  </w:endnote>
  <w:endnote w:id="10">
    <w:p w14:paraId="23F08499" w14:textId="4FCDA92D" w:rsidR="0087584E" w:rsidRPr="009C2F53" w:rsidRDefault="0087584E" w:rsidP="00532BBA">
      <w:pPr>
        <w:pStyle w:val="EndnoteText"/>
        <w:rPr>
          <w:sz w:val="16"/>
          <w:szCs w:val="16"/>
          <w:lang w:val="en-US"/>
        </w:rPr>
      </w:pPr>
      <w:r w:rsidRPr="009C2F53">
        <w:rPr>
          <w:rStyle w:val="EndnoteReference"/>
          <w:sz w:val="16"/>
          <w:szCs w:val="16"/>
        </w:rPr>
        <w:endnoteRef/>
      </w:r>
      <w:r w:rsidRPr="009C2F53">
        <w:rPr>
          <w:sz w:val="16"/>
          <w:szCs w:val="16"/>
        </w:rPr>
        <w:t xml:space="preserve"> Australian Government, Department of Health, National Preventative Health Strategy 2021-2030; Valuing health before illness: Living well for longer, 2021, </w:t>
      </w:r>
      <w:r w:rsidRPr="009C2F53">
        <w:rPr>
          <w:sz w:val="16"/>
          <w:szCs w:val="16"/>
          <w:lang w:val="en-US"/>
        </w:rPr>
        <w:t>P22-4 last accessed 2 September 2025, https://www.health.gov.au/sites/default/files/documents/2021/12/national-preventive-health-strategy-2021-2030_1.pdf</w:t>
      </w:r>
    </w:p>
  </w:endnote>
  <w:endnote w:id="11">
    <w:p w14:paraId="5237B1A0" w14:textId="74BED1E2" w:rsidR="0087584E" w:rsidRPr="009C2F53" w:rsidRDefault="0087584E" w:rsidP="00F744DD">
      <w:pPr>
        <w:pStyle w:val="EndnoteText"/>
        <w:rPr>
          <w:sz w:val="16"/>
          <w:szCs w:val="16"/>
          <w:lang w:val="en-US"/>
        </w:rPr>
      </w:pPr>
      <w:r w:rsidRPr="009C2F53">
        <w:rPr>
          <w:rStyle w:val="EndnoteReference"/>
          <w:sz w:val="16"/>
          <w:szCs w:val="16"/>
        </w:rPr>
        <w:endnoteRef/>
      </w:r>
      <w:r w:rsidRPr="009C2F53">
        <w:rPr>
          <w:sz w:val="16"/>
          <w:szCs w:val="16"/>
        </w:rPr>
        <w:t xml:space="preserve"> Australian Government, Department of Health, National Preventative Health Strategy 2021-2030; Valuing health before illness: Living well for longer, 2021, </w:t>
      </w:r>
      <w:r w:rsidRPr="009C2F53">
        <w:rPr>
          <w:sz w:val="16"/>
          <w:szCs w:val="16"/>
          <w:lang w:val="en-US"/>
        </w:rPr>
        <w:t>P30 last accessed 2 September 2025, https://www.health.gov.au/sites/default/files/documents/2021/12/national-preventive-health-strategy-2021-2030_1.pdf</w:t>
      </w:r>
    </w:p>
  </w:endnote>
  <w:endnote w:id="12">
    <w:p w14:paraId="1ECE3CB4" w14:textId="77777777" w:rsidR="0087584E" w:rsidRPr="009C2F53" w:rsidRDefault="0087584E" w:rsidP="003763AE">
      <w:pPr>
        <w:pStyle w:val="BodyText"/>
        <w:spacing w:line="240" w:lineRule="auto"/>
        <w:rPr>
          <w:rStyle w:val="Hyperlink"/>
          <w:sz w:val="16"/>
          <w:szCs w:val="16"/>
        </w:rPr>
      </w:pPr>
      <w:r w:rsidRPr="009C2F53">
        <w:rPr>
          <w:rStyle w:val="EndnoteReference"/>
          <w:sz w:val="16"/>
          <w:szCs w:val="16"/>
        </w:rPr>
        <w:endnoteRef/>
      </w:r>
      <w:r w:rsidRPr="009C2F53">
        <w:rPr>
          <w:sz w:val="16"/>
          <w:szCs w:val="16"/>
        </w:rPr>
        <w:t xml:space="preserve"> Based on the ACE Prevention Study of 123 illness prevention measures to improve population health in Australia. T, Carter R, Barendregt J, Mihalopoulos C, Veerman L, Magnus A, et al. Assessing cost-effectiveness in prevention (ACE-Prevention): Final Report. Brisbane: University of Queensland &amp; Melbourne: Deakin University; 2010. Last accessed 10 October 2023 </w:t>
      </w:r>
      <w:hyperlink r:id="rId5" w:history="1">
        <w:r w:rsidRPr="009C2F53">
          <w:rPr>
            <w:rStyle w:val="Hyperlink"/>
            <w:sz w:val="16"/>
            <w:szCs w:val="16"/>
          </w:rPr>
          <w:t>https://public-health.uq.edu.au/files/571/ACE-Prevention_final_report.pdf</w:t>
        </w:r>
      </w:hyperlink>
      <w:r w:rsidRPr="009C2F53">
        <w:rPr>
          <w:rStyle w:val="Hyperlink"/>
          <w:sz w:val="16"/>
          <w:szCs w:val="16"/>
        </w:rPr>
        <w:t xml:space="preserve"> </w:t>
      </w:r>
    </w:p>
    <w:p w14:paraId="1B1A705B" w14:textId="5167948E" w:rsidR="0087584E" w:rsidRPr="009C2F53" w:rsidRDefault="0087584E" w:rsidP="003763AE">
      <w:pPr>
        <w:pStyle w:val="BodyText"/>
        <w:spacing w:line="240" w:lineRule="auto"/>
        <w:rPr>
          <w:sz w:val="16"/>
          <w:szCs w:val="16"/>
        </w:rPr>
      </w:pPr>
      <w:r w:rsidRPr="009C2F53">
        <w:rPr>
          <w:sz w:val="16"/>
          <w:szCs w:val="16"/>
        </w:rPr>
        <w:t xml:space="preserve">Investing in preventative healthcare for everyone could save the healthcare system $140 billion over 20 years according to the Productivity Commission. </w:t>
      </w:r>
      <w:r w:rsidRPr="009C2F53">
        <w:rPr>
          <w:sz w:val="16"/>
          <w:szCs w:val="16"/>
          <w:shd w:val="clear" w:color="auto" w:fill="FFFFFF" w:themeFill="background1"/>
        </w:rPr>
        <w:t xml:space="preserve">Productivity Commission (2017). Shifting the dial: 5 year productivity review, last accessed 10 October 2023,  </w:t>
      </w:r>
      <w:hyperlink r:id="rId6" w:history="1">
        <w:r w:rsidRPr="009C2F53">
          <w:rPr>
            <w:rStyle w:val="Hyperlink"/>
            <w:sz w:val="16"/>
            <w:szCs w:val="16"/>
            <w:shd w:val="clear" w:color="auto" w:fill="FFFFFF" w:themeFill="background1"/>
          </w:rPr>
          <w:t>https://www.pc.gov.au/inquiries/completed/productivity-review/report/productivity-review.pdf</w:t>
        </w:r>
      </w:hyperlink>
      <w:r w:rsidRPr="009C2F53">
        <w:rPr>
          <w:sz w:val="16"/>
          <w:szCs w:val="16"/>
          <w:shd w:val="clear" w:color="auto" w:fill="F5F5F7"/>
        </w:rPr>
        <w:t xml:space="preserve"> </w:t>
      </w:r>
      <w:r w:rsidRPr="009C2F53">
        <w:rPr>
          <w:sz w:val="16"/>
          <w:szCs w:val="16"/>
        </w:rPr>
        <w:t xml:space="preserve">Australian Medical Association, Health is the best investment; shifting from a ‘sickcare’ system to a healthcare system, last accessed 10 October 2023,  </w:t>
      </w:r>
      <w:hyperlink r:id="rId7" w:history="1">
        <w:r w:rsidRPr="009C2F53">
          <w:rPr>
            <w:rStyle w:val="Hyperlink"/>
            <w:sz w:val="16"/>
            <w:szCs w:val="16"/>
          </w:rPr>
          <w:t>https://www.ama.com.au/sites/default/files/2023-06/Health-is-the-best-investment-shifting-from-a-sickcare-system-to-a-healthcares-system.pdf</w:t>
        </w:r>
      </w:hyperlink>
      <w:r w:rsidRPr="009C2F53">
        <w:rPr>
          <w:sz w:val="16"/>
          <w:szCs w:val="16"/>
        </w:rPr>
        <w:t xml:space="preserve">  $140B x 0.214 = =$29.9B / 20 years = </w:t>
      </w:r>
      <w:r w:rsidRPr="009C2F53">
        <w:rPr>
          <w:sz w:val="16"/>
          <w:szCs w:val="16"/>
          <w:shd w:val="clear" w:color="auto" w:fill="F5F5F7"/>
        </w:rPr>
        <w:t>$1.14B</w:t>
      </w:r>
    </w:p>
  </w:endnote>
  <w:endnote w:id="13">
    <w:p w14:paraId="2E78ABF4" w14:textId="5ED4C50F" w:rsidR="0087584E" w:rsidRPr="009C2F53" w:rsidRDefault="0087584E" w:rsidP="003763AE">
      <w:pPr>
        <w:pStyle w:val="EndnoteText"/>
        <w:rPr>
          <w:sz w:val="16"/>
          <w:szCs w:val="16"/>
          <w:lang w:val="en-US"/>
        </w:rPr>
      </w:pPr>
      <w:r w:rsidRPr="009C2F53">
        <w:rPr>
          <w:rStyle w:val="EndnoteReference"/>
          <w:sz w:val="16"/>
          <w:szCs w:val="16"/>
        </w:rPr>
        <w:endnoteRef/>
      </w:r>
      <w:r w:rsidRPr="009C2F53">
        <w:rPr>
          <w:sz w:val="16"/>
          <w:szCs w:val="16"/>
        </w:rPr>
        <w:t xml:space="preserve"> </w:t>
      </w:r>
      <w:r w:rsidRPr="009C2F53">
        <w:rPr>
          <w:sz w:val="16"/>
          <w:szCs w:val="16"/>
          <w:lang w:val="en-US"/>
        </w:rPr>
        <w:t xml:space="preserve">As a guide, in NSW a hospital bed costs $1075 per day NSW Government, </w:t>
      </w:r>
      <w:r w:rsidRPr="009C2F53">
        <w:rPr>
          <w:sz w:val="16"/>
          <w:szCs w:val="16"/>
        </w:rPr>
        <w:t xml:space="preserve">Treasurer, Minister for Health, Health insurers rorting public hospital beds, Media release 30/9/2024, online as at 12/9/2025, </w:t>
      </w:r>
      <w:hyperlink r:id="rId8" w:history="1">
        <w:r w:rsidRPr="008C68DB">
          <w:rPr>
            <w:rStyle w:val="Hyperlink"/>
            <w:sz w:val="16"/>
            <w:szCs w:val="16"/>
            <w:lang w:val="en-US"/>
          </w:rPr>
          <w:t>https://www.nsw.gov.au/media-releases/health-insurers-rorting-public-hospital-beds</w:t>
        </w:r>
      </w:hyperlink>
      <w:r>
        <w:rPr>
          <w:sz w:val="16"/>
          <w:szCs w:val="16"/>
          <w:lang w:val="en-US"/>
        </w:rPr>
        <w:t xml:space="preserve"> </w:t>
      </w:r>
    </w:p>
  </w:endnote>
  <w:endnote w:id="14">
    <w:p w14:paraId="61DF2569" w14:textId="2A7C7796" w:rsidR="0087584E" w:rsidRPr="009C2F53" w:rsidRDefault="0087584E" w:rsidP="003763AE">
      <w:pPr>
        <w:pStyle w:val="EndnoteText"/>
        <w:rPr>
          <w:sz w:val="16"/>
          <w:szCs w:val="16"/>
          <w:lang w:val="en-US"/>
        </w:rPr>
      </w:pPr>
      <w:r w:rsidRPr="009C2F53">
        <w:rPr>
          <w:rStyle w:val="EndnoteReference"/>
          <w:sz w:val="16"/>
          <w:szCs w:val="16"/>
        </w:rPr>
        <w:endnoteRef/>
      </w:r>
      <w:r w:rsidRPr="009C2F53">
        <w:rPr>
          <w:sz w:val="16"/>
          <w:szCs w:val="16"/>
        </w:rPr>
        <w:t xml:space="preserve"> Australian Commission on Safety and Quality in Healthcare, National Safety and Quality Health Service (NSQHS) Standards: second edition, 1.15 P 13, last accessed 20/8/2025 https://www.safetyandquality.gov.au/sites/default/files/2021-05/national_safety_and_quality_health_service_nsqhs_standards_second_edition_-_updated_may_2021.pdf</w:t>
      </w:r>
    </w:p>
  </w:endnote>
  <w:endnote w:id="15">
    <w:p w14:paraId="6B2C32C2" w14:textId="060312AA" w:rsidR="0087584E" w:rsidRPr="009C2F53" w:rsidRDefault="0087584E">
      <w:pPr>
        <w:pStyle w:val="EndnoteText"/>
        <w:rPr>
          <w:sz w:val="16"/>
          <w:szCs w:val="16"/>
          <w:lang w:val="en-US"/>
        </w:rPr>
      </w:pPr>
      <w:r w:rsidRPr="009C2F53">
        <w:rPr>
          <w:rStyle w:val="EndnoteReference"/>
          <w:sz w:val="16"/>
          <w:szCs w:val="16"/>
        </w:rPr>
        <w:endnoteRef/>
      </w:r>
      <w:r w:rsidRPr="009C2F53">
        <w:rPr>
          <w:sz w:val="16"/>
          <w:szCs w:val="16"/>
        </w:rPr>
        <w:t xml:space="preserve"> Barton AD, Beigg CL, Macdonald IA, Allison SP. High food wastage and low nutritional intakes in hospital patients. Clin Nutr. 2000 Dec;19(6):445-9. doi: 10.1054/clnu.2000.0150. PMID: 11104596. </w:t>
      </w:r>
      <w:hyperlink r:id="rId9" w:history="1">
        <w:r w:rsidRPr="009C2F53">
          <w:rPr>
            <w:rStyle w:val="Hyperlink"/>
            <w:sz w:val="16"/>
            <w:szCs w:val="16"/>
          </w:rPr>
          <w:t>https://pubmed.ncbi.nlm.nih.gov/11104596/</w:t>
        </w:r>
      </w:hyperlink>
      <w:r w:rsidRPr="009C2F53">
        <w:rPr>
          <w:sz w:val="16"/>
          <w:szCs w:val="16"/>
        </w:rPr>
        <w:t xml:space="preserve"> Allison S. Institutional feeding of the elderly. Curr Opin Clin Nutr Metab Care. 2002 Jan;5(1):31-4. doi: 10.1097/00075197-200201000-00006. PMID: 11790946. </w:t>
      </w:r>
      <w:hyperlink r:id="rId10" w:history="1">
        <w:r w:rsidRPr="009C2F53">
          <w:rPr>
            <w:rStyle w:val="Hyperlink"/>
            <w:sz w:val="16"/>
            <w:szCs w:val="16"/>
          </w:rPr>
          <w:t>https://pubmed.ncbi.nlm.nih.gov/11790946/</w:t>
        </w:r>
      </w:hyperlink>
      <w:r w:rsidRPr="009C2F53">
        <w:rPr>
          <w:sz w:val="16"/>
          <w:szCs w:val="16"/>
        </w:rPr>
        <w:t xml:space="preserve"> </w:t>
      </w:r>
    </w:p>
  </w:endnote>
  <w:endnote w:id="16">
    <w:p w14:paraId="3C6A9671" w14:textId="1D0331BB" w:rsidR="0087584E" w:rsidRPr="009C2F53" w:rsidRDefault="0087584E">
      <w:pPr>
        <w:pStyle w:val="EndnoteText"/>
        <w:rPr>
          <w:sz w:val="16"/>
          <w:szCs w:val="16"/>
          <w:lang w:val="en-US"/>
        </w:rPr>
      </w:pPr>
      <w:r w:rsidRPr="009C2F53">
        <w:rPr>
          <w:rStyle w:val="EndnoteReference"/>
          <w:sz w:val="16"/>
          <w:szCs w:val="16"/>
        </w:rPr>
        <w:endnoteRef/>
      </w:r>
      <w:r w:rsidRPr="009C2F53">
        <w:rPr>
          <w:sz w:val="16"/>
          <w:szCs w:val="16"/>
        </w:rPr>
        <w:t xml:space="preserve"> Cansado P, Ravasco P, Camilo M. A longitudinal study of hospital undernutrition in the elderly: comparison of four validated methods. J Nutr Health Aging. 2009 Feb;13(2):159-64. doi: 10.1007/s12603-009-0024-y. PMID: 19214346. https://pubmed.ncbi.nlm.nih.gov/19214346/</w:t>
      </w:r>
    </w:p>
  </w:endnote>
  <w:endnote w:id="17">
    <w:p w14:paraId="0D7C92FC" w14:textId="77777777" w:rsidR="0087584E" w:rsidRPr="009C2F53" w:rsidRDefault="0087584E" w:rsidP="00CE0799">
      <w:pPr>
        <w:pStyle w:val="EndnoteText"/>
        <w:rPr>
          <w:sz w:val="16"/>
          <w:szCs w:val="16"/>
          <w:lang w:val="en-US"/>
        </w:rPr>
      </w:pPr>
      <w:r w:rsidRPr="009C2F53">
        <w:rPr>
          <w:rStyle w:val="EndnoteReference"/>
          <w:sz w:val="16"/>
          <w:szCs w:val="16"/>
        </w:rPr>
        <w:endnoteRef/>
      </w:r>
      <w:r w:rsidRPr="009C2F53">
        <w:rPr>
          <w:sz w:val="16"/>
          <w:szCs w:val="16"/>
        </w:rPr>
        <w:t xml:space="preserve"> </w:t>
      </w:r>
      <w:r w:rsidRPr="009C2F53">
        <w:rPr>
          <w:sz w:val="16"/>
          <w:szCs w:val="16"/>
          <w:lang w:val="en-US"/>
        </w:rPr>
        <w:t xml:space="preserve">Victorian Mental Illness Awareness Council, Zero Tolerance for Sexual Assault: a safe admission for women </w:t>
      </w:r>
      <w:hyperlink r:id="rId11" w:history="1">
        <w:r w:rsidRPr="009C2F53">
          <w:rPr>
            <w:rStyle w:val="Hyperlink"/>
            <w:sz w:val="16"/>
            <w:szCs w:val="16"/>
            <w:lang w:val="en-US"/>
          </w:rPr>
          <w:t>https://www.abc.net.au/reslib/201305/r1115028_13591277.pdf</w:t>
        </w:r>
      </w:hyperlink>
      <w:r w:rsidRPr="009C2F53">
        <w:rPr>
          <w:sz w:val="16"/>
          <w:szCs w:val="16"/>
          <w:lang w:val="en-US"/>
        </w:rPr>
        <w:t xml:space="preserve">  Jayashri Kulkarni, Sexual Assaults in psych wards show urgent need for reform, The Conversation 17/5/2013 https://theconversation.com/sexual-assaults-in-psych-wards-show-urgent-need-for-reform-14265</w:t>
      </w:r>
    </w:p>
  </w:endnote>
  <w:endnote w:id="18">
    <w:p w14:paraId="54B6A3F9" w14:textId="77777777" w:rsidR="0087584E" w:rsidRPr="009C2F53" w:rsidRDefault="0087584E" w:rsidP="00972593">
      <w:pPr>
        <w:pStyle w:val="EndnoteText"/>
        <w:rPr>
          <w:sz w:val="16"/>
          <w:szCs w:val="16"/>
          <w:lang w:val="en-US"/>
        </w:rPr>
      </w:pPr>
      <w:r w:rsidRPr="009C2F53">
        <w:rPr>
          <w:rStyle w:val="EndnoteReference"/>
          <w:sz w:val="16"/>
          <w:szCs w:val="16"/>
        </w:rPr>
        <w:endnoteRef/>
      </w:r>
      <w:r w:rsidRPr="009C2F53">
        <w:rPr>
          <w:sz w:val="16"/>
          <w:szCs w:val="16"/>
        </w:rPr>
        <w:t xml:space="preserve"> Australian Government, Department of Health, National Preventative Health Strategy 2021-2030; Valuing health before illness: Living well for longer, 2021, </w:t>
      </w:r>
      <w:r w:rsidRPr="009C2F53">
        <w:rPr>
          <w:sz w:val="16"/>
          <w:szCs w:val="16"/>
          <w:lang w:val="en-US"/>
        </w:rPr>
        <w:t>P21 last accessed 2 September 2025, https://www.health.gov.au/sites/default/files/documents/2021/12/national-preventive-health-strategy-2021-2030_1.pdf</w:t>
      </w:r>
    </w:p>
  </w:endnote>
  <w:endnote w:id="19">
    <w:p w14:paraId="2EDC78D7" w14:textId="40BDE222" w:rsidR="0087584E" w:rsidRPr="009C2F53" w:rsidRDefault="0087584E">
      <w:pPr>
        <w:pStyle w:val="EndnoteText"/>
        <w:rPr>
          <w:sz w:val="16"/>
          <w:szCs w:val="16"/>
          <w:lang w:val="en-US"/>
        </w:rPr>
      </w:pPr>
      <w:r w:rsidRPr="009C2F53">
        <w:rPr>
          <w:rStyle w:val="EndnoteReference"/>
          <w:sz w:val="16"/>
          <w:szCs w:val="16"/>
        </w:rPr>
        <w:endnoteRef/>
      </w:r>
      <w:r w:rsidRPr="009C2F53">
        <w:rPr>
          <w:sz w:val="16"/>
          <w:szCs w:val="16"/>
        </w:rPr>
        <w:t xml:space="preserve"> People with disability generally have higher rates of some modifiable health risk factors and behaviours than people without disability. Australian Institute of Health and Welfare (2024) </w:t>
      </w:r>
      <w:hyperlink r:id="rId12" w:history="1">
        <w:r w:rsidRPr="009C2F53">
          <w:rPr>
            <w:rStyle w:val="Hyperlink"/>
            <w:i/>
            <w:iCs/>
            <w:sz w:val="16"/>
            <w:szCs w:val="16"/>
          </w:rPr>
          <w:t>Health of people with disability</w:t>
        </w:r>
      </w:hyperlink>
      <w:r w:rsidRPr="009C2F53">
        <w:rPr>
          <w:sz w:val="16"/>
          <w:szCs w:val="16"/>
        </w:rPr>
        <w:t xml:space="preserve">, AIHW, Australian Government, accessed 12 September 2025 </w:t>
      </w:r>
      <w:hyperlink r:id="rId13" w:history="1">
        <w:r w:rsidRPr="009C2F53">
          <w:rPr>
            <w:rStyle w:val="Hyperlink"/>
            <w:sz w:val="16"/>
            <w:szCs w:val="16"/>
          </w:rPr>
          <w:t>https://www.aihw.gov.au/reports/australias-health/health-of-people-with-disability</w:t>
        </w:r>
      </w:hyperlink>
      <w:r w:rsidRPr="009C2F53">
        <w:rPr>
          <w:sz w:val="16"/>
          <w:szCs w:val="16"/>
        </w:rPr>
        <w:t xml:space="preserve"> </w:t>
      </w:r>
    </w:p>
  </w:endnote>
  <w:endnote w:id="20">
    <w:p w14:paraId="7DBD7CCB" w14:textId="77777777" w:rsidR="0087584E" w:rsidRPr="009C2F53" w:rsidRDefault="0087584E" w:rsidP="00972593">
      <w:pPr>
        <w:pStyle w:val="EndnoteText"/>
        <w:rPr>
          <w:sz w:val="16"/>
          <w:szCs w:val="16"/>
          <w:lang w:val="en-US"/>
        </w:rPr>
      </w:pPr>
      <w:r w:rsidRPr="009C2F53">
        <w:rPr>
          <w:rStyle w:val="EndnoteReference"/>
          <w:sz w:val="16"/>
          <w:szCs w:val="16"/>
        </w:rPr>
        <w:endnoteRef/>
      </w:r>
      <w:r w:rsidRPr="009C2F53">
        <w:rPr>
          <w:sz w:val="16"/>
          <w:szCs w:val="16"/>
        </w:rPr>
        <w:t xml:space="preserve"> Australian Government, Department of Health, National Preventative Health Strategy 2021-2030; Valuing health before illness: Living well for longer, 2021, </w:t>
      </w:r>
      <w:r w:rsidRPr="009C2F53">
        <w:rPr>
          <w:sz w:val="16"/>
          <w:szCs w:val="16"/>
          <w:lang w:val="en-US"/>
        </w:rPr>
        <w:t>P22-4 last accessed 2 September 2025, https://www.health.gov.au/sites/default/files/documents/2021/12/national-preventive-health-strategy-2021-2030_1.pdf</w:t>
      </w:r>
    </w:p>
  </w:endnote>
  <w:endnote w:id="21">
    <w:p w14:paraId="696962D1" w14:textId="77777777" w:rsidR="0087584E" w:rsidRPr="009C2F53" w:rsidRDefault="0087584E" w:rsidP="00972593">
      <w:pPr>
        <w:pStyle w:val="EndnoteText"/>
        <w:rPr>
          <w:sz w:val="16"/>
          <w:szCs w:val="16"/>
          <w:lang w:val="en-US"/>
        </w:rPr>
      </w:pPr>
      <w:r w:rsidRPr="009C2F53">
        <w:rPr>
          <w:rStyle w:val="EndnoteReference"/>
          <w:sz w:val="16"/>
          <w:szCs w:val="16"/>
        </w:rPr>
        <w:endnoteRef/>
      </w:r>
      <w:r w:rsidRPr="009C2F53">
        <w:rPr>
          <w:sz w:val="16"/>
          <w:szCs w:val="16"/>
        </w:rPr>
        <w:t xml:space="preserve"> Australian Government, Department of Health, National Preventative Health Strategy 2021-2030; Valuing health before illness: Living well for longer, 2021, </w:t>
      </w:r>
      <w:r w:rsidRPr="009C2F53">
        <w:rPr>
          <w:sz w:val="16"/>
          <w:szCs w:val="16"/>
          <w:lang w:val="en-US"/>
        </w:rPr>
        <w:t>P30 last accessed 2 September 2025, https://www.health.gov.au/sites/default/files/documents/2021/12/national-preventive-health-strategy-2021-2030_1.pdf</w:t>
      </w:r>
    </w:p>
  </w:endnote>
  <w:endnote w:id="22">
    <w:p w14:paraId="0B00DB7F" w14:textId="77777777" w:rsidR="0087584E" w:rsidRPr="009C2F53" w:rsidRDefault="0087584E" w:rsidP="00972593">
      <w:pPr>
        <w:pStyle w:val="BodyText"/>
        <w:rPr>
          <w:rStyle w:val="Hyperlink"/>
          <w:sz w:val="16"/>
          <w:szCs w:val="16"/>
        </w:rPr>
      </w:pPr>
      <w:r w:rsidRPr="009C2F53">
        <w:rPr>
          <w:rStyle w:val="EndnoteReference"/>
          <w:sz w:val="16"/>
          <w:szCs w:val="16"/>
        </w:rPr>
        <w:endnoteRef/>
      </w:r>
      <w:r w:rsidRPr="009C2F53">
        <w:rPr>
          <w:sz w:val="16"/>
          <w:szCs w:val="16"/>
        </w:rPr>
        <w:t xml:space="preserve"> Based on the ACE Prevention Study of 123 illness prevention measures to improve population health in Australia. T, Carter R, Barendregt J, Mihalopoulos C, Veerman L, Magnus A, et al. Assessing cost-effectiveness in prevention (ACE-Prevention): Final Report. Brisbane: University of Queensland &amp; Melbourne: Deakin University; 2010. Last accessed 10 October 2023 </w:t>
      </w:r>
      <w:hyperlink r:id="rId14" w:history="1">
        <w:r w:rsidRPr="009C2F53">
          <w:rPr>
            <w:rStyle w:val="Hyperlink"/>
            <w:sz w:val="16"/>
            <w:szCs w:val="16"/>
          </w:rPr>
          <w:t>https://public-health.uq.edu.au/files/571/ACE-Prevention_final_report.pdf</w:t>
        </w:r>
      </w:hyperlink>
      <w:r w:rsidRPr="009C2F53">
        <w:rPr>
          <w:rStyle w:val="Hyperlink"/>
          <w:sz w:val="16"/>
          <w:szCs w:val="16"/>
        </w:rPr>
        <w:t xml:space="preserve"> </w:t>
      </w:r>
    </w:p>
    <w:p w14:paraId="3AF15C5F" w14:textId="373457BF" w:rsidR="0087584E" w:rsidRPr="009C2F53" w:rsidRDefault="0087584E" w:rsidP="00972593">
      <w:pPr>
        <w:pStyle w:val="BodyText"/>
        <w:rPr>
          <w:sz w:val="16"/>
          <w:szCs w:val="16"/>
          <w:lang w:val="en-AU"/>
        </w:rPr>
      </w:pPr>
      <w:r w:rsidRPr="009C2F53">
        <w:rPr>
          <w:sz w:val="16"/>
          <w:szCs w:val="16"/>
        </w:rPr>
        <w:t xml:space="preserve">Investing in preventative healthcare for everyone could save the healthcare system $140 billion over 20 years according to the Productivity Commission. </w:t>
      </w:r>
      <w:r w:rsidRPr="009C2F53">
        <w:rPr>
          <w:sz w:val="16"/>
          <w:szCs w:val="16"/>
          <w:shd w:val="clear" w:color="auto" w:fill="FFFFFF" w:themeFill="background1"/>
        </w:rPr>
        <w:t xml:space="preserve">Productivity Commission (2017). Shifting the dial: 5 year productivity review, last accessed 10 October 2023, </w:t>
      </w:r>
      <w:hyperlink r:id="rId15" w:history="1">
        <w:r w:rsidRPr="009C2F53">
          <w:rPr>
            <w:rStyle w:val="Hyperlink"/>
            <w:sz w:val="16"/>
            <w:szCs w:val="16"/>
            <w:shd w:val="clear" w:color="auto" w:fill="FFFFFF" w:themeFill="background1"/>
          </w:rPr>
          <w:t>https://www.pc.gov.au/inquiries/completed/productivity-review/report/productivity-review.pdf</w:t>
        </w:r>
      </w:hyperlink>
      <w:r w:rsidRPr="009C2F53">
        <w:rPr>
          <w:sz w:val="16"/>
          <w:szCs w:val="16"/>
          <w:shd w:val="clear" w:color="auto" w:fill="F5F5F7"/>
        </w:rPr>
        <w:t xml:space="preserve"> </w:t>
      </w:r>
      <w:r w:rsidRPr="009C2F53">
        <w:rPr>
          <w:sz w:val="16"/>
          <w:szCs w:val="16"/>
        </w:rPr>
        <w:t xml:space="preserve">Australian Medical Association, Health is the best investment; shifting from a ‘sickcare’ system to a healthcare system, last accessed 10 October 2023,  </w:t>
      </w:r>
      <w:hyperlink r:id="rId16" w:history="1">
        <w:r w:rsidRPr="009C2F53">
          <w:rPr>
            <w:rStyle w:val="Hyperlink"/>
            <w:sz w:val="16"/>
            <w:szCs w:val="16"/>
          </w:rPr>
          <w:t>https://www.ama.com.au/sites/default/files/2023-06/Health-is-the-best-investment-shifting-from-a-sickcare-system-to-a-healthcares-system.pdf</w:t>
        </w:r>
      </w:hyperlink>
      <w:r w:rsidRPr="009C2F53">
        <w:rPr>
          <w:sz w:val="16"/>
          <w:szCs w:val="16"/>
        </w:rPr>
        <w:t xml:space="preserve">  $140B x 0.214 = =$29.9B / 20 years = </w:t>
      </w:r>
      <w:r w:rsidRPr="009C2F53">
        <w:rPr>
          <w:sz w:val="16"/>
          <w:szCs w:val="16"/>
          <w:shd w:val="clear" w:color="auto" w:fill="F5F5F7"/>
        </w:rPr>
        <w:t>$1.14B</w:t>
      </w:r>
    </w:p>
    <w:p w14:paraId="58717C0E" w14:textId="77777777" w:rsidR="0087584E" w:rsidRPr="009C2F53" w:rsidRDefault="0087584E" w:rsidP="00972593">
      <w:pPr>
        <w:pStyle w:val="EndnoteText"/>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3C1DA1DE" w:rsidR="00AF4139" w:rsidRDefault="00AF4139" w:rsidP="009F10D8">
    <w:pPr>
      <w:pStyle w:val="Footer"/>
      <w:tabs>
        <w:tab w:val="clear" w:pos="4680"/>
        <w:tab w:val="clear" w:pos="9360"/>
        <w:tab w:val="right" w:pos="2835"/>
        <w:tab w:val="right" w:pos="8505"/>
        <w:tab w:val="right" w:pos="9639"/>
      </w:tabs>
      <w:jc w:val="right"/>
    </w:pPr>
    <w:r>
      <w:rPr>
        <w:noProof/>
        <w:lang w:eastAsia="en-AU"/>
      </w:rPr>
      <w:drawing>
        <wp:anchor distT="0" distB="0" distL="114300" distR="114300" simplePos="0" relativeHeight="251658240"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673742141" name="Picture 1673742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9F10D8">
      <w:rPr>
        <w:noProof/>
      </w:rPr>
      <w:fldChar w:fldCharType="begin"/>
    </w:r>
    <w:r w:rsidR="009F10D8">
      <w:rPr>
        <w:noProof/>
      </w:rPr>
      <w:instrText xml:space="preserve"> STYLEREF  "Heading 1"  \* MERGEFORMAT </w:instrText>
    </w:r>
    <w:r w:rsidR="009F10D8">
      <w:rPr>
        <w:noProof/>
      </w:rPr>
      <w:fldChar w:fldCharType="end"/>
    </w:r>
    <w:r w:rsidR="009F10D8">
      <w:rPr>
        <w:noProof/>
      </w:rPr>
      <w:tab/>
    </w:r>
    <w:r w:rsidR="00CD4D83">
      <w:fldChar w:fldCharType="begin"/>
    </w:r>
    <w:r w:rsidR="00CD4D83">
      <w:instrText xml:space="preserve"> PAGE  \* Arabic  \* MERGEFORMAT </w:instrText>
    </w:r>
    <w:r w:rsidR="00CD4D83">
      <w:fldChar w:fldCharType="separate"/>
    </w:r>
    <w:r w:rsidR="00CD4D83">
      <w:rPr>
        <w:noProof/>
      </w:rPr>
      <w:t>2</w:t>
    </w:r>
    <w:r w:rsidR="00CD4D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2EB" w14:textId="4E8A1F9E" w:rsidR="00AF4139" w:rsidRDefault="00AF4139" w:rsidP="004B0CC2">
    <w:pPr>
      <w:pStyle w:val="Footer"/>
      <w:tabs>
        <w:tab w:val="clear" w:pos="4680"/>
        <w:tab w:val="clear" w:pos="9360"/>
        <w:tab w:val="right" w:pos="8505"/>
        <w:tab w:val="right" w:pos="9639"/>
      </w:tabs>
      <w:jc w:val="right"/>
    </w:pPr>
    <w:r>
      <w:rPr>
        <w:noProof/>
        <w:lang w:eastAsia="en-AU"/>
      </w:rPr>
      <w:drawing>
        <wp:anchor distT="0" distB="0" distL="114300" distR="114300" simplePos="0" relativeHeight="251658241" behindDoc="1" locked="0" layoutInCell="1" allowOverlap="1" wp14:anchorId="098107C3" wp14:editId="43BCF56C">
          <wp:simplePos x="0" y="0"/>
          <wp:positionH relativeFrom="column">
            <wp:posOffset>-215265</wp:posOffset>
          </wp:positionH>
          <wp:positionV relativeFrom="paragraph">
            <wp:posOffset>-163195</wp:posOffset>
          </wp:positionV>
          <wp:extent cx="468000" cy="496036"/>
          <wp:effectExtent l="0" t="0" r="8255" b="0"/>
          <wp:wrapTight wrapText="bothSides">
            <wp:wrapPolygon edited="0">
              <wp:start x="4396" y="0"/>
              <wp:lineTo x="0" y="5808"/>
              <wp:lineTo x="0" y="9127"/>
              <wp:lineTo x="879" y="13275"/>
              <wp:lineTo x="4396" y="20743"/>
              <wp:lineTo x="21102" y="20743"/>
              <wp:lineTo x="21102" y="5808"/>
              <wp:lineTo x="9672" y="0"/>
              <wp:lineTo x="4396"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anchor>
      </w:drawing>
    </w:r>
    <w:r>
      <w:tab/>
    </w:r>
    <w:r w:rsidR="004C4B79">
      <w:t xml:space="preserve"> </w:t>
    </w:r>
    <w:r w:rsidR="005C2FCD">
      <w:t xml:space="preserve"> </w:t>
    </w:r>
    <w:r w:rsidRPr="0016209B">
      <w:rPr>
        <w:rFonts w:asciiTheme="minorHAnsi" w:hAnsiTheme="minorHAnsi" w:cstheme="minorHAnsi"/>
      </w:rPr>
      <w:fldChar w:fldCharType="begin"/>
    </w:r>
    <w:r w:rsidRPr="0016209B">
      <w:rPr>
        <w:rFonts w:asciiTheme="minorHAnsi" w:hAnsiTheme="minorHAnsi" w:cstheme="minorHAnsi"/>
      </w:rPr>
      <w:instrText xml:space="preserve"> PAGE   \* MERGEFORMAT </w:instrText>
    </w:r>
    <w:r w:rsidRPr="0016209B">
      <w:rPr>
        <w:rFonts w:asciiTheme="minorHAnsi" w:hAnsiTheme="minorHAnsi" w:cstheme="minorHAnsi"/>
      </w:rPr>
      <w:fldChar w:fldCharType="separate"/>
    </w:r>
    <w:r w:rsidRPr="0016209B">
      <w:rPr>
        <w:rFonts w:asciiTheme="minorHAnsi" w:hAnsiTheme="minorHAnsi" w:cstheme="minorHAnsi"/>
        <w:noProof/>
      </w:rPr>
      <w:t>19</w:t>
    </w:r>
    <w:r w:rsidRPr="0016209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644A" w14:textId="77777777" w:rsidR="00A4312C" w:rsidRDefault="00A4312C" w:rsidP="00F1283C">
      <w:pPr>
        <w:spacing w:after="0" w:line="240" w:lineRule="auto"/>
      </w:pPr>
      <w:r>
        <w:separator/>
      </w:r>
    </w:p>
  </w:footnote>
  <w:footnote w:type="continuationSeparator" w:id="0">
    <w:p w14:paraId="00256D7F" w14:textId="77777777" w:rsidR="00A4312C" w:rsidRDefault="00A4312C"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77777777" w:rsidR="00AF4139" w:rsidRDefault="00AF4139" w:rsidP="00C02BFC">
    <w:pPr>
      <w:pStyle w:val="Header"/>
    </w:pPr>
  </w:p>
  <w:p w14:paraId="272C4E1D" w14:textId="77777777" w:rsidR="00AF4139"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6AB"/>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1821"/>
    <w:multiLevelType w:val="multilevel"/>
    <w:tmpl w:val="9A28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 w15:restartNumberingAfterBreak="0">
    <w:nsid w:val="0A395CE5"/>
    <w:multiLevelType w:val="hybridMultilevel"/>
    <w:tmpl w:val="028A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616F2"/>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00AE"/>
    <w:multiLevelType w:val="hybridMultilevel"/>
    <w:tmpl w:val="61A2E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8F183F"/>
    <w:multiLevelType w:val="hybridMultilevel"/>
    <w:tmpl w:val="B29A2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7A404E"/>
    <w:multiLevelType w:val="multilevel"/>
    <w:tmpl w:val="64A6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73497"/>
    <w:multiLevelType w:val="multilevel"/>
    <w:tmpl w:val="3F002D38"/>
    <w:name w:val="PWDA_Bullets2"/>
    <w:numStyleLink w:val="PWDABullets"/>
  </w:abstractNum>
  <w:abstractNum w:abstractNumId="10" w15:restartNumberingAfterBreak="0">
    <w:nsid w:val="1C411A4B"/>
    <w:multiLevelType w:val="multilevel"/>
    <w:tmpl w:val="E6E0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20400"/>
    <w:multiLevelType w:val="hybridMultilevel"/>
    <w:tmpl w:val="4FE45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DE6971"/>
    <w:multiLevelType w:val="hybridMultilevel"/>
    <w:tmpl w:val="95D0F900"/>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288C419C"/>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D346D"/>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C48F6"/>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62B72"/>
    <w:multiLevelType w:val="multilevel"/>
    <w:tmpl w:val="B0D2E28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43E6C4B"/>
    <w:multiLevelType w:val="hybridMultilevel"/>
    <w:tmpl w:val="78827C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E62BCB"/>
    <w:multiLevelType w:val="hybridMultilevel"/>
    <w:tmpl w:val="77FEC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9823A5"/>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B79B2"/>
    <w:multiLevelType w:val="hybridMultilevel"/>
    <w:tmpl w:val="DADE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4561D8"/>
    <w:multiLevelType w:val="hybridMultilevel"/>
    <w:tmpl w:val="D3E0C548"/>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7877EC"/>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0E43B7"/>
    <w:multiLevelType w:val="multilevel"/>
    <w:tmpl w:val="CB3E93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41770E3"/>
    <w:multiLevelType w:val="hybridMultilevel"/>
    <w:tmpl w:val="828C9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03544B"/>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A0317"/>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824BC"/>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21757F"/>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00751"/>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756DC"/>
    <w:multiLevelType w:val="multilevel"/>
    <w:tmpl w:val="CB3E93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963007D"/>
    <w:multiLevelType w:val="hybridMultilevel"/>
    <w:tmpl w:val="D3785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920001"/>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8B5785"/>
    <w:multiLevelType w:val="hybridMultilevel"/>
    <w:tmpl w:val="B706D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8145B0"/>
    <w:multiLevelType w:val="multilevel"/>
    <w:tmpl w:val="5598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156B6"/>
    <w:multiLevelType w:val="hybridMultilevel"/>
    <w:tmpl w:val="0B16CC9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BC6BE4"/>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E3D7E"/>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57156"/>
    <w:multiLevelType w:val="hybridMultilevel"/>
    <w:tmpl w:val="5BD0D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1D5E00"/>
    <w:multiLevelType w:val="hybridMultilevel"/>
    <w:tmpl w:val="E7F8C5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775B33"/>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40FBF"/>
    <w:multiLevelType w:val="hybridMultilevel"/>
    <w:tmpl w:val="F6F01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3B5346"/>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B6491"/>
    <w:multiLevelType w:val="multilevel"/>
    <w:tmpl w:val="CB3E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13"/>
  </w:num>
  <w:num w:numId="2" w16cid:durableId="1383677892">
    <w:abstractNumId w:val="2"/>
  </w:num>
  <w:num w:numId="3" w16cid:durableId="1588730485">
    <w:abstractNumId w:val="6"/>
  </w:num>
  <w:num w:numId="4" w16cid:durableId="1461730697">
    <w:abstractNumId w:val="45"/>
  </w:num>
  <w:num w:numId="5" w16cid:durableId="578174227">
    <w:abstractNumId w:val="18"/>
  </w:num>
  <w:num w:numId="6" w16cid:durableId="840313530">
    <w:abstractNumId w:val="32"/>
  </w:num>
  <w:num w:numId="7" w16cid:durableId="871184467">
    <w:abstractNumId w:val="3"/>
  </w:num>
  <w:num w:numId="8" w16cid:durableId="1178080885">
    <w:abstractNumId w:val="1"/>
  </w:num>
  <w:num w:numId="9" w16cid:durableId="1318612931">
    <w:abstractNumId w:val="35"/>
  </w:num>
  <w:num w:numId="10" w16cid:durableId="650908802">
    <w:abstractNumId w:val="40"/>
  </w:num>
  <w:num w:numId="11" w16cid:durableId="554967453">
    <w:abstractNumId w:val="12"/>
  </w:num>
  <w:num w:numId="12" w16cid:durableId="1958641591">
    <w:abstractNumId w:val="22"/>
  </w:num>
  <w:num w:numId="13" w16cid:durableId="211968581">
    <w:abstractNumId w:val="19"/>
  </w:num>
  <w:num w:numId="14" w16cid:durableId="19741196">
    <w:abstractNumId w:val="8"/>
  </w:num>
  <w:num w:numId="15" w16cid:durableId="1115101925">
    <w:abstractNumId w:val="42"/>
  </w:num>
  <w:num w:numId="16" w16cid:durableId="1914731570">
    <w:abstractNumId w:val="34"/>
  </w:num>
  <w:num w:numId="17" w16cid:durableId="546572495">
    <w:abstractNumId w:val="7"/>
  </w:num>
  <w:num w:numId="18" w16cid:durableId="1524590187">
    <w:abstractNumId w:val="39"/>
  </w:num>
  <w:num w:numId="19" w16cid:durableId="775294958">
    <w:abstractNumId w:val="25"/>
  </w:num>
  <w:num w:numId="20" w16cid:durableId="790241889">
    <w:abstractNumId w:val="30"/>
  </w:num>
  <w:num w:numId="21" w16cid:durableId="869874908">
    <w:abstractNumId w:val="27"/>
  </w:num>
  <w:num w:numId="22" w16cid:durableId="1569532090">
    <w:abstractNumId w:val="44"/>
  </w:num>
  <w:num w:numId="23" w16cid:durableId="1953852741">
    <w:abstractNumId w:val="20"/>
  </w:num>
  <w:num w:numId="24" w16cid:durableId="2032798502">
    <w:abstractNumId w:val="4"/>
  </w:num>
  <w:num w:numId="25" w16cid:durableId="1522743094">
    <w:abstractNumId w:val="38"/>
  </w:num>
  <w:num w:numId="26" w16cid:durableId="1267616506">
    <w:abstractNumId w:val="33"/>
  </w:num>
  <w:num w:numId="27" w16cid:durableId="1312367518">
    <w:abstractNumId w:val="16"/>
  </w:num>
  <w:num w:numId="28" w16cid:durableId="1658533448">
    <w:abstractNumId w:val="43"/>
  </w:num>
  <w:num w:numId="29" w16cid:durableId="2092196996">
    <w:abstractNumId w:val="37"/>
  </w:num>
  <w:num w:numId="30" w16cid:durableId="787050304">
    <w:abstractNumId w:val="14"/>
  </w:num>
  <w:num w:numId="31" w16cid:durableId="1769696869">
    <w:abstractNumId w:val="29"/>
  </w:num>
  <w:num w:numId="32" w16cid:durableId="1967465539">
    <w:abstractNumId w:val="24"/>
  </w:num>
  <w:num w:numId="33" w16cid:durableId="2133282957">
    <w:abstractNumId w:val="31"/>
  </w:num>
  <w:num w:numId="34" w16cid:durableId="191382027">
    <w:abstractNumId w:val="41"/>
  </w:num>
  <w:num w:numId="35" w16cid:durableId="1954088110">
    <w:abstractNumId w:val="28"/>
  </w:num>
  <w:num w:numId="36" w16cid:durableId="2042123417">
    <w:abstractNumId w:val="26"/>
  </w:num>
  <w:num w:numId="37" w16cid:durableId="1829903068">
    <w:abstractNumId w:val="15"/>
  </w:num>
  <w:num w:numId="38" w16cid:durableId="505943615">
    <w:abstractNumId w:val="0"/>
  </w:num>
  <w:num w:numId="39" w16cid:durableId="914901943">
    <w:abstractNumId w:val="10"/>
  </w:num>
  <w:num w:numId="40" w16cid:durableId="1967196919">
    <w:abstractNumId w:val="17"/>
  </w:num>
  <w:num w:numId="41" w16cid:durableId="1228875612">
    <w:abstractNumId w:val="11"/>
  </w:num>
  <w:num w:numId="42" w16cid:durableId="2011713125">
    <w:abstractNumId w:val="23"/>
  </w:num>
  <w:num w:numId="43" w16cid:durableId="279343568">
    <w:abstractNumId w:val="5"/>
  </w:num>
  <w:num w:numId="44" w16cid:durableId="1144616020">
    <w:abstractNumId w:val="36"/>
  </w:num>
  <w:num w:numId="45" w16cid:durableId="33858665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23C6"/>
    <w:rsid w:val="00003077"/>
    <w:rsid w:val="00003112"/>
    <w:rsid w:val="00003A55"/>
    <w:rsid w:val="00003B23"/>
    <w:rsid w:val="000048F1"/>
    <w:rsid w:val="000065BA"/>
    <w:rsid w:val="0000661F"/>
    <w:rsid w:val="00006C78"/>
    <w:rsid w:val="00007A0D"/>
    <w:rsid w:val="00010A62"/>
    <w:rsid w:val="00010C24"/>
    <w:rsid w:val="00010F15"/>
    <w:rsid w:val="00011B59"/>
    <w:rsid w:val="000136D2"/>
    <w:rsid w:val="00013C30"/>
    <w:rsid w:val="00014092"/>
    <w:rsid w:val="00015058"/>
    <w:rsid w:val="000152EF"/>
    <w:rsid w:val="000163CD"/>
    <w:rsid w:val="000171EA"/>
    <w:rsid w:val="00017285"/>
    <w:rsid w:val="00017B9D"/>
    <w:rsid w:val="00017FB9"/>
    <w:rsid w:val="0002018C"/>
    <w:rsid w:val="000205BC"/>
    <w:rsid w:val="0002294E"/>
    <w:rsid w:val="00022D79"/>
    <w:rsid w:val="00023001"/>
    <w:rsid w:val="0002393D"/>
    <w:rsid w:val="00023ACE"/>
    <w:rsid w:val="00023F22"/>
    <w:rsid w:val="000244C7"/>
    <w:rsid w:val="000251D1"/>
    <w:rsid w:val="000254A2"/>
    <w:rsid w:val="000261ED"/>
    <w:rsid w:val="000265D4"/>
    <w:rsid w:val="00026B7F"/>
    <w:rsid w:val="0003018A"/>
    <w:rsid w:val="000305F7"/>
    <w:rsid w:val="00030E4A"/>
    <w:rsid w:val="00031090"/>
    <w:rsid w:val="00033909"/>
    <w:rsid w:val="00033B8D"/>
    <w:rsid w:val="00034185"/>
    <w:rsid w:val="00035F4A"/>
    <w:rsid w:val="0003619C"/>
    <w:rsid w:val="000372EA"/>
    <w:rsid w:val="0003779A"/>
    <w:rsid w:val="00037C50"/>
    <w:rsid w:val="0004055B"/>
    <w:rsid w:val="00041A17"/>
    <w:rsid w:val="00041A75"/>
    <w:rsid w:val="00041E00"/>
    <w:rsid w:val="000427D2"/>
    <w:rsid w:val="000429E3"/>
    <w:rsid w:val="00042A20"/>
    <w:rsid w:val="00042C20"/>
    <w:rsid w:val="00043CB1"/>
    <w:rsid w:val="00043E96"/>
    <w:rsid w:val="00044041"/>
    <w:rsid w:val="000442DB"/>
    <w:rsid w:val="00045BF3"/>
    <w:rsid w:val="0004636A"/>
    <w:rsid w:val="0004667E"/>
    <w:rsid w:val="000466D9"/>
    <w:rsid w:val="000470F4"/>
    <w:rsid w:val="00052035"/>
    <w:rsid w:val="00052779"/>
    <w:rsid w:val="00053D40"/>
    <w:rsid w:val="000574B0"/>
    <w:rsid w:val="00060D99"/>
    <w:rsid w:val="00062730"/>
    <w:rsid w:val="00062D2D"/>
    <w:rsid w:val="00063604"/>
    <w:rsid w:val="0006367B"/>
    <w:rsid w:val="0006372A"/>
    <w:rsid w:val="00065141"/>
    <w:rsid w:val="00067117"/>
    <w:rsid w:val="00067167"/>
    <w:rsid w:val="00070FEC"/>
    <w:rsid w:val="00072059"/>
    <w:rsid w:val="000720F7"/>
    <w:rsid w:val="000722D4"/>
    <w:rsid w:val="00073425"/>
    <w:rsid w:val="00073BED"/>
    <w:rsid w:val="000761B7"/>
    <w:rsid w:val="0008001A"/>
    <w:rsid w:val="0008014F"/>
    <w:rsid w:val="000803BA"/>
    <w:rsid w:val="000808F3"/>
    <w:rsid w:val="00082DD3"/>
    <w:rsid w:val="00084809"/>
    <w:rsid w:val="00085087"/>
    <w:rsid w:val="0008589B"/>
    <w:rsid w:val="00087107"/>
    <w:rsid w:val="000872A1"/>
    <w:rsid w:val="00090057"/>
    <w:rsid w:val="0009040B"/>
    <w:rsid w:val="000908CC"/>
    <w:rsid w:val="00090F8C"/>
    <w:rsid w:val="00091567"/>
    <w:rsid w:val="00091C2D"/>
    <w:rsid w:val="000948DB"/>
    <w:rsid w:val="000952BC"/>
    <w:rsid w:val="0009533C"/>
    <w:rsid w:val="000958B7"/>
    <w:rsid w:val="00096E73"/>
    <w:rsid w:val="000971CC"/>
    <w:rsid w:val="000A0EFC"/>
    <w:rsid w:val="000A28CA"/>
    <w:rsid w:val="000A34AB"/>
    <w:rsid w:val="000A3A77"/>
    <w:rsid w:val="000A3EA3"/>
    <w:rsid w:val="000A4CD9"/>
    <w:rsid w:val="000A5BF6"/>
    <w:rsid w:val="000A6098"/>
    <w:rsid w:val="000A6247"/>
    <w:rsid w:val="000A649C"/>
    <w:rsid w:val="000A6A7B"/>
    <w:rsid w:val="000A6B40"/>
    <w:rsid w:val="000B16E6"/>
    <w:rsid w:val="000B1703"/>
    <w:rsid w:val="000B2AD2"/>
    <w:rsid w:val="000B2FB5"/>
    <w:rsid w:val="000B4373"/>
    <w:rsid w:val="000B45E5"/>
    <w:rsid w:val="000B5D63"/>
    <w:rsid w:val="000B620F"/>
    <w:rsid w:val="000B7E7D"/>
    <w:rsid w:val="000C147C"/>
    <w:rsid w:val="000C4C4F"/>
    <w:rsid w:val="000C4ECF"/>
    <w:rsid w:val="000C580A"/>
    <w:rsid w:val="000C595B"/>
    <w:rsid w:val="000C5ED4"/>
    <w:rsid w:val="000C6881"/>
    <w:rsid w:val="000D05D9"/>
    <w:rsid w:val="000D0937"/>
    <w:rsid w:val="000D0D91"/>
    <w:rsid w:val="000D46AF"/>
    <w:rsid w:val="000D525D"/>
    <w:rsid w:val="000D575D"/>
    <w:rsid w:val="000D7181"/>
    <w:rsid w:val="000D7CA3"/>
    <w:rsid w:val="000E00E4"/>
    <w:rsid w:val="000E0BB7"/>
    <w:rsid w:val="000E1F09"/>
    <w:rsid w:val="000E2282"/>
    <w:rsid w:val="000E23BC"/>
    <w:rsid w:val="000E296B"/>
    <w:rsid w:val="000E3CEE"/>
    <w:rsid w:val="000E412A"/>
    <w:rsid w:val="000E54DC"/>
    <w:rsid w:val="000E7158"/>
    <w:rsid w:val="000E721A"/>
    <w:rsid w:val="000F029B"/>
    <w:rsid w:val="000F08F3"/>
    <w:rsid w:val="000F1388"/>
    <w:rsid w:val="000F1412"/>
    <w:rsid w:val="000F165B"/>
    <w:rsid w:val="000F1694"/>
    <w:rsid w:val="000F2569"/>
    <w:rsid w:val="000F2DB7"/>
    <w:rsid w:val="000F379D"/>
    <w:rsid w:val="000F4F3A"/>
    <w:rsid w:val="000F6427"/>
    <w:rsid w:val="000F6577"/>
    <w:rsid w:val="000F6ED1"/>
    <w:rsid w:val="000F74F3"/>
    <w:rsid w:val="001007E9"/>
    <w:rsid w:val="00100939"/>
    <w:rsid w:val="00100AF7"/>
    <w:rsid w:val="0010226F"/>
    <w:rsid w:val="001025AE"/>
    <w:rsid w:val="00102992"/>
    <w:rsid w:val="001048F2"/>
    <w:rsid w:val="00104DC5"/>
    <w:rsid w:val="00106472"/>
    <w:rsid w:val="00107201"/>
    <w:rsid w:val="00107512"/>
    <w:rsid w:val="001076A1"/>
    <w:rsid w:val="0011098F"/>
    <w:rsid w:val="00110BD2"/>
    <w:rsid w:val="00111580"/>
    <w:rsid w:val="00113059"/>
    <w:rsid w:val="00113E7C"/>
    <w:rsid w:val="00114AC8"/>
    <w:rsid w:val="00115921"/>
    <w:rsid w:val="001163DC"/>
    <w:rsid w:val="001165D4"/>
    <w:rsid w:val="001172A8"/>
    <w:rsid w:val="00117327"/>
    <w:rsid w:val="001173B3"/>
    <w:rsid w:val="0012081B"/>
    <w:rsid w:val="00120A98"/>
    <w:rsid w:val="001226E3"/>
    <w:rsid w:val="00122DB1"/>
    <w:rsid w:val="001230DF"/>
    <w:rsid w:val="0012328C"/>
    <w:rsid w:val="001234CE"/>
    <w:rsid w:val="00123976"/>
    <w:rsid w:val="00123EF5"/>
    <w:rsid w:val="00123F5D"/>
    <w:rsid w:val="0012411B"/>
    <w:rsid w:val="00124469"/>
    <w:rsid w:val="00125281"/>
    <w:rsid w:val="00125572"/>
    <w:rsid w:val="0012662B"/>
    <w:rsid w:val="00130422"/>
    <w:rsid w:val="00130813"/>
    <w:rsid w:val="00130CA9"/>
    <w:rsid w:val="00130DFB"/>
    <w:rsid w:val="001312CB"/>
    <w:rsid w:val="00131EBE"/>
    <w:rsid w:val="001341D7"/>
    <w:rsid w:val="0013478A"/>
    <w:rsid w:val="0013505B"/>
    <w:rsid w:val="00135AD0"/>
    <w:rsid w:val="00136491"/>
    <w:rsid w:val="001369F1"/>
    <w:rsid w:val="00136BC9"/>
    <w:rsid w:val="00136FAF"/>
    <w:rsid w:val="00136FCA"/>
    <w:rsid w:val="00137CF4"/>
    <w:rsid w:val="00140E75"/>
    <w:rsid w:val="001411B9"/>
    <w:rsid w:val="0014154D"/>
    <w:rsid w:val="00142071"/>
    <w:rsid w:val="001421EA"/>
    <w:rsid w:val="0014221D"/>
    <w:rsid w:val="0014233B"/>
    <w:rsid w:val="00142358"/>
    <w:rsid w:val="001431DD"/>
    <w:rsid w:val="00143D23"/>
    <w:rsid w:val="00144212"/>
    <w:rsid w:val="00144826"/>
    <w:rsid w:val="00144D01"/>
    <w:rsid w:val="00144F01"/>
    <w:rsid w:val="001455A3"/>
    <w:rsid w:val="00146768"/>
    <w:rsid w:val="0015041C"/>
    <w:rsid w:val="001508ED"/>
    <w:rsid w:val="0015092F"/>
    <w:rsid w:val="00151F96"/>
    <w:rsid w:val="00152131"/>
    <w:rsid w:val="001530DE"/>
    <w:rsid w:val="00155D49"/>
    <w:rsid w:val="00155EF5"/>
    <w:rsid w:val="00156031"/>
    <w:rsid w:val="001564EF"/>
    <w:rsid w:val="00157165"/>
    <w:rsid w:val="00157757"/>
    <w:rsid w:val="00157BFE"/>
    <w:rsid w:val="00160A2A"/>
    <w:rsid w:val="00161179"/>
    <w:rsid w:val="00162050"/>
    <w:rsid w:val="0016209B"/>
    <w:rsid w:val="00162188"/>
    <w:rsid w:val="00163B21"/>
    <w:rsid w:val="0016427C"/>
    <w:rsid w:val="001654F9"/>
    <w:rsid w:val="00166927"/>
    <w:rsid w:val="00166BF7"/>
    <w:rsid w:val="00167E58"/>
    <w:rsid w:val="00170873"/>
    <w:rsid w:val="00170938"/>
    <w:rsid w:val="00170DA3"/>
    <w:rsid w:val="00171E80"/>
    <w:rsid w:val="001720F6"/>
    <w:rsid w:val="00173437"/>
    <w:rsid w:val="0017439A"/>
    <w:rsid w:val="00174B50"/>
    <w:rsid w:val="001757AC"/>
    <w:rsid w:val="00176470"/>
    <w:rsid w:val="001776FB"/>
    <w:rsid w:val="001802A0"/>
    <w:rsid w:val="001805F9"/>
    <w:rsid w:val="0018071F"/>
    <w:rsid w:val="001818A8"/>
    <w:rsid w:val="00182010"/>
    <w:rsid w:val="00182618"/>
    <w:rsid w:val="00183FAD"/>
    <w:rsid w:val="00184C99"/>
    <w:rsid w:val="00184CDF"/>
    <w:rsid w:val="00184DFC"/>
    <w:rsid w:val="00185075"/>
    <w:rsid w:val="00185435"/>
    <w:rsid w:val="00185BD1"/>
    <w:rsid w:val="00186551"/>
    <w:rsid w:val="0018657F"/>
    <w:rsid w:val="0019121B"/>
    <w:rsid w:val="001926DC"/>
    <w:rsid w:val="001931C1"/>
    <w:rsid w:val="0019469B"/>
    <w:rsid w:val="0019531B"/>
    <w:rsid w:val="00195CF6"/>
    <w:rsid w:val="0019713F"/>
    <w:rsid w:val="001973D2"/>
    <w:rsid w:val="00197440"/>
    <w:rsid w:val="0019776D"/>
    <w:rsid w:val="001A0136"/>
    <w:rsid w:val="001A0B8F"/>
    <w:rsid w:val="001A1057"/>
    <w:rsid w:val="001A151F"/>
    <w:rsid w:val="001A234B"/>
    <w:rsid w:val="001A395A"/>
    <w:rsid w:val="001A3EC5"/>
    <w:rsid w:val="001A4D38"/>
    <w:rsid w:val="001A5910"/>
    <w:rsid w:val="001A5C7A"/>
    <w:rsid w:val="001A6045"/>
    <w:rsid w:val="001A60E3"/>
    <w:rsid w:val="001A67EB"/>
    <w:rsid w:val="001B0470"/>
    <w:rsid w:val="001B0509"/>
    <w:rsid w:val="001B0A96"/>
    <w:rsid w:val="001B1BC1"/>
    <w:rsid w:val="001B1F8B"/>
    <w:rsid w:val="001B2080"/>
    <w:rsid w:val="001B2422"/>
    <w:rsid w:val="001B2A5D"/>
    <w:rsid w:val="001B3657"/>
    <w:rsid w:val="001B45EE"/>
    <w:rsid w:val="001B4FAA"/>
    <w:rsid w:val="001B63D5"/>
    <w:rsid w:val="001B6657"/>
    <w:rsid w:val="001C0669"/>
    <w:rsid w:val="001C0C4F"/>
    <w:rsid w:val="001C2EF3"/>
    <w:rsid w:val="001C42BB"/>
    <w:rsid w:val="001C56F4"/>
    <w:rsid w:val="001C6892"/>
    <w:rsid w:val="001C69C0"/>
    <w:rsid w:val="001C7BEF"/>
    <w:rsid w:val="001D0EFF"/>
    <w:rsid w:val="001D1DBA"/>
    <w:rsid w:val="001D1F91"/>
    <w:rsid w:val="001D2649"/>
    <w:rsid w:val="001D4153"/>
    <w:rsid w:val="001D418B"/>
    <w:rsid w:val="001D4443"/>
    <w:rsid w:val="001D447A"/>
    <w:rsid w:val="001D4E77"/>
    <w:rsid w:val="001D4F3D"/>
    <w:rsid w:val="001D51B8"/>
    <w:rsid w:val="001D60FC"/>
    <w:rsid w:val="001D6380"/>
    <w:rsid w:val="001D7D1D"/>
    <w:rsid w:val="001E0ABC"/>
    <w:rsid w:val="001E1F89"/>
    <w:rsid w:val="001E1FCB"/>
    <w:rsid w:val="001E22E7"/>
    <w:rsid w:val="001E2CCE"/>
    <w:rsid w:val="001E2D73"/>
    <w:rsid w:val="001E3286"/>
    <w:rsid w:val="001E32A8"/>
    <w:rsid w:val="001E3584"/>
    <w:rsid w:val="001E3F17"/>
    <w:rsid w:val="001E46E8"/>
    <w:rsid w:val="001E5741"/>
    <w:rsid w:val="001E6248"/>
    <w:rsid w:val="001E661E"/>
    <w:rsid w:val="001E6834"/>
    <w:rsid w:val="001E6C2F"/>
    <w:rsid w:val="001F0858"/>
    <w:rsid w:val="001F108D"/>
    <w:rsid w:val="001F174D"/>
    <w:rsid w:val="001F17EC"/>
    <w:rsid w:val="001F322E"/>
    <w:rsid w:val="001F522A"/>
    <w:rsid w:val="001F5464"/>
    <w:rsid w:val="001F558C"/>
    <w:rsid w:val="001F5632"/>
    <w:rsid w:val="0020046E"/>
    <w:rsid w:val="00201A09"/>
    <w:rsid w:val="00201AD8"/>
    <w:rsid w:val="002023A6"/>
    <w:rsid w:val="00202BDA"/>
    <w:rsid w:val="002033A1"/>
    <w:rsid w:val="0020428B"/>
    <w:rsid w:val="00204A85"/>
    <w:rsid w:val="00204E12"/>
    <w:rsid w:val="00205771"/>
    <w:rsid w:val="00205D29"/>
    <w:rsid w:val="00206EE5"/>
    <w:rsid w:val="002106BB"/>
    <w:rsid w:val="002108A3"/>
    <w:rsid w:val="00211EB3"/>
    <w:rsid w:val="00212095"/>
    <w:rsid w:val="00212DBC"/>
    <w:rsid w:val="00213B0F"/>
    <w:rsid w:val="002154EA"/>
    <w:rsid w:val="00215754"/>
    <w:rsid w:val="0021583F"/>
    <w:rsid w:val="002162A5"/>
    <w:rsid w:val="00216952"/>
    <w:rsid w:val="002174D6"/>
    <w:rsid w:val="002211C3"/>
    <w:rsid w:val="00221566"/>
    <w:rsid w:val="00221FA0"/>
    <w:rsid w:val="00222028"/>
    <w:rsid w:val="002230C2"/>
    <w:rsid w:val="00223A5B"/>
    <w:rsid w:val="00224481"/>
    <w:rsid w:val="002247B2"/>
    <w:rsid w:val="00224E16"/>
    <w:rsid w:val="00225400"/>
    <w:rsid w:val="00225E5A"/>
    <w:rsid w:val="00225EE4"/>
    <w:rsid w:val="00226ACA"/>
    <w:rsid w:val="00226CC8"/>
    <w:rsid w:val="002276CB"/>
    <w:rsid w:val="0023184B"/>
    <w:rsid w:val="00231AA4"/>
    <w:rsid w:val="00231BF5"/>
    <w:rsid w:val="002324CA"/>
    <w:rsid w:val="00232893"/>
    <w:rsid w:val="00233EE4"/>
    <w:rsid w:val="00234006"/>
    <w:rsid w:val="00234768"/>
    <w:rsid w:val="002352F0"/>
    <w:rsid w:val="00236BB2"/>
    <w:rsid w:val="00237028"/>
    <w:rsid w:val="002374C5"/>
    <w:rsid w:val="00237B99"/>
    <w:rsid w:val="00240875"/>
    <w:rsid w:val="002413B2"/>
    <w:rsid w:val="00242394"/>
    <w:rsid w:val="0024256B"/>
    <w:rsid w:val="00242F7D"/>
    <w:rsid w:val="0024301D"/>
    <w:rsid w:val="00243342"/>
    <w:rsid w:val="00243851"/>
    <w:rsid w:val="00243E7F"/>
    <w:rsid w:val="002446AA"/>
    <w:rsid w:val="00245028"/>
    <w:rsid w:val="00245152"/>
    <w:rsid w:val="00245331"/>
    <w:rsid w:val="00245503"/>
    <w:rsid w:val="002455EA"/>
    <w:rsid w:val="00245853"/>
    <w:rsid w:val="00245BC5"/>
    <w:rsid w:val="002507F2"/>
    <w:rsid w:val="00250EB7"/>
    <w:rsid w:val="00251283"/>
    <w:rsid w:val="002515C0"/>
    <w:rsid w:val="00251664"/>
    <w:rsid w:val="00251B88"/>
    <w:rsid w:val="00252D00"/>
    <w:rsid w:val="002544DC"/>
    <w:rsid w:val="00254F76"/>
    <w:rsid w:val="002552A6"/>
    <w:rsid w:val="00255A0C"/>
    <w:rsid w:val="00255E0A"/>
    <w:rsid w:val="0025661C"/>
    <w:rsid w:val="002566C3"/>
    <w:rsid w:val="00257CE8"/>
    <w:rsid w:val="00260A40"/>
    <w:rsid w:val="00261019"/>
    <w:rsid w:val="0026191E"/>
    <w:rsid w:val="00261AB9"/>
    <w:rsid w:val="00261DAF"/>
    <w:rsid w:val="00262430"/>
    <w:rsid w:val="00262CC2"/>
    <w:rsid w:val="00266586"/>
    <w:rsid w:val="002670D6"/>
    <w:rsid w:val="00267903"/>
    <w:rsid w:val="002704D5"/>
    <w:rsid w:val="00270B2C"/>
    <w:rsid w:val="00270E4A"/>
    <w:rsid w:val="00271A43"/>
    <w:rsid w:val="00271CC5"/>
    <w:rsid w:val="00272840"/>
    <w:rsid w:val="00272DFB"/>
    <w:rsid w:val="002746C0"/>
    <w:rsid w:val="00275E16"/>
    <w:rsid w:val="00276476"/>
    <w:rsid w:val="00276FFD"/>
    <w:rsid w:val="00277F81"/>
    <w:rsid w:val="00280642"/>
    <w:rsid w:val="0028298B"/>
    <w:rsid w:val="00283311"/>
    <w:rsid w:val="002834A4"/>
    <w:rsid w:val="00284CEB"/>
    <w:rsid w:val="00284DDB"/>
    <w:rsid w:val="00285A15"/>
    <w:rsid w:val="00286470"/>
    <w:rsid w:val="0028655A"/>
    <w:rsid w:val="00286DDB"/>
    <w:rsid w:val="00286E2D"/>
    <w:rsid w:val="00287131"/>
    <w:rsid w:val="00287464"/>
    <w:rsid w:val="00290F9C"/>
    <w:rsid w:val="00292786"/>
    <w:rsid w:val="0029281B"/>
    <w:rsid w:val="00292FEE"/>
    <w:rsid w:val="002937C8"/>
    <w:rsid w:val="00293FBC"/>
    <w:rsid w:val="00294716"/>
    <w:rsid w:val="00294A83"/>
    <w:rsid w:val="00296133"/>
    <w:rsid w:val="00296AEE"/>
    <w:rsid w:val="002978DF"/>
    <w:rsid w:val="002A1218"/>
    <w:rsid w:val="002A1692"/>
    <w:rsid w:val="002A18A6"/>
    <w:rsid w:val="002A2ABB"/>
    <w:rsid w:val="002A42FD"/>
    <w:rsid w:val="002A47AD"/>
    <w:rsid w:val="002A4C77"/>
    <w:rsid w:val="002A4E56"/>
    <w:rsid w:val="002A4F1A"/>
    <w:rsid w:val="002A558C"/>
    <w:rsid w:val="002A587B"/>
    <w:rsid w:val="002A609D"/>
    <w:rsid w:val="002A6763"/>
    <w:rsid w:val="002A790B"/>
    <w:rsid w:val="002A7920"/>
    <w:rsid w:val="002B039E"/>
    <w:rsid w:val="002B0A42"/>
    <w:rsid w:val="002B52FA"/>
    <w:rsid w:val="002B5542"/>
    <w:rsid w:val="002B5804"/>
    <w:rsid w:val="002B588B"/>
    <w:rsid w:val="002B6077"/>
    <w:rsid w:val="002B6755"/>
    <w:rsid w:val="002B6AD2"/>
    <w:rsid w:val="002B6DFD"/>
    <w:rsid w:val="002B6FDF"/>
    <w:rsid w:val="002B77FD"/>
    <w:rsid w:val="002B7A54"/>
    <w:rsid w:val="002C22FE"/>
    <w:rsid w:val="002C3430"/>
    <w:rsid w:val="002C37F2"/>
    <w:rsid w:val="002C3C50"/>
    <w:rsid w:val="002C3F5C"/>
    <w:rsid w:val="002C42E9"/>
    <w:rsid w:val="002C48A3"/>
    <w:rsid w:val="002C4B48"/>
    <w:rsid w:val="002C4FAE"/>
    <w:rsid w:val="002C61E5"/>
    <w:rsid w:val="002C6A88"/>
    <w:rsid w:val="002C7486"/>
    <w:rsid w:val="002C7727"/>
    <w:rsid w:val="002C7AED"/>
    <w:rsid w:val="002C7F8C"/>
    <w:rsid w:val="002D0790"/>
    <w:rsid w:val="002D0EBC"/>
    <w:rsid w:val="002D0F85"/>
    <w:rsid w:val="002D13D1"/>
    <w:rsid w:val="002D2143"/>
    <w:rsid w:val="002D32E8"/>
    <w:rsid w:val="002D333B"/>
    <w:rsid w:val="002D45BC"/>
    <w:rsid w:val="002D46ED"/>
    <w:rsid w:val="002D4AFF"/>
    <w:rsid w:val="002D5083"/>
    <w:rsid w:val="002D75AF"/>
    <w:rsid w:val="002D7724"/>
    <w:rsid w:val="002D7D9F"/>
    <w:rsid w:val="002E0331"/>
    <w:rsid w:val="002E1177"/>
    <w:rsid w:val="002E1E31"/>
    <w:rsid w:val="002E348E"/>
    <w:rsid w:val="002E34F5"/>
    <w:rsid w:val="002E4D98"/>
    <w:rsid w:val="002E526C"/>
    <w:rsid w:val="002E5CF7"/>
    <w:rsid w:val="002E5DEF"/>
    <w:rsid w:val="002E69D9"/>
    <w:rsid w:val="002E78E1"/>
    <w:rsid w:val="002E7C6B"/>
    <w:rsid w:val="002F0553"/>
    <w:rsid w:val="002F061E"/>
    <w:rsid w:val="002F0C87"/>
    <w:rsid w:val="002F27C1"/>
    <w:rsid w:val="002F2BF8"/>
    <w:rsid w:val="002F4AD8"/>
    <w:rsid w:val="002F4BF5"/>
    <w:rsid w:val="002F59E3"/>
    <w:rsid w:val="002F5F5E"/>
    <w:rsid w:val="002F60EC"/>
    <w:rsid w:val="002F65E8"/>
    <w:rsid w:val="002F7353"/>
    <w:rsid w:val="002F7A20"/>
    <w:rsid w:val="00300382"/>
    <w:rsid w:val="00301696"/>
    <w:rsid w:val="00301A19"/>
    <w:rsid w:val="003045D3"/>
    <w:rsid w:val="00304682"/>
    <w:rsid w:val="003048EA"/>
    <w:rsid w:val="00304B33"/>
    <w:rsid w:val="00304F82"/>
    <w:rsid w:val="00306EA8"/>
    <w:rsid w:val="00307C65"/>
    <w:rsid w:val="00310FEF"/>
    <w:rsid w:val="003120B5"/>
    <w:rsid w:val="0031249C"/>
    <w:rsid w:val="00313FC7"/>
    <w:rsid w:val="00314D6D"/>
    <w:rsid w:val="0031572A"/>
    <w:rsid w:val="00316CEE"/>
    <w:rsid w:val="00316DEB"/>
    <w:rsid w:val="00316E1E"/>
    <w:rsid w:val="00317085"/>
    <w:rsid w:val="00317960"/>
    <w:rsid w:val="00320026"/>
    <w:rsid w:val="00320A93"/>
    <w:rsid w:val="00320FEA"/>
    <w:rsid w:val="003215B4"/>
    <w:rsid w:val="00321677"/>
    <w:rsid w:val="0032225C"/>
    <w:rsid w:val="00322308"/>
    <w:rsid w:val="003227B1"/>
    <w:rsid w:val="00323B42"/>
    <w:rsid w:val="00324086"/>
    <w:rsid w:val="00324F23"/>
    <w:rsid w:val="00325210"/>
    <w:rsid w:val="00325AB8"/>
    <w:rsid w:val="00325CC0"/>
    <w:rsid w:val="0032665B"/>
    <w:rsid w:val="003277B6"/>
    <w:rsid w:val="00330239"/>
    <w:rsid w:val="0033130C"/>
    <w:rsid w:val="003317D2"/>
    <w:rsid w:val="0033198C"/>
    <w:rsid w:val="00333D37"/>
    <w:rsid w:val="00334074"/>
    <w:rsid w:val="003346FE"/>
    <w:rsid w:val="00334A38"/>
    <w:rsid w:val="003350C0"/>
    <w:rsid w:val="003351D7"/>
    <w:rsid w:val="003358D0"/>
    <w:rsid w:val="00335B4B"/>
    <w:rsid w:val="00336BBA"/>
    <w:rsid w:val="00336C72"/>
    <w:rsid w:val="0033713D"/>
    <w:rsid w:val="00341121"/>
    <w:rsid w:val="00341607"/>
    <w:rsid w:val="003417AB"/>
    <w:rsid w:val="00341AD3"/>
    <w:rsid w:val="00342589"/>
    <w:rsid w:val="0034349D"/>
    <w:rsid w:val="0034558C"/>
    <w:rsid w:val="00345680"/>
    <w:rsid w:val="00345EFE"/>
    <w:rsid w:val="003469CC"/>
    <w:rsid w:val="003471A7"/>
    <w:rsid w:val="00351AEA"/>
    <w:rsid w:val="003537EF"/>
    <w:rsid w:val="00353AA6"/>
    <w:rsid w:val="0035417C"/>
    <w:rsid w:val="0035476E"/>
    <w:rsid w:val="003549E4"/>
    <w:rsid w:val="00355201"/>
    <w:rsid w:val="00355DA0"/>
    <w:rsid w:val="0036061D"/>
    <w:rsid w:val="00360C4B"/>
    <w:rsid w:val="00360F7E"/>
    <w:rsid w:val="0036142C"/>
    <w:rsid w:val="003615D4"/>
    <w:rsid w:val="003615F1"/>
    <w:rsid w:val="00361825"/>
    <w:rsid w:val="00362073"/>
    <w:rsid w:val="0036258C"/>
    <w:rsid w:val="00362B41"/>
    <w:rsid w:val="0036387A"/>
    <w:rsid w:val="003642C3"/>
    <w:rsid w:val="003643AB"/>
    <w:rsid w:val="00364C03"/>
    <w:rsid w:val="00364C65"/>
    <w:rsid w:val="003650CB"/>
    <w:rsid w:val="003658C6"/>
    <w:rsid w:val="00365C9B"/>
    <w:rsid w:val="003669EC"/>
    <w:rsid w:val="00366A70"/>
    <w:rsid w:val="00366DF7"/>
    <w:rsid w:val="003671DA"/>
    <w:rsid w:val="003678E6"/>
    <w:rsid w:val="00367BF8"/>
    <w:rsid w:val="00367C67"/>
    <w:rsid w:val="003707C5"/>
    <w:rsid w:val="00370DA6"/>
    <w:rsid w:val="003720CD"/>
    <w:rsid w:val="003751A4"/>
    <w:rsid w:val="0037635A"/>
    <w:rsid w:val="0037636E"/>
    <w:rsid w:val="003763AE"/>
    <w:rsid w:val="00377B5D"/>
    <w:rsid w:val="003801C1"/>
    <w:rsid w:val="003803E5"/>
    <w:rsid w:val="00380471"/>
    <w:rsid w:val="003804EC"/>
    <w:rsid w:val="003814E2"/>
    <w:rsid w:val="00382441"/>
    <w:rsid w:val="00382751"/>
    <w:rsid w:val="00382C69"/>
    <w:rsid w:val="00383A8E"/>
    <w:rsid w:val="00383DEA"/>
    <w:rsid w:val="003849A1"/>
    <w:rsid w:val="00384DD1"/>
    <w:rsid w:val="00384F0C"/>
    <w:rsid w:val="003850BA"/>
    <w:rsid w:val="00385D17"/>
    <w:rsid w:val="00386974"/>
    <w:rsid w:val="00386F7B"/>
    <w:rsid w:val="003876D0"/>
    <w:rsid w:val="0038771F"/>
    <w:rsid w:val="003879BD"/>
    <w:rsid w:val="00390C34"/>
    <w:rsid w:val="00390F77"/>
    <w:rsid w:val="00391D27"/>
    <w:rsid w:val="00392404"/>
    <w:rsid w:val="0039301B"/>
    <w:rsid w:val="003932A8"/>
    <w:rsid w:val="003932E7"/>
    <w:rsid w:val="003934CC"/>
    <w:rsid w:val="00394360"/>
    <w:rsid w:val="003962EC"/>
    <w:rsid w:val="0039649F"/>
    <w:rsid w:val="0039785C"/>
    <w:rsid w:val="003978C2"/>
    <w:rsid w:val="003A015D"/>
    <w:rsid w:val="003A05F9"/>
    <w:rsid w:val="003A08C5"/>
    <w:rsid w:val="003A0AA2"/>
    <w:rsid w:val="003A0AEB"/>
    <w:rsid w:val="003A1025"/>
    <w:rsid w:val="003A1451"/>
    <w:rsid w:val="003A253F"/>
    <w:rsid w:val="003A40FD"/>
    <w:rsid w:val="003A44EC"/>
    <w:rsid w:val="003A4C23"/>
    <w:rsid w:val="003A60A6"/>
    <w:rsid w:val="003A62AA"/>
    <w:rsid w:val="003A76F0"/>
    <w:rsid w:val="003A7985"/>
    <w:rsid w:val="003B03AD"/>
    <w:rsid w:val="003B0491"/>
    <w:rsid w:val="003B1086"/>
    <w:rsid w:val="003B1C31"/>
    <w:rsid w:val="003B24AC"/>
    <w:rsid w:val="003B24ED"/>
    <w:rsid w:val="003B2C86"/>
    <w:rsid w:val="003B2E80"/>
    <w:rsid w:val="003B4798"/>
    <w:rsid w:val="003B568E"/>
    <w:rsid w:val="003B58D5"/>
    <w:rsid w:val="003B5C17"/>
    <w:rsid w:val="003B5DC0"/>
    <w:rsid w:val="003B645A"/>
    <w:rsid w:val="003B66B1"/>
    <w:rsid w:val="003B7210"/>
    <w:rsid w:val="003C0210"/>
    <w:rsid w:val="003C0C35"/>
    <w:rsid w:val="003C1208"/>
    <w:rsid w:val="003C1241"/>
    <w:rsid w:val="003C17CC"/>
    <w:rsid w:val="003C1AD3"/>
    <w:rsid w:val="003C1F67"/>
    <w:rsid w:val="003C225A"/>
    <w:rsid w:val="003C259A"/>
    <w:rsid w:val="003C32DF"/>
    <w:rsid w:val="003C3976"/>
    <w:rsid w:val="003C3A7B"/>
    <w:rsid w:val="003C3B04"/>
    <w:rsid w:val="003C4198"/>
    <w:rsid w:val="003C4E30"/>
    <w:rsid w:val="003C682D"/>
    <w:rsid w:val="003C6A47"/>
    <w:rsid w:val="003D1D3E"/>
    <w:rsid w:val="003D1E46"/>
    <w:rsid w:val="003D201A"/>
    <w:rsid w:val="003D2105"/>
    <w:rsid w:val="003D3288"/>
    <w:rsid w:val="003D3603"/>
    <w:rsid w:val="003D3731"/>
    <w:rsid w:val="003D38D6"/>
    <w:rsid w:val="003D3A63"/>
    <w:rsid w:val="003D3C89"/>
    <w:rsid w:val="003D5880"/>
    <w:rsid w:val="003D5BA1"/>
    <w:rsid w:val="003D64EC"/>
    <w:rsid w:val="003D666B"/>
    <w:rsid w:val="003E1C69"/>
    <w:rsid w:val="003E2513"/>
    <w:rsid w:val="003E2B21"/>
    <w:rsid w:val="003E31D7"/>
    <w:rsid w:val="003E4E74"/>
    <w:rsid w:val="003E5486"/>
    <w:rsid w:val="003E5C39"/>
    <w:rsid w:val="003E7463"/>
    <w:rsid w:val="003F025E"/>
    <w:rsid w:val="003F1B9A"/>
    <w:rsid w:val="003F1E69"/>
    <w:rsid w:val="003F212C"/>
    <w:rsid w:val="003F2267"/>
    <w:rsid w:val="003F2F8F"/>
    <w:rsid w:val="003F3BA0"/>
    <w:rsid w:val="003F46A5"/>
    <w:rsid w:val="003F478E"/>
    <w:rsid w:val="003F488C"/>
    <w:rsid w:val="003F519B"/>
    <w:rsid w:val="003F56AB"/>
    <w:rsid w:val="003F5E46"/>
    <w:rsid w:val="003F603E"/>
    <w:rsid w:val="003F7AC3"/>
    <w:rsid w:val="003F7C47"/>
    <w:rsid w:val="004005C2"/>
    <w:rsid w:val="00400E57"/>
    <w:rsid w:val="0040140E"/>
    <w:rsid w:val="00402196"/>
    <w:rsid w:val="00402B62"/>
    <w:rsid w:val="00402B8F"/>
    <w:rsid w:val="00402E7F"/>
    <w:rsid w:val="004033EF"/>
    <w:rsid w:val="00403AA6"/>
    <w:rsid w:val="00403EC9"/>
    <w:rsid w:val="004069AD"/>
    <w:rsid w:val="00406B7D"/>
    <w:rsid w:val="00410095"/>
    <w:rsid w:val="00413FFB"/>
    <w:rsid w:val="00414752"/>
    <w:rsid w:val="00415154"/>
    <w:rsid w:val="00415A2C"/>
    <w:rsid w:val="0041611E"/>
    <w:rsid w:val="004163E4"/>
    <w:rsid w:val="00416507"/>
    <w:rsid w:val="0041684E"/>
    <w:rsid w:val="00417BCA"/>
    <w:rsid w:val="00417D89"/>
    <w:rsid w:val="00417DEA"/>
    <w:rsid w:val="00420675"/>
    <w:rsid w:val="004209F1"/>
    <w:rsid w:val="00420F01"/>
    <w:rsid w:val="00421A30"/>
    <w:rsid w:val="00421BEF"/>
    <w:rsid w:val="004224C9"/>
    <w:rsid w:val="0042342A"/>
    <w:rsid w:val="00423AFB"/>
    <w:rsid w:val="00423F41"/>
    <w:rsid w:val="00424607"/>
    <w:rsid w:val="0042553A"/>
    <w:rsid w:val="004263B7"/>
    <w:rsid w:val="00426E6D"/>
    <w:rsid w:val="00427425"/>
    <w:rsid w:val="004279EF"/>
    <w:rsid w:val="00427BD4"/>
    <w:rsid w:val="00427C87"/>
    <w:rsid w:val="004303F5"/>
    <w:rsid w:val="00430DEA"/>
    <w:rsid w:val="0043199C"/>
    <w:rsid w:val="00433E61"/>
    <w:rsid w:val="00433EAC"/>
    <w:rsid w:val="00434479"/>
    <w:rsid w:val="004355B6"/>
    <w:rsid w:val="00436466"/>
    <w:rsid w:val="00436B65"/>
    <w:rsid w:val="004370E9"/>
    <w:rsid w:val="0043725A"/>
    <w:rsid w:val="00440A6F"/>
    <w:rsid w:val="004426EC"/>
    <w:rsid w:val="00443493"/>
    <w:rsid w:val="00443754"/>
    <w:rsid w:val="004441C1"/>
    <w:rsid w:val="004455E7"/>
    <w:rsid w:val="00445ADE"/>
    <w:rsid w:val="00445AEC"/>
    <w:rsid w:val="00446172"/>
    <w:rsid w:val="00446683"/>
    <w:rsid w:val="00446D80"/>
    <w:rsid w:val="004473FF"/>
    <w:rsid w:val="004477D2"/>
    <w:rsid w:val="004478BB"/>
    <w:rsid w:val="00447D23"/>
    <w:rsid w:val="0045046B"/>
    <w:rsid w:val="00450ABF"/>
    <w:rsid w:val="004513F9"/>
    <w:rsid w:val="00451ACA"/>
    <w:rsid w:val="0045277E"/>
    <w:rsid w:val="00452E67"/>
    <w:rsid w:val="0045379B"/>
    <w:rsid w:val="00453957"/>
    <w:rsid w:val="00453CF2"/>
    <w:rsid w:val="004540AB"/>
    <w:rsid w:val="0045417B"/>
    <w:rsid w:val="00454B5C"/>
    <w:rsid w:val="00455968"/>
    <w:rsid w:val="00456768"/>
    <w:rsid w:val="0045708F"/>
    <w:rsid w:val="00457171"/>
    <w:rsid w:val="004577B6"/>
    <w:rsid w:val="004601B9"/>
    <w:rsid w:val="00461911"/>
    <w:rsid w:val="00462207"/>
    <w:rsid w:val="004626B0"/>
    <w:rsid w:val="0046304E"/>
    <w:rsid w:val="00463692"/>
    <w:rsid w:val="004637D5"/>
    <w:rsid w:val="0046384C"/>
    <w:rsid w:val="00463FD0"/>
    <w:rsid w:val="0046486D"/>
    <w:rsid w:val="00465230"/>
    <w:rsid w:val="004657A9"/>
    <w:rsid w:val="00466262"/>
    <w:rsid w:val="00467151"/>
    <w:rsid w:val="00467A02"/>
    <w:rsid w:val="00470C65"/>
    <w:rsid w:val="00470F1E"/>
    <w:rsid w:val="004712EA"/>
    <w:rsid w:val="004725F0"/>
    <w:rsid w:val="00472B5D"/>
    <w:rsid w:val="00472F7A"/>
    <w:rsid w:val="004735D8"/>
    <w:rsid w:val="004738CC"/>
    <w:rsid w:val="00473987"/>
    <w:rsid w:val="00474CD7"/>
    <w:rsid w:val="00475891"/>
    <w:rsid w:val="004763DC"/>
    <w:rsid w:val="00476625"/>
    <w:rsid w:val="00476EAC"/>
    <w:rsid w:val="00477340"/>
    <w:rsid w:val="004800D3"/>
    <w:rsid w:val="004801AB"/>
    <w:rsid w:val="00480221"/>
    <w:rsid w:val="004807D8"/>
    <w:rsid w:val="00480B9F"/>
    <w:rsid w:val="00480C11"/>
    <w:rsid w:val="00480FE1"/>
    <w:rsid w:val="00481070"/>
    <w:rsid w:val="00481610"/>
    <w:rsid w:val="00481633"/>
    <w:rsid w:val="004819B2"/>
    <w:rsid w:val="004835C9"/>
    <w:rsid w:val="00483B99"/>
    <w:rsid w:val="004852AF"/>
    <w:rsid w:val="00485374"/>
    <w:rsid w:val="004865A0"/>
    <w:rsid w:val="00486AE0"/>
    <w:rsid w:val="00486D8F"/>
    <w:rsid w:val="00487ED6"/>
    <w:rsid w:val="0049169D"/>
    <w:rsid w:val="00491F5D"/>
    <w:rsid w:val="004925A5"/>
    <w:rsid w:val="00492F86"/>
    <w:rsid w:val="00493B4E"/>
    <w:rsid w:val="004953A0"/>
    <w:rsid w:val="0049578F"/>
    <w:rsid w:val="00497143"/>
    <w:rsid w:val="0049780D"/>
    <w:rsid w:val="004A0538"/>
    <w:rsid w:val="004A097D"/>
    <w:rsid w:val="004A0B38"/>
    <w:rsid w:val="004A152D"/>
    <w:rsid w:val="004A158C"/>
    <w:rsid w:val="004A1A0B"/>
    <w:rsid w:val="004A1FFE"/>
    <w:rsid w:val="004A206E"/>
    <w:rsid w:val="004A29B4"/>
    <w:rsid w:val="004A32F7"/>
    <w:rsid w:val="004A339B"/>
    <w:rsid w:val="004A38CD"/>
    <w:rsid w:val="004A409A"/>
    <w:rsid w:val="004A4852"/>
    <w:rsid w:val="004A5B55"/>
    <w:rsid w:val="004A64E6"/>
    <w:rsid w:val="004A6F31"/>
    <w:rsid w:val="004A7CAB"/>
    <w:rsid w:val="004B08EE"/>
    <w:rsid w:val="004B0CC2"/>
    <w:rsid w:val="004B196A"/>
    <w:rsid w:val="004B39CB"/>
    <w:rsid w:val="004B418D"/>
    <w:rsid w:val="004B4297"/>
    <w:rsid w:val="004B4E74"/>
    <w:rsid w:val="004B5864"/>
    <w:rsid w:val="004B5C80"/>
    <w:rsid w:val="004B6792"/>
    <w:rsid w:val="004B691A"/>
    <w:rsid w:val="004B6C1A"/>
    <w:rsid w:val="004B7E3D"/>
    <w:rsid w:val="004C05CB"/>
    <w:rsid w:val="004C1B24"/>
    <w:rsid w:val="004C339E"/>
    <w:rsid w:val="004C4B79"/>
    <w:rsid w:val="004C5266"/>
    <w:rsid w:val="004C5976"/>
    <w:rsid w:val="004C5B8F"/>
    <w:rsid w:val="004C691E"/>
    <w:rsid w:val="004C6B62"/>
    <w:rsid w:val="004C793B"/>
    <w:rsid w:val="004D0056"/>
    <w:rsid w:val="004D058F"/>
    <w:rsid w:val="004D06FB"/>
    <w:rsid w:val="004D2A18"/>
    <w:rsid w:val="004D3659"/>
    <w:rsid w:val="004D39B5"/>
    <w:rsid w:val="004D49EB"/>
    <w:rsid w:val="004D4B6D"/>
    <w:rsid w:val="004D4C35"/>
    <w:rsid w:val="004D589D"/>
    <w:rsid w:val="004D6957"/>
    <w:rsid w:val="004D7717"/>
    <w:rsid w:val="004D7EEE"/>
    <w:rsid w:val="004E04A8"/>
    <w:rsid w:val="004E1878"/>
    <w:rsid w:val="004E2ECF"/>
    <w:rsid w:val="004E3864"/>
    <w:rsid w:val="004E4FAE"/>
    <w:rsid w:val="004E62D8"/>
    <w:rsid w:val="004E6C4A"/>
    <w:rsid w:val="004E6F29"/>
    <w:rsid w:val="004E7375"/>
    <w:rsid w:val="004E7BBE"/>
    <w:rsid w:val="004E7EB7"/>
    <w:rsid w:val="004F0489"/>
    <w:rsid w:val="004F08A3"/>
    <w:rsid w:val="004F0E91"/>
    <w:rsid w:val="004F1214"/>
    <w:rsid w:val="004F1409"/>
    <w:rsid w:val="004F16E6"/>
    <w:rsid w:val="004F1E89"/>
    <w:rsid w:val="004F2145"/>
    <w:rsid w:val="004F2755"/>
    <w:rsid w:val="004F2EBF"/>
    <w:rsid w:val="004F2FA9"/>
    <w:rsid w:val="004F3CD9"/>
    <w:rsid w:val="004F5D0B"/>
    <w:rsid w:val="0050026A"/>
    <w:rsid w:val="00500F25"/>
    <w:rsid w:val="00503FAF"/>
    <w:rsid w:val="00504D80"/>
    <w:rsid w:val="00504EC1"/>
    <w:rsid w:val="005050AA"/>
    <w:rsid w:val="005051B8"/>
    <w:rsid w:val="00505D5F"/>
    <w:rsid w:val="0050703D"/>
    <w:rsid w:val="005077D7"/>
    <w:rsid w:val="00507CB2"/>
    <w:rsid w:val="00510086"/>
    <w:rsid w:val="005102C2"/>
    <w:rsid w:val="00510568"/>
    <w:rsid w:val="005114D4"/>
    <w:rsid w:val="005119D1"/>
    <w:rsid w:val="00511F73"/>
    <w:rsid w:val="0051231A"/>
    <w:rsid w:val="00512427"/>
    <w:rsid w:val="0051262C"/>
    <w:rsid w:val="00513971"/>
    <w:rsid w:val="00514CFF"/>
    <w:rsid w:val="0051554B"/>
    <w:rsid w:val="0051626F"/>
    <w:rsid w:val="005169C7"/>
    <w:rsid w:val="005204C6"/>
    <w:rsid w:val="00520559"/>
    <w:rsid w:val="00521E7E"/>
    <w:rsid w:val="005239C6"/>
    <w:rsid w:val="00523CF0"/>
    <w:rsid w:val="00523ED7"/>
    <w:rsid w:val="00524C82"/>
    <w:rsid w:val="00524CDE"/>
    <w:rsid w:val="00525846"/>
    <w:rsid w:val="00526C0D"/>
    <w:rsid w:val="00526D97"/>
    <w:rsid w:val="0052761B"/>
    <w:rsid w:val="00530246"/>
    <w:rsid w:val="00530333"/>
    <w:rsid w:val="00530CC4"/>
    <w:rsid w:val="00530E92"/>
    <w:rsid w:val="005315EE"/>
    <w:rsid w:val="00531682"/>
    <w:rsid w:val="00532BBA"/>
    <w:rsid w:val="005334ED"/>
    <w:rsid w:val="00533A3B"/>
    <w:rsid w:val="005345FE"/>
    <w:rsid w:val="005348C4"/>
    <w:rsid w:val="00534BBB"/>
    <w:rsid w:val="005357CA"/>
    <w:rsid w:val="00536B2A"/>
    <w:rsid w:val="00536DC9"/>
    <w:rsid w:val="0053774A"/>
    <w:rsid w:val="00537B6C"/>
    <w:rsid w:val="00540118"/>
    <w:rsid w:val="005401ED"/>
    <w:rsid w:val="00541AE0"/>
    <w:rsid w:val="00541C6F"/>
    <w:rsid w:val="00541F6C"/>
    <w:rsid w:val="00542657"/>
    <w:rsid w:val="00543A99"/>
    <w:rsid w:val="00543E69"/>
    <w:rsid w:val="005441B2"/>
    <w:rsid w:val="005442F2"/>
    <w:rsid w:val="00545337"/>
    <w:rsid w:val="0054640D"/>
    <w:rsid w:val="005466C5"/>
    <w:rsid w:val="00546873"/>
    <w:rsid w:val="00546B2A"/>
    <w:rsid w:val="00547791"/>
    <w:rsid w:val="0055011C"/>
    <w:rsid w:val="00550999"/>
    <w:rsid w:val="005536A0"/>
    <w:rsid w:val="00553960"/>
    <w:rsid w:val="00553963"/>
    <w:rsid w:val="00554B9A"/>
    <w:rsid w:val="00555109"/>
    <w:rsid w:val="005553A5"/>
    <w:rsid w:val="005554C2"/>
    <w:rsid w:val="005560C2"/>
    <w:rsid w:val="00556A8A"/>
    <w:rsid w:val="005573FF"/>
    <w:rsid w:val="005578B5"/>
    <w:rsid w:val="00557A6C"/>
    <w:rsid w:val="00557C3B"/>
    <w:rsid w:val="00560063"/>
    <w:rsid w:val="005601AE"/>
    <w:rsid w:val="005615D5"/>
    <w:rsid w:val="005621F1"/>
    <w:rsid w:val="00562301"/>
    <w:rsid w:val="00562BCF"/>
    <w:rsid w:val="00562E07"/>
    <w:rsid w:val="00562F0A"/>
    <w:rsid w:val="005633D7"/>
    <w:rsid w:val="005639F0"/>
    <w:rsid w:val="0056437D"/>
    <w:rsid w:val="005644E1"/>
    <w:rsid w:val="00564927"/>
    <w:rsid w:val="00564950"/>
    <w:rsid w:val="00565ECC"/>
    <w:rsid w:val="0056656A"/>
    <w:rsid w:val="00566BBD"/>
    <w:rsid w:val="00567166"/>
    <w:rsid w:val="00571072"/>
    <w:rsid w:val="005715B4"/>
    <w:rsid w:val="005733A9"/>
    <w:rsid w:val="00573787"/>
    <w:rsid w:val="00573A24"/>
    <w:rsid w:val="00573BD9"/>
    <w:rsid w:val="00573C01"/>
    <w:rsid w:val="00573D04"/>
    <w:rsid w:val="00573E53"/>
    <w:rsid w:val="005742CB"/>
    <w:rsid w:val="00574E6E"/>
    <w:rsid w:val="00577D64"/>
    <w:rsid w:val="00577FE2"/>
    <w:rsid w:val="00580377"/>
    <w:rsid w:val="0058095F"/>
    <w:rsid w:val="00581B0A"/>
    <w:rsid w:val="0058210C"/>
    <w:rsid w:val="00582322"/>
    <w:rsid w:val="00582D5C"/>
    <w:rsid w:val="005831EC"/>
    <w:rsid w:val="00583285"/>
    <w:rsid w:val="005835FE"/>
    <w:rsid w:val="0058363D"/>
    <w:rsid w:val="0058412F"/>
    <w:rsid w:val="00584E8E"/>
    <w:rsid w:val="00585437"/>
    <w:rsid w:val="0058647E"/>
    <w:rsid w:val="00586B48"/>
    <w:rsid w:val="00586B75"/>
    <w:rsid w:val="005870A4"/>
    <w:rsid w:val="005873EC"/>
    <w:rsid w:val="00587B8F"/>
    <w:rsid w:val="005903D7"/>
    <w:rsid w:val="005906C0"/>
    <w:rsid w:val="00590B2A"/>
    <w:rsid w:val="00590F45"/>
    <w:rsid w:val="005915B5"/>
    <w:rsid w:val="005916DB"/>
    <w:rsid w:val="00591904"/>
    <w:rsid w:val="00591C30"/>
    <w:rsid w:val="00591D6E"/>
    <w:rsid w:val="005923DA"/>
    <w:rsid w:val="00592604"/>
    <w:rsid w:val="00592F91"/>
    <w:rsid w:val="0059420C"/>
    <w:rsid w:val="00594965"/>
    <w:rsid w:val="005955EE"/>
    <w:rsid w:val="00595ED2"/>
    <w:rsid w:val="0059617D"/>
    <w:rsid w:val="005969AA"/>
    <w:rsid w:val="00597266"/>
    <w:rsid w:val="005A0518"/>
    <w:rsid w:val="005A0D03"/>
    <w:rsid w:val="005A1098"/>
    <w:rsid w:val="005A189D"/>
    <w:rsid w:val="005A23A8"/>
    <w:rsid w:val="005A24AC"/>
    <w:rsid w:val="005A2D6A"/>
    <w:rsid w:val="005A2F87"/>
    <w:rsid w:val="005A31A4"/>
    <w:rsid w:val="005A3EEC"/>
    <w:rsid w:val="005A4FE1"/>
    <w:rsid w:val="005A5C95"/>
    <w:rsid w:val="005A5EA1"/>
    <w:rsid w:val="005A607E"/>
    <w:rsid w:val="005A6720"/>
    <w:rsid w:val="005A6798"/>
    <w:rsid w:val="005A72F4"/>
    <w:rsid w:val="005B00C7"/>
    <w:rsid w:val="005B0483"/>
    <w:rsid w:val="005B058E"/>
    <w:rsid w:val="005B16A0"/>
    <w:rsid w:val="005B2947"/>
    <w:rsid w:val="005B32CD"/>
    <w:rsid w:val="005B481A"/>
    <w:rsid w:val="005B4997"/>
    <w:rsid w:val="005B4E1A"/>
    <w:rsid w:val="005B5657"/>
    <w:rsid w:val="005B69A3"/>
    <w:rsid w:val="005B6E1E"/>
    <w:rsid w:val="005B7452"/>
    <w:rsid w:val="005B7BDF"/>
    <w:rsid w:val="005C23D7"/>
    <w:rsid w:val="005C2FCD"/>
    <w:rsid w:val="005C3CC6"/>
    <w:rsid w:val="005C41A7"/>
    <w:rsid w:val="005C5AA7"/>
    <w:rsid w:val="005C73E6"/>
    <w:rsid w:val="005C73FC"/>
    <w:rsid w:val="005D04A6"/>
    <w:rsid w:val="005D0C49"/>
    <w:rsid w:val="005D1C2E"/>
    <w:rsid w:val="005D22DB"/>
    <w:rsid w:val="005D2526"/>
    <w:rsid w:val="005D2AEC"/>
    <w:rsid w:val="005D3335"/>
    <w:rsid w:val="005D3B1D"/>
    <w:rsid w:val="005D41DB"/>
    <w:rsid w:val="005D436E"/>
    <w:rsid w:val="005D45A1"/>
    <w:rsid w:val="005D460E"/>
    <w:rsid w:val="005D4C9B"/>
    <w:rsid w:val="005D53A3"/>
    <w:rsid w:val="005D5459"/>
    <w:rsid w:val="005D6714"/>
    <w:rsid w:val="005D6A81"/>
    <w:rsid w:val="005D740E"/>
    <w:rsid w:val="005D7474"/>
    <w:rsid w:val="005E170D"/>
    <w:rsid w:val="005E2716"/>
    <w:rsid w:val="005E2958"/>
    <w:rsid w:val="005E2973"/>
    <w:rsid w:val="005E2D62"/>
    <w:rsid w:val="005E315D"/>
    <w:rsid w:val="005E4165"/>
    <w:rsid w:val="005E4FA4"/>
    <w:rsid w:val="005E5C76"/>
    <w:rsid w:val="005E66DF"/>
    <w:rsid w:val="005E7138"/>
    <w:rsid w:val="005E72A8"/>
    <w:rsid w:val="005E7E71"/>
    <w:rsid w:val="005F1F8D"/>
    <w:rsid w:val="005F299B"/>
    <w:rsid w:val="005F3608"/>
    <w:rsid w:val="005F476B"/>
    <w:rsid w:val="005F47E3"/>
    <w:rsid w:val="005F5956"/>
    <w:rsid w:val="005F59DA"/>
    <w:rsid w:val="005F5BF6"/>
    <w:rsid w:val="005F6117"/>
    <w:rsid w:val="005F6449"/>
    <w:rsid w:val="005F660C"/>
    <w:rsid w:val="005F7005"/>
    <w:rsid w:val="005F7018"/>
    <w:rsid w:val="005F79CB"/>
    <w:rsid w:val="005F7B78"/>
    <w:rsid w:val="006012CF"/>
    <w:rsid w:val="006022F9"/>
    <w:rsid w:val="00602D35"/>
    <w:rsid w:val="00602E49"/>
    <w:rsid w:val="00603236"/>
    <w:rsid w:val="00604643"/>
    <w:rsid w:val="006057E2"/>
    <w:rsid w:val="006063A7"/>
    <w:rsid w:val="00606E53"/>
    <w:rsid w:val="00607B6A"/>
    <w:rsid w:val="00611CE5"/>
    <w:rsid w:val="00612620"/>
    <w:rsid w:val="0061366D"/>
    <w:rsid w:val="0061387E"/>
    <w:rsid w:val="00613DC5"/>
    <w:rsid w:val="0061479A"/>
    <w:rsid w:val="00614C26"/>
    <w:rsid w:val="006168E8"/>
    <w:rsid w:val="00616C08"/>
    <w:rsid w:val="00617415"/>
    <w:rsid w:val="0061798D"/>
    <w:rsid w:val="0062008E"/>
    <w:rsid w:val="00622247"/>
    <w:rsid w:val="00622671"/>
    <w:rsid w:val="006226D8"/>
    <w:rsid w:val="00622CD9"/>
    <w:rsid w:val="00622D40"/>
    <w:rsid w:val="00624EBC"/>
    <w:rsid w:val="00626878"/>
    <w:rsid w:val="00626F93"/>
    <w:rsid w:val="00627C00"/>
    <w:rsid w:val="00630678"/>
    <w:rsid w:val="00630A08"/>
    <w:rsid w:val="00630AFD"/>
    <w:rsid w:val="006312E1"/>
    <w:rsid w:val="006319AE"/>
    <w:rsid w:val="00631FAD"/>
    <w:rsid w:val="00632616"/>
    <w:rsid w:val="006335F8"/>
    <w:rsid w:val="00634320"/>
    <w:rsid w:val="00634964"/>
    <w:rsid w:val="00635A3F"/>
    <w:rsid w:val="00636257"/>
    <w:rsid w:val="006371CE"/>
    <w:rsid w:val="006374D1"/>
    <w:rsid w:val="00637733"/>
    <w:rsid w:val="006402D8"/>
    <w:rsid w:val="00640368"/>
    <w:rsid w:val="00640580"/>
    <w:rsid w:val="00640BC9"/>
    <w:rsid w:val="006411CC"/>
    <w:rsid w:val="0064168F"/>
    <w:rsid w:val="0064174F"/>
    <w:rsid w:val="00641BE3"/>
    <w:rsid w:val="00641F8E"/>
    <w:rsid w:val="006426D7"/>
    <w:rsid w:val="006428F4"/>
    <w:rsid w:val="00642A2B"/>
    <w:rsid w:val="00642D70"/>
    <w:rsid w:val="00642F36"/>
    <w:rsid w:val="006432EC"/>
    <w:rsid w:val="00643969"/>
    <w:rsid w:val="00646DEB"/>
    <w:rsid w:val="00646E61"/>
    <w:rsid w:val="00647F0B"/>
    <w:rsid w:val="006511CB"/>
    <w:rsid w:val="006513ED"/>
    <w:rsid w:val="00652B57"/>
    <w:rsid w:val="00652BDC"/>
    <w:rsid w:val="00653349"/>
    <w:rsid w:val="006534B5"/>
    <w:rsid w:val="00653ABD"/>
    <w:rsid w:val="00654123"/>
    <w:rsid w:val="006545EC"/>
    <w:rsid w:val="0065468D"/>
    <w:rsid w:val="00655408"/>
    <w:rsid w:val="00656073"/>
    <w:rsid w:val="0065622D"/>
    <w:rsid w:val="00656905"/>
    <w:rsid w:val="00656921"/>
    <w:rsid w:val="00660184"/>
    <w:rsid w:val="00660582"/>
    <w:rsid w:val="00660804"/>
    <w:rsid w:val="00661BA4"/>
    <w:rsid w:val="00662139"/>
    <w:rsid w:val="00662E10"/>
    <w:rsid w:val="00663D87"/>
    <w:rsid w:val="00663E0F"/>
    <w:rsid w:val="0066438F"/>
    <w:rsid w:val="006648EF"/>
    <w:rsid w:val="006652D7"/>
    <w:rsid w:val="00666367"/>
    <w:rsid w:val="00666D9B"/>
    <w:rsid w:val="00667364"/>
    <w:rsid w:val="006700C2"/>
    <w:rsid w:val="00670D92"/>
    <w:rsid w:val="006715E1"/>
    <w:rsid w:val="006716B4"/>
    <w:rsid w:val="00671920"/>
    <w:rsid w:val="006722AA"/>
    <w:rsid w:val="00672832"/>
    <w:rsid w:val="00672BA5"/>
    <w:rsid w:val="00673176"/>
    <w:rsid w:val="00673575"/>
    <w:rsid w:val="00673B7A"/>
    <w:rsid w:val="00673C18"/>
    <w:rsid w:val="006741BD"/>
    <w:rsid w:val="00675008"/>
    <w:rsid w:val="006752FE"/>
    <w:rsid w:val="00675A9B"/>
    <w:rsid w:val="00676795"/>
    <w:rsid w:val="00676CEE"/>
    <w:rsid w:val="00680A6E"/>
    <w:rsid w:val="0068150D"/>
    <w:rsid w:val="00681E3C"/>
    <w:rsid w:val="006824C3"/>
    <w:rsid w:val="00683CDC"/>
    <w:rsid w:val="00683E87"/>
    <w:rsid w:val="00684B9C"/>
    <w:rsid w:val="006850E4"/>
    <w:rsid w:val="006852AD"/>
    <w:rsid w:val="006856EB"/>
    <w:rsid w:val="00686884"/>
    <w:rsid w:val="006873D8"/>
    <w:rsid w:val="00687A89"/>
    <w:rsid w:val="00690E11"/>
    <w:rsid w:val="0069238E"/>
    <w:rsid w:val="00693558"/>
    <w:rsid w:val="00693801"/>
    <w:rsid w:val="0069530E"/>
    <w:rsid w:val="00695A7D"/>
    <w:rsid w:val="00696843"/>
    <w:rsid w:val="00697133"/>
    <w:rsid w:val="006973BB"/>
    <w:rsid w:val="006978C5"/>
    <w:rsid w:val="006979ED"/>
    <w:rsid w:val="006A0AD4"/>
    <w:rsid w:val="006A0EA1"/>
    <w:rsid w:val="006A1644"/>
    <w:rsid w:val="006A1871"/>
    <w:rsid w:val="006A1DF5"/>
    <w:rsid w:val="006A2DBC"/>
    <w:rsid w:val="006A319E"/>
    <w:rsid w:val="006A3237"/>
    <w:rsid w:val="006A3330"/>
    <w:rsid w:val="006A33F6"/>
    <w:rsid w:val="006A3757"/>
    <w:rsid w:val="006A4B49"/>
    <w:rsid w:val="006A508E"/>
    <w:rsid w:val="006A5657"/>
    <w:rsid w:val="006A573C"/>
    <w:rsid w:val="006A5F53"/>
    <w:rsid w:val="006A6158"/>
    <w:rsid w:val="006A6DAC"/>
    <w:rsid w:val="006B0FFA"/>
    <w:rsid w:val="006B21CD"/>
    <w:rsid w:val="006B2E5A"/>
    <w:rsid w:val="006B36DC"/>
    <w:rsid w:val="006B3D77"/>
    <w:rsid w:val="006B4011"/>
    <w:rsid w:val="006B4456"/>
    <w:rsid w:val="006B46AB"/>
    <w:rsid w:val="006B553A"/>
    <w:rsid w:val="006B6775"/>
    <w:rsid w:val="006B6C6C"/>
    <w:rsid w:val="006B6E71"/>
    <w:rsid w:val="006C1DED"/>
    <w:rsid w:val="006C2450"/>
    <w:rsid w:val="006C2FBB"/>
    <w:rsid w:val="006C4DCD"/>
    <w:rsid w:val="006C4E7A"/>
    <w:rsid w:val="006C59A1"/>
    <w:rsid w:val="006C5FA4"/>
    <w:rsid w:val="006C68B8"/>
    <w:rsid w:val="006C6C55"/>
    <w:rsid w:val="006C6F57"/>
    <w:rsid w:val="006C7285"/>
    <w:rsid w:val="006D0231"/>
    <w:rsid w:val="006D1B21"/>
    <w:rsid w:val="006D1D48"/>
    <w:rsid w:val="006D2B9A"/>
    <w:rsid w:val="006D2C29"/>
    <w:rsid w:val="006D2EB2"/>
    <w:rsid w:val="006D38B8"/>
    <w:rsid w:val="006D3FF2"/>
    <w:rsid w:val="006D5717"/>
    <w:rsid w:val="006D6424"/>
    <w:rsid w:val="006D6F3C"/>
    <w:rsid w:val="006D7301"/>
    <w:rsid w:val="006D76DA"/>
    <w:rsid w:val="006D79A9"/>
    <w:rsid w:val="006D7CCE"/>
    <w:rsid w:val="006E0C35"/>
    <w:rsid w:val="006E1017"/>
    <w:rsid w:val="006E2C39"/>
    <w:rsid w:val="006E33AC"/>
    <w:rsid w:val="006E49BC"/>
    <w:rsid w:val="006E4FE0"/>
    <w:rsid w:val="006E5A42"/>
    <w:rsid w:val="006E6136"/>
    <w:rsid w:val="006E6445"/>
    <w:rsid w:val="006E7033"/>
    <w:rsid w:val="006F1071"/>
    <w:rsid w:val="006F2554"/>
    <w:rsid w:val="006F383C"/>
    <w:rsid w:val="006F41BD"/>
    <w:rsid w:val="006F4209"/>
    <w:rsid w:val="006F4C6F"/>
    <w:rsid w:val="006F4E92"/>
    <w:rsid w:val="006F57FF"/>
    <w:rsid w:val="0070139A"/>
    <w:rsid w:val="0070157C"/>
    <w:rsid w:val="0070161E"/>
    <w:rsid w:val="00701C44"/>
    <w:rsid w:val="00701E7A"/>
    <w:rsid w:val="0070255E"/>
    <w:rsid w:val="007030C6"/>
    <w:rsid w:val="00703159"/>
    <w:rsid w:val="00703346"/>
    <w:rsid w:val="007039D8"/>
    <w:rsid w:val="00703C92"/>
    <w:rsid w:val="00703D88"/>
    <w:rsid w:val="007058E4"/>
    <w:rsid w:val="007073E6"/>
    <w:rsid w:val="00707D56"/>
    <w:rsid w:val="00710223"/>
    <w:rsid w:val="00710307"/>
    <w:rsid w:val="0071081D"/>
    <w:rsid w:val="00711782"/>
    <w:rsid w:val="007125E9"/>
    <w:rsid w:val="00712C8E"/>
    <w:rsid w:val="007133E4"/>
    <w:rsid w:val="00713F5B"/>
    <w:rsid w:val="00714180"/>
    <w:rsid w:val="00715031"/>
    <w:rsid w:val="00715699"/>
    <w:rsid w:val="00715EDD"/>
    <w:rsid w:val="00720A6E"/>
    <w:rsid w:val="00720C20"/>
    <w:rsid w:val="00723759"/>
    <w:rsid w:val="00723B6A"/>
    <w:rsid w:val="007248CB"/>
    <w:rsid w:val="00725B95"/>
    <w:rsid w:val="00725D43"/>
    <w:rsid w:val="0072613F"/>
    <w:rsid w:val="007263C7"/>
    <w:rsid w:val="007267E1"/>
    <w:rsid w:val="00726B43"/>
    <w:rsid w:val="00730C36"/>
    <w:rsid w:val="00730F73"/>
    <w:rsid w:val="00731502"/>
    <w:rsid w:val="007316B9"/>
    <w:rsid w:val="00731AAB"/>
    <w:rsid w:val="00732F52"/>
    <w:rsid w:val="00732F9C"/>
    <w:rsid w:val="00733323"/>
    <w:rsid w:val="00733D7A"/>
    <w:rsid w:val="00735B25"/>
    <w:rsid w:val="007368F7"/>
    <w:rsid w:val="0073702E"/>
    <w:rsid w:val="007403C2"/>
    <w:rsid w:val="00740A01"/>
    <w:rsid w:val="0074135E"/>
    <w:rsid w:val="007413E8"/>
    <w:rsid w:val="007416DC"/>
    <w:rsid w:val="00741781"/>
    <w:rsid w:val="00741E70"/>
    <w:rsid w:val="007426E6"/>
    <w:rsid w:val="00743E1C"/>
    <w:rsid w:val="00744242"/>
    <w:rsid w:val="007450E6"/>
    <w:rsid w:val="00745791"/>
    <w:rsid w:val="00745933"/>
    <w:rsid w:val="00746147"/>
    <w:rsid w:val="007508DC"/>
    <w:rsid w:val="00750F01"/>
    <w:rsid w:val="007528A8"/>
    <w:rsid w:val="007548AC"/>
    <w:rsid w:val="007554E9"/>
    <w:rsid w:val="0075563F"/>
    <w:rsid w:val="00756602"/>
    <w:rsid w:val="0075671E"/>
    <w:rsid w:val="00756CF0"/>
    <w:rsid w:val="00757011"/>
    <w:rsid w:val="007578B1"/>
    <w:rsid w:val="00757E03"/>
    <w:rsid w:val="00760125"/>
    <w:rsid w:val="00761F12"/>
    <w:rsid w:val="007620B6"/>
    <w:rsid w:val="0076258D"/>
    <w:rsid w:val="007636E6"/>
    <w:rsid w:val="007636E7"/>
    <w:rsid w:val="00764C4B"/>
    <w:rsid w:val="00764DBD"/>
    <w:rsid w:val="00764DD3"/>
    <w:rsid w:val="00764DD6"/>
    <w:rsid w:val="00765073"/>
    <w:rsid w:val="00765476"/>
    <w:rsid w:val="007662D4"/>
    <w:rsid w:val="0076641E"/>
    <w:rsid w:val="00766CD1"/>
    <w:rsid w:val="00766DF8"/>
    <w:rsid w:val="0076799D"/>
    <w:rsid w:val="00767C03"/>
    <w:rsid w:val="0077074F"/>
    <w:rsid w:val="00770891"/>
    <w:rsid w:val="00771157"/>
    <w:rsid w:val="00771B71"/>
    <w:rsid w:val="0077265D"/>
    <w:rsid w:val="00772AB5"/>
    <w:rsid w:val="00773274"/>
    <w:rsid w:val="00773B68"/>
    <w:rsid w:val="00773FD2"/>
    <w:rsid w:val="00774090"/>
    <w:rsid w:val="007743C5"/>
    <w:rsid w:val="00775A52"/>
    <w:rsid w:val="00776EB8"/>
    <w:rsid w:val="007775B2"/>
    <w:rsid w:val="0078076A"/>
    <w:rsid w:val="00780B8B"/>
    <w:rsid w:val="00780E4A"/>
    <w:rsid w:val="00781000"/>
    <w:rsid w:val="007813C0"/>
    <w:rsid w:val="007825EC"/>
    <w:rsid w:val="007827A2"/>
    <w:rsid w:val="00783141"/>
    <w:rsid w:val="00783426"/>
    <w:rsid w:val="007834D9"/>
    <w:rsid w:val="0078398B"/>
    <w:rsid w:val="00784210"/>
    <w:rsid w:val="00784626"/>
    <w:rsid w:val="00784A83"/>
    <w:rsid w:val="00784BC6"/>
    <w:rsid w:val="00784FBA"/>
    <w:rsid w:val="0078533B"/>
    <w:rsid w:val="00786D1E"/>
    <w:rsid w:val="00790570"/>
    <w:rsid w:val="007914D2"/>
    <w:rsid w:val="007918DB"/>
    <w:rsid w:val="00791BE3"/>
    <w:rsid w:val="00791FC1"/>
    <w:rsid w:val="0079321D"/>
    <w:rsid w:val="007938DD"/>
    <w:rsid w:val="007939A5"/>
    <w:rsid w:val="00793F88"/>
    <w:rsid w:val="00794846"/>
    <w:rsid w:val="007969F1"/>
    <w:rsid w:val="007A04D0"/>
    <w:rsid w:val="007A0D0D"/>
    <w:rsid w:val="007A22C6"/>
    <w:rsid w:val="007A25DB"/>
    <w:rsid w:val="007A28E6"/>
    <w:rsid w:val="007A2A43"/>
    <w:rsid w:val="007A2F4B"/>
    <w:rsid w:val="007A3688"/>
    <w:rsid w:val="007A3B50"/>
    <w:rsid w:val="007A43B1"/>
    <w:rsid w:val="007A4956"/>
    <w:rsid w:val="007A4B0D"/>
    <w:rsid w:val="007A4F37"/>
    <w:rsid w:val="007A5015"/>
    <w:rsid w:val="007A6C62"/>
    <w:rsid w:val="007B2435"/>
    <w:rsid w:val="007B2DEC"/>
    <w:rsid w:val="007B4B89"/>
    <w:rsid w:val="007B505D"/>
    <w:rsid w:val="007B50AC"/>
    <w:rsid w:val="007B513E"/>
    <w:rsid w:val="007B5F83"/>
    <w:rsid w:val="007B644C"/>
    <w:rsid w:val="007B66E0"/>
    <w:rsid w:val="007B6EDD"/>
    <w:rsid w:val="007B7491"/>
    <w:rsid w:val="007B76C7"/>
    <w:rsid w:val="007B77CB"/>
    <w:rsid w:val="007C05C0"/>
    <w:rsid w:val="007C0C00"/>
    <w:rsid w:val="007C14CD"/>
    <w:rsid w:val="007C2055"/>
    <w:rsid w:val="007C36EF"/>
    <w:rsid w:val="007C4952"/>
    <w:rsid w:val="007C5F41"/>
    <w:rsid w:val="007C617B"/>
    <w:rsid w:val="007C61C5"/>
    <w:rsid w:val="007C6D3C"/>
    <w:rsid w:val="007C7B61"/>
    <w:rsid w:val="007C7B87"/>
    <w:rsid w:val="007C7CB3"/>
    <w:rsid w:val="007D0429"/>
    <w:rsid w:val="007D06A9"/>
    <w:rsid w:val="007D123D"/>
    <w:rsid w:val="007D15B1"/>
    <w:rsid w:val="007D1D5A"/>
    <w:rsid w:val="007D215F"/>
    <w:rsid w:val="007D291C"/>
    <w:rsid w:val="007D2D2A"/>
    <w:rsid w:val="007D30CB"/>
    <w:rsid w:val="007D3921"/>
    <w:rsid w:val="007D44F8"/>
    <w:rsid w:val="007D55A4"/>
    <w:rsid w:val="007D55D6"/>
    <w:rsid w:val="007D64E8"/>
    <w:rsid w:val="007D6A09"/>
    <w:rsid w:val="007D7BA8"/>
    <w:rsid w:val="007E0256"/>
    <w:rsid w:val="007E0450"/>
    <w:rsid w:val="007E0B57"/>
    <w:rsid w:val="007E1309"/>
    <w:rsid w:val="007E13E5"/>
    <w:rsid w:val="007E13FB"/>
    <w:rsid w:val="007E16CD"/>
    <w:rsid w:val="007E1964"/>
    <w:rsid w:val="007E1E5F"/>
    <w:rsid w:val="007E1F24"/>
    <w:rsid w:val="007E267E"/>
    <w:rsid w:val="007E29D1"/>
    <w:rsid w:val="007E2C25"/>
    <w:rsid w:val="007E3423"/>
    <w:rsid w:val="007E34C5"/>
    <w:rsid w:val="007E41D4"/>
    <w:rsid w:val="007E428C"/>
    <w:rsid w:val="007E4350"/>
    <w:rsid w:val="007E4570"/>
    <w:rsid w:val="007E4735"/>
    <w:rsid w:val="007E4A10"/>
    <w:rsid w:val="007E4E88"/>
    <w:rsid w:val="007E5E5E"/>
    <w:rsid w:val="007E6285"/>
    <w:rsid w:val="007E6620"/>
    <w:rsid w:val="007E6AF3"/>
    <w:rsid w:val="007E73B9"/>
    <w:rsid w:val="007F0725"/>
    <w:rsid w:val="007F0AB9"/>
    <w:rsid w:val="007F0F21"/>
    <w:rsid w:val="007F13DF"/>
    <w:rsid w:val="007F1B67"/>
    <w:rsid w:val="007F2C9C"/>
    <w:rsid w:val="007F2E6D"/>
    <w:rsid w:val="007F2F09"/>
    <w:rsid w:val="007F3AD8"/>
    <w:rsid w:val="007F43DC"/>
    <w:rsid w:val="007F49E9"/>
    <w:rsid w:val="007F5C44"/>
    <w:rsid w:val="007F62AA"/>
    <w:rsid w:val="007F676A"/>
    <w:rsid w:val="007F6FA4"/>
    <w:rsid w:val="007F7318"/>
    <w:rsid w:val="00800199"/>
    <w:rsid w:val="008002E5"/>
    <w:rsid w:val="0080089F"/>
    <w:rsid w:val="0080389B"/>
    <w:rsid w:val="008045CD"/>
    <w:rsid w:val="008046F0"/>
    <w:rsid w:val="00805612"/>
    <w:rsid w:val="0080573D"/>
    <w:rsid w:val="00806421"/>
    <w:rsid w:val="00807523"/>
    <w:rsid w:val="008113DE"/>
    <w:rsid w:val="00811530"/>
    <w:rsid w:val="008129DB"/>
    <w:rsid w:val="0081410F"/>
    <w:rsid w:val="00815ED7"/>
    <w:rsid w:val="00817560"/>
    <w:rsid w:val="008206B9"/>
    <w:rsid w:val="00821049"/>
    <w:rsid w:val="0082129F"/>
    <w:rsid w:val="0082445E"/>
    <w:rsid w:val="00824A8D"/>
    <w:rsid w:val="00824E93"/>
    <w:rsid w:val="00825B69"/>
    <w:rsid w:val="008263A0"/>
    <w:rsid w:val="0082651F"/>
    <w:rsid w:val="00826E09"/>
    <w:rsid w:val="008276CA"/>
    <w:rsid w:val="00827BCD"/>
    <w:rsid w:val="0083239E"/>
    <w:rsid w:val="00832670"/>
    <w:rsid w:val="0083296F"/>
    <w:rsid w:val="008333E9"/>
    <w:rsid w:val="0083559F"/>
    <w:rsid w:val="00835B4C"/>
    <w:rsid w:val="00835D75"/>
    <w:rsid w:val="0083676F"/>
    <w:rsid w:val="00836C6B"/>
    <w:rsid w:val="00836DF3"/>
    <w:rsid w:val="008373ED"/>
    <w:rsid w:val="00837799"/>
    <w:rsid w:val="008378FA"/>
    <w:rsid w:val="008400F3"/>
    <w:rsid w:val="00841F82"/>
    <w:rsid w:val="0084212D"/>
    <w:rsid w:val="00842573"/>
    <w:rsid w:val="00842AD2"/>
    <w:rsid w:val="00843266"/>
    <w:rsid w:val="008441B4"/>
    <w:rsid w:val="00844F06"/>
    <w:rsid w:val="0084560A"/>
    <w:rsid w:val="00845CC6"/>
    <w:rsid w:val="008469E3"/>
    <w:rsid w:val="008473D1"/>
    <w:rsid w:val="00847A20"/>
    <w:rsid w:val="00847F30"/>
    <w:rsid w:val="008503DF"/>
    <w:rsid w:val="0085089F"/>
    <w:rsid w:val="00850EBD"/>
    <w:rsid w:val="00850FC1"/>
    <w:rsid w:val="008519AE"/>
    <w:rsid w:val="00851B85"/>
    <w:rsid w:val="00851F74"/>
    <w:rsid w:val="0085230B"/>
    <w:rsid w:val="00852406"/>
    <w:rsid w:val="00852AAC"/>
    <w:rsid w:val="00853939"/>
    <w:rsid w:val="00853BEF"/>
    <w:rsid w:val="00854586"/>
    <w:rsid w:val="00854AB3"/>
    <w:rsid w:val="0085519F"/>
    <w:rsid w:val="00855C93"/>
    <w:rsid w:val="00856314"/>
    <w:rsid w:val="00856BF6"/>
    <w:rsid w:val="00857592"/>
    <w:rsid w:val="00857AA3"/>
    <w:rsid w:val="008602BA"/>
    <w:rsid w:val="00860DCD"/>
    <w:rsid w:val="00861136"/>
    <w:rsid w:val="0086191E"/>
    <w:rsid w:val="00861931"/>
    <w:rsid w:val="00861A54"/>
    <w:rsid w:val="00862406"/>
    <w:rsid w:val="00862795"/>
    <w:rsid w:val="00863BA3"/>
    <w:rsid w:val="00863C40"/>
    <w:rsid w:val="0086525C"/>
    <w:rsid w:val="00865C9C"/>
    <w:rsid w:val="008660BB"/>
    <w:rsid w:val="00866511"/>
    <w:rsid w:val="008665D7"/>
    <w:rsid w:val="00867A00"/>
    <w:rsid w:val="00867EBC"/>
    <w:rsid w:val="00870087"/>
    <w:rsid w:val="00871BAC"/>
    <w:rsid w:val="0087204B"/>
    <w:rsid w:val="00872237"/>
    <w:rsid w:val="00873338"/>
    <w:rsid w:val="00873633"/>
    <w:rsid w:val="00874030"/>
    <w:rsid w:val="008741AB"/>
    <w:rsid w:val="008746FE"/>
    <w:rsid w:val="0087519B"/>
    <w:rsid w:val="008756B3"/>
    <w:rsid w:val="0087584E"/>
    <w:rsid w:val="00875C5C"/>
    <w:rsid w:val="00876BEB"/>
    <w:rsid w:val="00877DB1"/>
    <w:rsid w:val="008810FB"/>
    <w:rsid w:val="0088115F"/>
    <w:rsid w:val="00881239"/>
    <w:rsid w:val="00881601"/>
    <w:rsid w:val="00881C0C"/>
    <w:rsid w:val="00882088"/>
    <w:rsid w:val="008835DE"/>
    <w:rsid w:val="00884AA9"/>
    <w:rsid w:val="00884C48"/>
    <w:rsid w:val="00885649"/>
    <w:rsid w:val="00885DAB"/>
    <w:rsid w:val="00885F02"/>
    <w:rsid w:val="008867D4"/>
    <w:rsid w:val="00886DA3"/>
    <w:rsid w:val="00887886"/>
    <w:rsid w:val="00887C14"/>
    <w:rsid w:val="00887EBD"/>
    <w:rsid w:val="00890860"/>
    <w:rsid w:val="008918ED"/>
    <w:rsid w:val="008929AC"/>
    <w:rsid w:val="00892A79"/>
    <w:rsid w:val="00893694"/>
    <w:rsid w:val="008940DB"/>
    <w:rsid w:val="00894322"/>
    <w:rsid w:val="00894AAC"/>
    <w:rsid w:val="00895766"/>
    <w:rsid w:val="0089610B"/>
    <w:rsid w:val="00896E04"/>
    <w:rsid w:val="008976CF"/>
    <w:rsid w:val="008977E1"/>
    <w:rsid w:val="0089781A"/>
    <w:rsid w:val="00897833"/>
    <w:rsid w:val="008978CE"/>
    <w:rsid w:val="008A0173"/>
    <w:rsid w:val="008A0673"/>
    <w:rsid w:val="008A122D"/>
    <w:rsid w:val="008A1307"/>
    <w:rsid w:val="008A1821"/>
    <w:rsid w:val="008A18ED"/>
    <w:rsid w:val="008A1AFB"/>
    <w:rsid w:val="008A2825"/>
    <w:rsid w:val="008A3079"/>
    <w:rsid w:val="008A38CB"/>
    <w:rsid w:val="008A473D"/>
    <w:rsid w:val="008A5D9C"/>
    <w:rsid w:val="008A645C"/>
    <w:rsid w:val="008A694A"/>
    <w:rsid w:val="008A6C5D"/>
    <w:rsid w:val="008A7705"/>
    <w:rsid w:val="008B082F"/>
    <w:rsid w:val="008B0C6D"/>
    <w:rsid w:val="008B121C"/>
    <w:rsid w:val="008B1945"/>
    <w:rsid w:val="008B1975"/>
    <w:rsid w:val="008B1A55"/>
    <w:rsid w:val="008B225A"/>
    <w:rsid w:val="008B2407"/>
    <w:rsid w:val="008B3ABE"/>
    <w:rsid w:val="008B4641"/>
    <w:rsid w:val="008B4656"/>
    <w:rsid w:val="008B4D04"/>
    <w:rsid w:val="008B5D4B"/>
    <w:rsid w:val="008B5DC2"/>
    <w:rsid w:val="008B6130"/>
    <w:rsid w:val="008B617B"/>
    <w:rsid w:val="008B731D"/>
    <w:rsid w:val="008B794C"/>
    <w:rsid w:val="008B796A"/>
    <w:rsid w:val="008B79F5"/>
    <w:rsid w:val="008C0E62"/>
    <w:rsid w:val="008C230D"/>
    <w:rsid w:val="008C261E"/>
    <w:rsid w:val="008C28B7"/>
    <w:rsid w:val="008C353C"/>
    <w:rsid w:val="008C4E77"/>
    <w:rsid w:val="008C4E85"/>
    <w:rsid w:val="008C5CA3"/>
    <w:rsid w:val="008C7B2C"/>
    <w:rsid w:val="008D0292"/>
    <w:rsid w:val="008D12AB"/>
    <w:rsid w:val="008D1A2C"/>
    <w:rsid w:val="008D2171"/>
    <w:rsid w:val="008D373F"/>
    <w:rsid w:val="008D3AA3"/>
    <w:rsid w:val="008D4012"/>
    <w:rsid w:val="008D4BE6"/>
    <w:rsid w:val="008D60AD"/>
    <w:rsid w:val="008D6134"/>
    <w:rsid w:val="008D6802"/>
    <w:rsid w:val="008D6DEA"/>
    <w:rsid w:val="008D7E7E"/>
    <w:rsid w:val="008E037D"/>
    <w:rsid w:val="008E1457"/>
    <w:rsid w:val="008E14A0"/>
    <w:rsid w:val="008E1612"/>
    <w:rsid w:val="008E173C"/>
    <w:rsid w:val="008E27F6"/>
    <w:rsid w:val="008E288C"/>
    <w:rsid w:val="008E2BC5"/>
    <w:rsid w:val="008E2BF3"/>
    <w:rsid w:val="008E2E47"/>
    <w:rsid w:val="008E30AC"/>
    <w:rsid w:val="008E3EED"/>
    <w:rsid w:val="008E4EBA"/>
    <w:rsid w:val="008E54D9"/>
    <w:rsid w:val="008E6A0C"/>
    <w:rsid w:val="008E6B52"/>
    <w:rsid w:val="008E6E27"/>
    <w:rsid w:val="008E6E45"/>
    <w:rsid w:val="008E7DF3"/>
    <w:rsid w:val="008F0A68"/>
    <w:rsid w:val="008F13B2"/>
    <w:rsid w:val="008F1D28"/>
    <w:rsid w:val="008F1FA3"/>
    <w:rsid w:val="008F26E1"/>
    <w:rsid w:val="008F31CF"/>
    <w:rsid w:val="008F3C90"/>
    <w:rsid w:val="008F400E"/>
    <w:rsid w:val="008F4049"/>
    <w:rsid w:val="008F4321"/>
    <w:rsid w:val="008F4A78"/>
    <w:rsid w:val="008F4E13"/>
    <w:rsid w:val="008F6434"/>
    <w:rsid w:val="008F68C2"/>
    <w:rsid w:val="008F6D0E"/>
    <w:rsid w:val="0090025C"/>
    <w:rsid w:val="00900AA5"/>
    <w:rsid w:val="00901A8B"/>
    <w:rsid w:val="00901D56"/>
    <w:rsid w:val="00902221"/>
    <w:rsid w:val="00904029"/>
    <w:rsid w:val="00904AF8"/>
    <w:rsid w:val="00904CED"/>
    <w:rsid w:val="0090538B"/>
    <w:rsid w:val="0090568B"/>
    <w:rsid w:val="00905B71"/>
    <w:rsid w:val="00906328"/>
    <w:rsid w:val="009064E5"/>
    <w:rsid w:val="009068BF"/>
    <w:rsid w:val="00907197"/>
    <w:rsid w:val="00910154"/>
    <w:rsid w:val="00910156"/>
    <w:rsid w:val="00910BEC"/>
    <w:rsid w:val="009119D7"/>
    <w:rsid w:val="00911B79"/>
    <w:rsid w:val="00912979"/>
    <w:rsid w:val="009134E4"/>
    <w:rsid w:val="00913BD5"/>
    <w:rsid w:val="009144F0"/>
    <w:rsid w:val="00914F6F"/>
    <w:rsid w:val="00915961"/>
    <w:rsid w:val="00915AB7"/>
    <w:rsid w:val="00916E0C"/>
    <w:rsid w:val="0092052C"/>
    <w:rsid w:val="00920BBD"/>
    <w:rsid w:val="009215F5"/>
    <w:rsid w:val="00921927"/>
    <w:rsid w:val="009223C0"/>
    <w:rsid w:val="0092280F"/>
    <w:rsid w:val="00923113"/>
    <w:rsid w:val="00925416"/>
    <w:rsid w:val="00925477"/>
    <w:rsid w:val="00925CE2"/>
    <w:rsid w:val="00925F34"/>
    <w:rsid w:val="00926658"/>
    <w:rsid w:val="00926A4B"/>
    <w:rsid w:val="0092716B"/>
    <w:rsid w:val="00927493"/>
    <w:rsid w:val="00927710"/>
    <w:rsid w:val="009319C4"/>
    <w:rsid w:val="00933395"/>
    <w:rsid w:val="00935835"/>
    <w:rsid w:val="009358E0"/>
    <w:rsid w:val="0093598D"/>
    <w:rsid w:val="00935AA8"/>
    <w:rsid w:val="00935B37"/>
    <w:rsid w:val="009363FB"/>
    <w:rsid w:val="009364E2"/>
    <w:rsid w:val="00936854"/>
    <w:rsid w:val="00937C95"/>
    <w:rsid w:val="0094071D"/>
    <w:rsid w:val="00940B64"/>
    <w:rsid w:val="0094128D"/>
    <w:rsid w:val="009412A0"/>
    <w:rsid w:val="0094131E"/>
    <w:rsid w:val="0094158B"/>
    <w:rsid w:val="009423E7"/>
    <w:rsid w:val="00942D5E"/>
    <w:rsid w:val="00942EB2"/>
    <w:rsid w:val="00943639"/>
    <w:rsid w:val="00943BF3"/>
    <w:rsid w:val="00944DB3"/>
    <w:rsid w:val="009460A2"/>
    <w:rsid w:val="00946E4B"/>
    <w:rsid w:val="00946F7C"/>
    <w:rsid w:val="00947527"/>
    <w:rsid w:val="00950624"/>
    <w:rsid w:val="0095075F"/>
    <w:rsid w:val="0095081C"/>
    <w:rsid w:val="009508B4"/>
    <w:rsid w:val="009510CD"/>
    <w:rsid w:val="009517E8"/>
    <w:rsid w:val="009521BC"/>
    <w:rsid w:val="00952CAD"/>
    <w:rsid w:val="00953E21"/>
    <w:rsid w:val="00953ECE"/>
    <w:rsid w:val="00953EDE"/>
    <w:rsid w:val="009543E1"/>
    <w:rsid w:val="0095581F"/>
    <w:rsid w:val="0095585D"/>
    <w:rsid w:val="00955EA8"/>
    <w:rsid w:val="00956DB7"/>
    <w:rsid w:val="00957301"/>
    <w:rsid w:val="009575A5"/>
    <w:rsid w:val="00957795"/>
    <w:rsid w:val="00960474"/>
    <w:rsid w:val="00963B0D"/>
    <w:rsid w:val="00964589"/>
    <w:rsid w:val="009655E3"/>
    <w:rsid w:val="0096580F"/>
    <w:rsid w:val="009666BA"/>
    <w:rsid w:val="00966C58"/>
    <w:rsid w:val="00967B17"/>
    <w:rsid w:val="00967BBF"/>
    <w:rsid w:val="00967C57"/>
    <w:rsid w:val="00970182"/>
    <w:rsid w:val="00970BB4"/>
    <w:rsid w:val="00970F82"/>
    <w:rsid w:val="0097102A"/>
    <w:rsid w:val="0097125A"/>
    <w:rsid w:val="00972593"/>
    <w:rsid w:val="00972AB4"/>
    <w:rsid w:val="00972F99"/>
    <w:rsid w:val="00975323"/>
    <w:rsid w:val="00975B97"/>
    <w:rsid w:val="00976553"/>
    <w:rsid w:val="009771C4"/>
    <w:rsid w:val="009772C9"/>
    <w:rsid w:val="0097739C"/>
    <w:rsid w:val="0098094B"/>
    <w:rsid w:val="00981488"/>
    <w:rsid w:val="00981FC4"/>
    <w:rsid w:val="00983586"/>
    <w:rsid w:val="00983D72"/>
    <w:rsid w:val="00983D73"/>
    <w:rsid w:val="009847A6"/>
    <w:rsid w:val="00984912"/>
    <w:rsid w:val="00984DAD"/>
    <w:rsid w:val="00984F6D"/>
    <w:rsid w:val="00984F90"/>
    <w:rsid w:val="0098531B"/>
    <w:rsid w:val="00985A85"/>
    <w:rsid w:val="00985C0D"/>
    <w:rsid w:val="009861FE"/>
    <w:rsid w:val="009876C5"/>
    <w:rsid w:val="00987EC9"/>
    <w:rsid w:val="00990C42"/>
    <w:rsid w:val="009934A7"/>
    <w:rsid w:val="009944B0"/>
    <w:rsid w:val="00994510"/>
    <w:rsid w:val="009960A9"/>
    <w:rsid w:val="00996CF2"/>
    <w:rsid w:val="00997C46"/>
    <w:rsid w:val="00997CDB"/>
    <w:rsid w:val="00997DE1"/>
    <w:rsid w:val="009A0387"/>
    <w:rsid w:val="009A0C25"/>
    <w:rsid w:val="009A1129"/>
    <w:rsid w:val="009A15BE"/>
    <w:rsid w:val="009A1BCB"/>
    <w:rsid w:val="009A1C8C"/>
    <w:rsid w:val="009A27E8"/>
    <w:rsid w:val="009A2923"/>
    <w:rsid w:val="009A2A69"/>
    <w:rsid w:val="009A2EF6"/>
    <w:rsid w:val="009A35DC"/>
    <w:rsid w:val="009A36C7"/>
    <w:rsid w:val="009A3FD0"/>
    <w:rsid w:val="009A41A2"/>
    <w:rsid w:val="009A476A"/>
    <w:rsid w:val="009A53D6"/>
    <w:rsid w:val="009A656C"/>
    <w:rsid w:val="009A6ABA"/>
    <w:rsid w:val="009A6B74"/>
    <w:rsid w:val="009A6E09"/>
    <w:rsid w:val="009A769D"/>
    <w:rsid w:val="009B0177"/>
    <w:rsid w:val="009B0308"/>
    <w:rsid w:val="009B23A7"/>
    <w:rsid w:val="009B284D"/>
    <w:rsid w:val="009B3E27"/>
    <w:rsid w:val="009B54CE"/>
    <w:rsid w:val="009B6863"/>
    <w:rsid w:val="009C026F"/>
    <w:rsid w:val="009C0B8E"/>
    <w:rsid w:val="009C1791"/>
    <w:rsid w:val="009C2304"/>
    <w:rsid w:val="009C2F53"/>
    <w:rsid w:val="009C3E91"/>
    <w:rsid w:val="009C3F2C"/>
    <w:rsid w:val="009C4C7B"/>
    <w:rsid w:val="009C758D"/>
    <w:rsid w:val="009C7750"/>
    <w:rsid w:val="009D02CE"/>
    <w:rsid w:val="009D270F"/>
    <w:rsid w:val="009D35B4"/>
    <w:rsid w:val="009D44E6"/>
    <w:rsid w:val="009D4A09"/>
    <w:rsid w:val="009D4EAB"/>
    <w:rsid w:val="009D4FF4"/>
    <w:rsid w:val="009D5472"/>
    <w:rsid w:val="009D5A8F"/>
    <w:rsid w:val="009D5AF5"/>
    <w:rsid w:val="009D62C7"/>
    <w:rsid w:val="009D672B"/>
    <w:rsid w:val="009D698C"/>
    <w:rsid w:val="009D7113"/>
    <w:rsid w:val="009D714D"/>
    <w:rsid w:val="009D72B5"/>
    <w:rsid w:val="009D756F"/>
    <w:rsid w:val="009D77E5"/>
    <w:rsid w:val="009D7AA7"/>
    <w:rsid w:val="009E245F"/>
    <w:rsid w:val="009E2750"/>
    <w:rsid w:val="009E3920"/>
    <w:rsid w:val="009E39FE"/>
    <w:rsid w:val="009E523C"/>
    <w:rsid w:val="009E589F"/>
    <w:rsid w:val="009E67A8"/>
    <w:rsid w:val="009E6BE2"/>
    <w:rsid w:val="009E7C01"/>
    <w:rsid w:val="009E7ED5"/>
    <w:rsid w:val="009F0054"/>
    <w:rsid w:val="009F0A00"/>
    <w:rsid w:val="009F10D8"/>
    <w:rsid w:val="009F1872"/>
    <w:rsid w:val="009F2862"/>
    <w:rsid w:val="009F2CC7"/>
    <w:rsid w:val="009F30D4"/>
    <w:rsid w:val="009F4056"/>
    <w:rsid w:val="009F4C08"/>
    <w:rsid w:val="009F4D5B"/>
    <w:rsid w:val="009F4DB2"/>
    <w:rsid w:val="009F569B"/>
    <w:rsid w:val="009F5D69"/>
    <w:rsid w:val="009F6160"/>
    <w:rsid w:val="009F7E3F"/>
    <w:rsid w:val="00A018DD"/>
    <w:rsid w:val="00A01A20"/>
    <w:rsid w:val="00A02895"/>
    <w:rsid w:val="00A0369F"/>
    <w:rsid w:val="00A03FE4"/>
    <w:rsid w:val="00A04C0F"/>
    <w:rsid w:val="00A04CF6"/>
    <w:rsid w:val="00A050B7"/>
    <w:rsid w:val="00A05BEB"/>
    <w:rsid w:val="00A0605E"/>
    <w:rsid w:val="00A06FEE"/>
    <w:rsid w:val="00A07E51"/>
    <w:rsid w:val="00A1066B"/>
    <w:rsid w:val="00A11527"/>
    <w:rsid w:val="00A11C1B"/>
    <w:rsid w:val="00A11E29"/>
    <w:rsid w:val="00A12673"/>
    <w:rsid w:val="00A12BEC"/>
    <w:rsid w:val="00A12C01"/>
    <w:rsid w:val="00A132B8"/>
    <w:rsid w:val="00A13E4E"/>
    <w:rsid w:val="00A13FE6"/>
    <w:rsid w:val="00A14004"/>
    <w:rsid w:val="00A17149"/>
    <w:rsid w:val="00A1736D"/>
    <w:rsid w:val="00A2101C"/>
    <w:rsid w:val="00A2119B"/>
    <w:rsid w:val="00A233AC"/>
    <w:rsid w:val="00A2394C"/>
    <w:rsid w:val="00A24045"/>
    <w:rsid w:val="00A244E4"/>
    <w:rsid w:val="00A25195"/>
    <w:rsid w:val="00A251D7"/>
    <w:rsid w:val="00A2549B"/>
    <w:rsid w:val="00A25997"/>
    <w:rsid w:val="00A27923"/>
    <w:rsid w:val="00A27DA3"/>
    <w:rsid w:val="00A27EC2"/>
    <w:rsid w:val="00A30D9F"/>
    <w:rsid w:val="00A31115"/>
    <w:rsid w:val="00A3118E"/>
    <w:rsid w:val="00A3159C"/>
    <w:rsid w:val="00A32153"/>
    <w:rsid w:val="00A32272"/>
    <w:rsid w:val="00A3256E"/>
    <w:rsid w:val="00A32E77"/>
    <w:rsid w:val="00A32EBA"/>
    <w:rsid w:val="00A33720"/>
    <w:rsid w:val="00A33A7B"/>
    <w:rsid w:val="00A33B78"/>
    <w:rsid w:val="00A33CB5"/>
    <w:rsid w:val="00A34501"/>
    <w:rsid w:val="00A35987"/>
    <w:rsid w:val="00A35C99"/>
    <w:rsid w:val="00A3644C"/>
    <w:rsid w:val="00A36FDF"/>
    <w:rsid w:val="00A3769E"/>
    <w:rsid w:val="00A376A7"/>
    <w:rsid w:val="00A378E8"/>
    <w:rsid w:val="00A37904"/>
    <w:rsid w:val="00A400AF"/>
    <w:rsid w:val="00A40B18"/>
    <w:rsid w:val="00A410BA"/>
    <w:rsid w:val="00A410EA"/>
    <w:rsid w:val="00A412C5"/>
    <w:rsid w:val="00A41A2B"/>
    <w:rsid w:val="00A41B67"/>
    <w:rsid w:val="00A41D6B"/>
    <w:rsid w:val="00A42D56"/>
    <w:rsid w:val="00A4312C"/>
    <w:rsid w:val="00A43A35"/>
    <w:rsid w:val="00A4489A"/>
    <w:rsid w:val="00A44A18"/>
    <w:rsid w:val="00A44D94"/>
    <w:rsid w:val="00A45BDB"/>
    <w:rsid w:val="00A46029"/>
    <w:rsid w:val="00A4609C"/>
    <w:rsid w:val="00A50E58"/>
    <w:rsid w:val="00A51163"/>
    <w:rsid w:val="00A5118E"/>
    <w:rsid w:val="00A51DE2"/>
    <w:rsid w:val="00A534CE"/>
    <w:rsid w:val="00A53661"/>
    <w:rsid w:val="00A536C3"/>
    <w:rsid w:val="00A53F3C"/>
    <w:rsid w:val="00A544AA"/>
    <w:rsid w:val="00A548F2"/>
    <w:rsid w:val="00A5580F"/>
    <w:rsid w:val="00A56D81"/>
    <w:rsid w:val="00A6047B"/>
    <w:rsid w:val="00A6248E"/>
    <w:rsid w:val="00A628AC"/>
    <w:rsid w:val="00A62C68"/>
    <w:rsid w:val="00A63909"/>
    <w:rsid w:val="00A64053"/>
    <w:rsid w:val="00A6468F"/>
    <w:rsid w:val="00A650A7"/>
    <w:rsid w:val="00A65F00"/>
    <w:rsid w:val="00A669B7"/>
    <w:rsid w:val="00A66E96"/>
    <w:rsid w:val="00A67734"/>
    <w:rsid w:val="00A67A15"/>
    <w:rsid w:val="00A67B01"/>
    <w:rsid w:val="00A701DC"/>
    <w:rsid w:val="00A70CF7"/>
    <w:rsid w:val="00A71367"/>
    <w:rsid w:val="00A7183B"/>
    <w:rsid w:val="00A721D5"/>
    <w:rsid w:val="00A722A8"/>
    <w:rsid w:val="00A72F07"/>
    <w:rsid w:val="00A736E7"/>
    <w:rsid w:val="00A73BBC"/>
    <w:rsid w:val="00A75B5F"/>
    <w:rsid w:val="00A7688C"/>
    <w:rsid w:val="00A77029"/>
    <w:rsid w:val="00A773E1"/>
    <w:rsid w:val="00A80307"/>
    <w:rsid w:val="00A81E7A"/>
    <w:rsid w:val="00A8216B"/>
    <w:rsid w:val="00A827E0"/>
    <w:rsid w:val="00A83C97"/>
    <w:rsid w:val="00A83FC6"/>
    <w:rsid w:val="00A844E0"/>
    <w:rsid w:val="00A847BC"/>
    <w:rsid w:val="00A848FD"/>
    <w:rsid w:val="00A84DB6"/>
    <w:rsid w:val="00A86AD5"/>
    <w:rsid w:val="00A90CE5"/>
    <w:rsid w:val="00A91492"/>
    <w:rsid w:val="00A91F09"/>
    <w:rsid w:val="00A935AA"/>
    <w:rsid w:val="00A941DA"/>
    <w:rsid w:val="00A951B2"/>
    <w:rsid w:val="00A95830"/>
    <w:rsid w:val="00A976ED"/>
    <w:rsid w:val="00A97D57"/>
    <w:rsid w:val="00AA0069"/>
    <w:rsid w:val="00AA0D6C"/>
    <w:rsid w:val="00AA2814"/>
    <w:rsid w:val="00AA2B7C"/>
    <w:rsid w:val="00AA2ECD"/>
    <w:rsid w:val="00AA38C8"/>
    <w:rsid w:val="00AA425D"/>
    <w:rsid w:val="00AA4C03"/>
    <w:rsid w:val="00AA56CF"/>
    <w:rsid w:val="00AA5738"/>
    <w:rsid w:val="00AA6720"/>
    <w:rsid w:val="00AA67EA"/>
    <w:rsid w:val="00AA6AAE"/>
    <w:rsid w:val="00AA6CF7"/>
    <w:rsid w:val="00AA750B"/>
    <w:rsid w:val="00AA7689"/>
    <w:rsid w:val="00AA7A6C"/>
    <w:rsid w:val="00AA7B05"/>
    <w:rsid w:val="00AB00F4"/>
    <w:rsid w:val="00AB13C8"/>
    <w:rsid w:val="00AB1526"/>
    <w:rsid w:val="00AB1F38"/>
    <w:rsid w:val="00AB4AE5"/>
    <w:rsid w:val="00AB4B53"/>
    <w:rsid w:val="00AB6036"/>
    <w:rsid w:val="00AB644E"/>
    <w:rsid w:val="00AB6B5A"/>
    <w:rsid w:val="00AB6BBA"/>
    <w:rsid w:val="00AB7319"/>
    <w:rsid w:val="00AB7760"/>
    <w:rsid w:val="00AC026B"/>
    <w:rsid w:val="00AC0D49"/>
    <w:rsid w:val="00AC10DA"/>
    <w:rsid w:val="00AC130F"/>
    <w:rsid w:val="00AC2F86"/>
    <w:rsid w:val="00AC3759"/>
    <w:rsid w:val="00AC3B6D"/>
    <w:rsid w:val="00AC42CE"/>
    <w:rsid w:val="00AC4856"/>
    <w:rsid w:val="00AC541C"/>
    <w:rsid w:val="00AC7A95"/>
    <w:rsid w:val="00AC7C30"/>
    <w:rsid w:val="00AD04D4"/>
    <w:rsid w:val="00AD04F7"/>
    <w:rsid w:val="00AD0ABF"/>
    <w:rsid w:val="00AD0C6D"/>
    <w:rsid w:val="00AD0E60"/>
    <w:rsid w:val="00AD12C7"/>
    <w:rsid w:val="00AD16FD"/>
    <w:rsid w:val="00AD182B"/>
    <w:rsid w:val="00AD2512"/>
    <w:rsid w:val="00AD296E"/>
    <w:rsid w:val="00AD3F8A"/>
    <w:rsid w:val="00AD48C4"/>
    <w:rsid w:val="00AD5979"/>
    <w:rsid w:val="00AD618D"/>
    <w:rsid w:val="00AD6467"/>
    <w:rsid w:val="00AD6572"/>
    <w:rsid w:val="00AD6F29"/>
    <w:rsid w:val="00AD7026"/>
    <w:rsid w:val="00AD7134"/>
    <w:rsid w:val="00AE0189"/>
    <w:rsid w:val="00AE0C9A"/>
    <w:rsid w:val="00AE0E1D"/>
    <w:rsid w:val="00AE12F4"/>
    <w:rsid w:val="00AE27CD"/>
    <w:rsid w:val="00AE2AF5"/>
    <w:rsid w:val="00AE2ED6"/>
    <w:rsid w:val="00AE3180"/>
    <w:rsid w:val="00AE465A"/>
    <w:rsid w:val="00AE4A18"/>
    <w:rsid w:val="00AE4EB4"/>
    <w:rsid w:val="00AE5290"/>
    <w:rsid w:val="00AE587B"/>
    <w:rsid w:val="00AE5ACD"/>
    <w:rsid w:val="00AE6E26"/>
    <w:rsid w:val="00AE6E7D"/>
    <w:rsid w:val="00AE715A"/>
    <w:rsid w:val="00AE7BA7"/>
    <w:rsid w:val="00AE7FDC"/>
    <w:rsid w:val="00AF025F"/>
    <w:rsid w:val="00AF0413"/>
    <w:rsid w:val="00AF4139"/>
    <w:rsid w:val="00AF4B62"/>
    <w:rsid w:val="00AF60E4"/>
    <w:rsid w:val="00AF62E4"/>
    <w:rsid w:val="00AF67FC"/>
    <w:rsid w:val="00AF692B"/>
    <w:rsid w:val="00AF7579"/>
    <w:rsid w:val="00AF7732"/>
    <w:rsid w:val="00B0033E"/>
    <w:rsid w:val="00B00C0C"/>
    <w:rsid w:val="00B00EBC"/>
    <w:rsid w:val="00B00FE9"/>
    <w:rsid w:val="00B0149E"/>
    <w:rsid w:val="00B015E7"/>
    <w:rsid w:val="00B016A1"/>
    <w:rsid w:val="00B01FC7"/>
    <w:rsid w:val="00B021C4"/>
    <w:rsid w:val="00B02A85"/>
    <w:rsid w:val="00B0377B"/>
    <w:rsid w:val="00B078A5"/>
    <w:rsid w:val="00B07931"/>
    <w:rsid w:val="00B07E18"/>
    <w:rsid w:val="00B10983"/>
    <w:rsid w:val="00B10D25"/>
    <w:rsid w:val="00B11DAB"/>
    <w:rsid w:val="00B12CCD"/>
    <w:rsid w:val="00B146B1"/>
    <w:rsid w:val="00B1505A"/>
    <w:rsid w:val="00B15D8E"/>
    <w:rsid w:val="00B16C4A"/>
    <w:rsid w:val="00B175E1"/>
    <w:rsid w:val="00B17E13"/>
    <w:rsid w:val="00B17F7F"/>
    <w:rsid w:val="00B20D01"/>
    <w:rsid w:val="00B211F2"/>
    <w:rsid w:val="00B21B82"/>
    <w:rsid w:val="00B220E5"/>
    <w:rsid w:val="00B227AE"/>
    <w:rsid w:val="00B22EE9"/>
    <w:rsid w:val="00B2333B"/>
    <w:rsid w:val="00B23956"/>
    <w:rsid w:val="00B23B53"/>
    <w:rsid w:val="00B2402C"/>
    <w:rsid w:val="00B24812"/>
    <w:rsid w:val="00B25342"/>
    <w:rsid w:val="00B25B45"/>
    <w:rsid w:val="00B264F0"/>
    <w:rsid w:val="00B2662E"/>
    <w:rsid w:val="00B26D91"/>
    <w:rsid w:val="00B2785F"/>
    <w:rsid w:val="00B30041"/>
    <w:rsid w:val="00B3070A"/>
    <w:rsid w:val="00B31B3A"/>
    <w:rsid w:val="00B31CBE"/>
    <w:rsid w:val="00B3288B"/>
    <w:rsid w:val="00B330E6"/>
    <w:rsid w:val="00B33965"/>
    <w:rsid w:val="00B34078"/>
    <w:rsid w:val="00B34965"/>
    <w:rsid w:val="00B3555B"/>
    <w:rsid w:val="00B35774"/>
    <w:rsid w:val="00B35891"/>
    <w:rsid w:val="00B370F7"/>
    <w:rsid w:val="00B37582"/>
    <w:rsid w:val="00B37FB4"/>
    <w:rsid w:val="00B405BB"/>
    <w:rsid w:val="00B41659"/>
    <w:rsid w:val="00B41F4B"/>
    <w:rsid w:val="00B42355"/>
    <w:rsid w:val="00B438F1"/>
    <w:rsid w:val="00B43C3B"/>
    <w:rsid w:val="00B446E1"/>
    <w:rsid w:val="00B46373"/>
    <w:rsid w:val="00B46507"/>
    <w:rsid w:val="00B467AB"/>
    <w:rsid w:val="00B469B5"/>
    <w:rsid w:val="00B46F65"/>
    <w:rsid w:val="00B471EE"/>
    <w:rsid w:val="00B47368"/>
    <w:rsid w:val="00B47F74"/>
    <w:rsid w:val="00B517C7"/>
    <w:rsid w:val="00B52791"/>
    <w:rsid w:val="00B5374C"/>
    <w:rsid w:val="00B53A87"/>
    <w:rsid w:val="00B53D5E"/>
    <w:rsid w:val="00B550C0"/>
    <w:rsid w:val="00B55236"/>
    <w:rsid w:val="00B55B74"/>
    <w:rsid w:val="00B55FE7"/>
    <w:rsid w:val="00B56FB7"/>
    <w:rsid w:val="00B57B32"/>
    <w:rsid w:val="00B6084D"/>
    <w:rsid w:val="00B60E65"/>
    <w:rsid w:val="00B60FA1"/>
    <w:rsid w:val="00B61223"/>
    <w:rsid w:val="00B61356"/>
    <w:rsid w:val="00B6162D"/>
    <w:rsid w:val="00B62239"/>
    <w:rsid w:val="00B62943"/>
    <w:rsid w:val="00B62DB3"/>
    <w:rsid w:val="00B637F9"/>
    <w:rsid w:val="00B638F6"/>
    <w:rsid w:val="00B63CFE"/>
    <w:rsid w:val="00B658D2"/>
    <w:rsid w:val="00B662C9"/>
    <w:rsid w:val="00B66326"/>
    <w:rsid w:val="00B66A4E"/>
    <w:rsid w:val="00B67CAF"/>
    <w:rsid w:val="00B67F3B"/>
    <w:rsid w:val="00B70880"/>
    <w:rsid w:val="00B711D5"/>
    <w:rsid w:val="00B71950"/>
    <w:rsid w:val="00B72046"/>
    <w:rsid w:val="00B724A8"/>
    <w:rsid w:val="00B7280E"/>
    <w:rsid w:val="00B73D83"/>
    <w:rsid w:val="00B755B8"/>
    <w:rsid w:val="00B757F5"/>
    <w:rsid w:val="00B7720F"/>
    <w:rsid w:val="00B8044D"/>
    <w:rsid w:val="00B81ACB"/>
    <w:rsid w:val="00B82046"/>
    <w:rsid w:val="00B8448A"/>
    <w:rsid w:val="00B8478B"/>
    <w:rsid w:val="00B848D1"/>
    <w:rsid w:val="00B84943"/>
    <w:rsid w:val="00B8640E"/>
    <w:rsid w:val="00B87B08"/>
    <w:rsid w:val="00B906F8"/>
    <w:rsid w:val="00B91277"/>
    <w:rsid w:val="00B926D2"/>
    <w:rsid w:val="00B934CE"/>
    <w:rsid w:val="00B9467E"/>
    <w:rsid w:val="00B95C5D"/>
    <w:rsid w:val="00B96E3C"/>
    <w:rsid w:val="00BA088A"/>
    <w:rsid w:val="00BA0C15"/>
    <w:rsid w:val="00BA0DE5"/>
    <w:rsid w:val="00BA13F9"/>
    <w:rsid w:val="00BA1D7C"/>
    <w:rsid w:val="00BA1F56"/>
    <w:rsid w:val="00BA2113"/>
    <w:rsid w:val="00BA281F"/>
    <w:rsid w:val="00BA3409"/>
    <w:rsid w:val="00BA5C87"/>
    <w:rsid w:val="00BA6199"/>
    <w:rsid w:val="00BB17C3"/>
    <w:rsid w:val="00BB2B66"/>
    <w:rsid w:val="00BB30A1"/>
    <w:rsid w:val="00BB3ACB"/>
    <w:rsid w:val="00BB3FE1"/>
    <w:rsid w:val="00BB4F10"/>
    <w:rsid w:val="00BB4F37"/>
    <w:rsid w:val="00BB5758"/>
    <w:rsid w:val="00BB5B34"/>
    <w:rsid w:val="00BB7DEB"/>
    <w:rsid w:val="00BC125C"/>
    <w:rsid w:val="00BC1534"/>
    <w:rsid w:val="00BC1C88"/>
    <w:rsid w:val="00BC1F63"/>
    <w:rsid w:val="00BC215B"/>
    <w:rsid w:val="00BC283B"/>
    <w:rsid w:val="00BC2889"/>
    <w:rsid w:val="00BC29D5"/>
    <w:rsid w:val="00BC2BC5"/>
    <w:rsid w:val="00BC2E2A"/>
    <w:rsid w:val="00BC324D"/>
    <w:rsid w:val="00BC3762"/>
    <w:rsid w:val="00BC3D80"/>
    <w:rsid w:val="00BC3DDE"/>
    <w:rsid w:val="00BC3E6F"/>
    <w:rsid w:val="00BC4DDE"/>
    <w:rsid w:val="00BC4E2B"/>
    <w:rsid w:val="00BC5057"/>
    <w:rsid w:val="00BC5A19"/>
    <w:rsid w:val="00BC5FE9"/>
    <w:rsid w:val="00BC61B2"/>
    <w:rsid w:val="00BC63EA"/>
    <w:rsid w:val="00BC732F"/>
    <w:rsid w:val="00BC7E43"/>
    <w:rsid w:val="00BD06F9"/>
    <w:rsid w:val="00BD0ADE"/>
    <w:rsid w:val="00BD38C2"/>
    <w:rsid w:val="00BD4AD9"/>
    <w:rsid w:val="00BD66BF"/>
    <w:rsid w:val="00BD6CCE"/>
    <w:rsid w:val="00BD6F50"/>
    <w:rsid w:val="00BD782B"/>
    <w:rsid w:val="00BE0E50"/>
    <w:rsid w:val="00BE1234"/>
    <w:rsid w:val="00BE1C67"/>
    <w:rsid w:val="00BE2564"/>
    <w:rsid w:val="00BE29CC"/>
    <w:rsid w:val="00BE3545"/>
    <w:rsid w:val="00BE3D2D"/>
    <w:rsid w:val="00BE463C"/>
    <w:rsid w:val="00BE500F"/>
    <w:rsid w:val="00BE5B3E"/>
    <w:rsid w:val="00BE6FA0"/>
    <w:rsid w:val="00BE73AE"/>
    <w:rsid w:val="00BE73B1"/>
    <w:rsid w:val="00BE7419"/>
    <w:rsid w:val="00BE76D1"/>
    <w:rsid w:val="00BF130F"/>
    <w:rsid w:val="00BF157D"/>
    <w:rsid w:val="00BF1B9E"/>
    <w:rsid w:val="00BF1CFF"/>
    <w:rsid w:val="00BF2CEC"/>
    <w:rsid w:val="00BF2ED2"/>
    <w:rsid w:val="00BF468B"/>
    <w:rsid w:val="00BF4DE3"/>
    <w:rsid w:val="00BF6922"/>
    <w:rsid w:val="00BF6C40"/>
    <w:rsid w:val="00BF7A20"/>
    <w:rsid w:val="00BF7A64"/>
    <w:rsid w:val="00C00171"/>
    <w:rsid w:val="00C00CE9"/>
    <w:rsid w:val="00C013BB"/>
    <w:rsid w:val="00C01F9C"/>
    <w:rsid w:val="00C029FA"/>
    <w:rsid w:val="00C02BFC"/>
    <w:rsid w:val="00C034C4"/>
    <w:rsid w:val="00C03A51"/>
    <w:rsid w:val="00C03B5A"/>
    <w:rsid w:val="00C05715"/>
    <w:rsid w:val="00C0612C"/>
    <w:rsid w:val="00C064E4"/>
    <w:rsid w:val="00C064ED"/>
    <w:rsid w:val="00C072E1"/>
    <w:rsid w:val="00C073FC"/>
    <w:rsid w:val="00C07A34"/>
    <w:rsid w:val="00C105B6"/>
    <w:rsid w:val="00C10E84"/>
    <w:rsid w:val="00C11376"/>
    <w:rsid w:val="00C11383"/>
    <w:rsid w:val="00C115F0"/>
    <w:rsid w:val="00C11FBD"/>
    <w:rsid w:val="00C13A0F"/>
    <w:rsid w:val="00C13DB4"/>
    <w:rsid w:val="00C13E2E"/>
    <w:rsid w:val="00C14058"/>
    <w:rsid w:val="00C147AD"/>
    <w:rsid w:val="00C149B5"/>
    <w:rsid w:val="00C15034"/>
    <w:rsid w:val="00C15A5E"/>
    <w:rsid w:val="00C16006"/>
    <w:rsid w:val="00C17814"/>
    <w:rsid w:val="00C20BB0"/>
    <w:rsid w:val="00C22704"/>
    <w:rsid w:val="00C23428"/>
    <w:rsid w:val="00C2368A"/>
    <w:rsid w:val="00C25DE8"/>
    <w:rsid w:val="00C25F45"/>
    <w:rsid w:val="00C26CC3"/>
    <w:rsid w:val="00C274D3"/>
    <w:rsid w:val="00C27C93"/>
    <w:rsid w:val="00C30010"/>
    <w:rsid w:val="00C3012E"/>
    <w:rsid w:val="00C30566"/>
    <w:rsid w:val="00C31905"/>
    <w:rsid w:val="00C34EAA"/>
    <w:rsid w:val="00C351E2"/>
    <w:rsid w:val="00C35315"/>
    <w:rsid w:val="00C35392"/>
    <w:rsid w:val="00C35C4D"/>
    <w:rsid w:val="00C36922"/>
    <w:rsid w:val="00C376F1"/>
    <w:rsid w:val="00C37A5F"/>
    <w:rsid w:val="00C37DBE"/>
    <w:rsid w:val="00C40021"/>
    <w:rsid w:val="00C40EF9"/>
    <w:rsid w:val="00C43D4E"/>
    <w:rsid w:val="00C4444B"/>
    <w:rsid w:val="00C44D71"/>
    <w:rsid w:val="00C45FA4"/>
    <w:rsid w:val="00C46332"/>
    <w:rsid w:val="00C46C5B"/>
    <w:rsid w:val="00C46CDE"/>
    <w:rsid w:val="00C46E8B"/>
    <w:rsid w:val="00C50259"/>
    <w:rsid w:val="00C50814"/>
    <w:rsid w:val="00C51EFA"/>
    <w:rsid w:val="00C52083"/>
    <w:rsid w:val="00C52733"/>
    <w:rsid w:val="00C53603"/>
    <w:rsid w:val="00C53FDC"/>
    <w:rsid w:val="00C54516"/>
    <w:rsid w:val="00C55AB0"/>
    <w:rsid w:val="00C55F42"/>
    <w:rsid w:val="00C567F9"/>
    <w:rsid w:val="00C56AEC"/>
    <w:rsid w:val="00C60DD1"/>
    <w:rsid w:val="00C61825"/>
    <w:rsid w:val="00C63A33"/>
    <w:rsid w:val="00C63A3D"/>
    <w:rsid w:val="00C63E13"/>
    <w:rsid w:val="00C63EE0"/>
    <w:rsid w:val="00C64023"/>
    <w:rsid w:val="00C6496E"/>
    <w:rsid w:val="00C64BC4"/>
    <w:rsid w:val="00C65211"/>
    <w:rsid w:val="00C66689"/>
    <w:rsid w:val="00C674B0"/>
    <w:rsid w:val="00C67A96"/>
    <w:rsid w:val="00C71ECB"/>
    <w:rsid w:val="00C727CD"/>
    <w:rsid w:val="00C72A30"/>
    <w:rsid w:val="00C734E5"/>
    <w:rsid w:val="00C738DD"/>
    <w:rsid w:val="00C74256"/>
    <w:rsid w:val="00C7446A"/>
    <w:rsid w:val="00C755BD"/>
    <w:rsid w:val="00C75CE3"/>
    <w:rsid w:val="00C764CA"/>
    <w:rsid w:val="00C76587"/>
    <w:rsid w:val="00C7744A"/>
    <w:rsid w:val="00C775F5"/>
    <w:rsid w:val="00C7783F"/>
    <w:rsid w:val="00C77B65"/>
    <w:rsid w:val="00C800CA"/>
    <w:rsid w:val="00C8024E"/>
    <w:rsid w:val="00C8065A"/>
    <w:rsid w:val="00C82451"/>
    <w:rsid w:val="00C82777"/>
    <w:rsid w:val="00C82A0E"/>
    <w:rsid w:val="00C82B90"/>
    <w:rsid w:val="00C83DD2"/>
    <w:rsid w:val="00C83F2B"/>
    <w:rsid w:val="00C842A9"/>
    <w:rsid w:val="00C853F7"/>
    <w:rsid w:val="00C862B7"/>
    <w:rsid w:val="00C86C01"/>
    <w:rsid w:val="00C9056C"/>
    <w:rsid w:val="00C908A7"/>
    <w:rsid w:val="00C90DDF"/>
    <w:rsid w:val="00C917BF"/>
    <w:rsid w:val="00C91F08"/>
    <w:rsid w:val="00C94665"/>
    <w:rsid w:val="00C948AA"/>
    <w:rsid w:val="00C94CB0"/>
    <w:rsid w:val="00C94DFD"/>
    <w:rsid w:val="00C952CA"/>
    <w:rsid w:val="00C96FC2"/>
    <w:rsid w:val="00C9726A"/>
    <w:rsid w:val="00C97661"/>
    <w:rsid w:val="00C97ECA"/>
    <w:rsid w:val="00CA0322"/>
    <w:rsid w:val="00CA2344"/>
    <w:rsid w:val="00CA2418"/>
    <w:rsid w:val="00CA2837"/>
    <w:rsid w:val="00CA32C3"/>
    <w:rsid w:val="00CA42DC"/>
    <w:rsid w:val="00CA460D"/>
    <w:rsid w:val="00CA48FC"/>
    <w:rsid w:val="00CA4E4B"/>
    <w:rsid w:val="00CA659A"/>
    <w:rsid w:val="00CA6963"/>
    <w:rsid w:val="00CA6C11"/>
    <w:rsid w:val="00CA6CF5"/>
    <w:rsid w:val="00CA6ECA"/>
    <w:rsid w:val="00CA778C"/>
    <w:rsid w:val="00CA795A"/>
    <w:rsid w:val="00CB0804"/>
    <w:rsid w:val="00CB100B"/>
    <w:rsid w:val="00CB11FE"/>
    <w:rsid w:val="00CB1235"/>
    <w:rsid w:val="00CB14D2"/>
    <w:rsid w:val="00CB153D"/>
    <w:rsid w:val="00CB18DC"/>
    <w:rsid w:val="00CB19AC"/>
    <w:rsid w:val="00CB2E90"/>
    <w:rsid w:val="00CB31D9"/>
    <w:rsid w:val="00CB3D60"/>
    <w:rsid w:val="00CB7012"/>
    <w:rsid w:val="00CB757C"/>
    <w:rsid w:val="00CC0CB5"/>
    <w:rsid w:val="00CC0DFF"/>
    <w:rsid w:val="00CC1AA4"/>
    <w:rsid w:val="00CC1E43"/>
    <w:rsid w:val="00CC2E73"/>
    <w:rsid w:val="00CC2FC3"/>
    <w:rsid w:val="00CC3329"/>
    <w:rsid w:val="00CC47C1"/>
    <w:rsid w:val="00CC5780"/>
    <w:rsid w:val="00CC5C80"/>
    <w:rsid w:val="00CC60A0"/>
    <w:rsid w:val="00CC7E36"/>
    <w:rsid w:val="00CC7F5B"/>
    <w:rsid w:val="00CD06A5"/>
    <w:rsid w:val="00CD10E5"/>
    <w:rsid w:val="00CD1F1B"/>
    <w:rsid w:val="00CD228F"/>
    <w:rsid w:val="00CD2664"/>
    <w:rsid w:val="00CD26FA"/>
    <w:rsid w:val="00CD2C5E"/>
    <w:rsid w:val="00CD2E7A"/>
    <w:rsid w:val="00CD3838"/>
    <w:rsid w:val="00CD4CD2"/>
    <w:rsid w:val="00CD4D75"/>
    <w:rsid w:val="00CD4D83"/>
    <w:rsid w:val="00CD54CA"/>
    <w:rsid w:val="00CD5C22"/>
    <w:rsid w:val="00CD68DB"/>
    <w:rsid w:val="00CD7019"/>
    <w:rsid w:val="00CE0439"/>
    <w:rsid w:val="00CE0714"/>
    <w:rsid w:val="00CE0799"/>
    <w:rsid w:val="00CE1841"/>
    <w:rsid w:val="00CE1902"/>
    <w:rsid w:val="00CE195A"/>
    <w:rsid w:val="00CE1ECC"/>
    <w:rsid w:val="00CE1FEB"/>
    <w:rsid w:val="00CE2F9C"/>
    <w:rsid w:val="00CE2FFE"/>
    <w:rsid w:val="00CE3661"/>
    <w:rsid w:val="00CE3D50"/>
    <w:rsid w:val="00CE4053"/>
    <w:rsid w:val="00CE64BA"/>
    <w:rsid w:val="00CE69E8"/>
    <w:rsid w:val="00CE71F9"/>
    <w:rsid w:val="00CE74DC"/>
    <w:rsid w:val="00CE7757"/>
    <w:rsid w:val="00CE77C7"/>
    <w:rsid w:val="00CE7A77"/>
    <w:rsid w:val="00CE7C8A"/>
    <w:rsid w:val="00CE7CF8"/>
    <w:rsid w:val="00CE7CFD"/>
    <w:rsid w:val="00CF1E7A"/>
    <w:rsid w:val="00CF2C24"/>
    <w:rsid w:val="00CF3443"/>
    <w:rsid w:val="00CF3906"/>
    <w:rsid w:val="00CF4F3E"/>
    <w:rsid w:val="00CF7610"/>
    <w:rsid w:val="00CF7B47"/>
    <w:rsid w:val="00CF7DC4"/>
    <w:rsid w:val="00D00027"/>
    <w:rsid w:val="00D00041"/>
    <w:rsid w:val="00D01C59"/>
    <w:rsid w:val="00D0402B"/>
    <w:rsid w:val="00D04F7C"/>
    <w:rsid w:val="00D0517B"/>
    <w:rsid w:val="00D059CF"/>
    <w:rsid w:val="00D05FB6"/>
    <w:rsid w:val="00D0718B"/>
    <w:rsid w:val="00D07980"/>
    <w:rsid w:val="00D10986"/>
    <w:rsid w:val="00D1167C"/>
    <w:rsid w:val="00D13B8C"/>
    <w:rsid w:val="00D1474C"/>
    <w:rsid w:val="00D164A2"/>
    <w:rsid w:val="00D17E78"/>
    <w:rsid w:val="00D200D6"/>
    <w:rsid w:val="00D20106"/>
    <w:rsid w:val="00D210D7"/>
    <w:rsid w:val="00D21BD6"/>
    <w:rsid w:val="00D2229A"/>
    <w:rsid w:val="00D22A2F"/>
    <w:rsid w:val="00D22BA4"/>
    <w:rsid w:val="00D22F1E"/>
    <w:rsid w:val="00D23E1D"/>
    <w:rsid w:val="00D25597"/>
    <w:rsid w:val="00D25BDD"/>
    <w:rsid w:val="00D25E84"/>
    <w:rsid w:val="00D27D1D"/>
    <w:rsid w:val="00D27F74"/>
    <w:rsid w:val="00D301DA"/>
    <w:rsid w:val="00D30FA3"/>
    <w:rsid w:val="00D31614"/>
    <w:rsid w:val="00D3182A"/>
    <w:rsid w:val="00D3194A"/>
    <w:rsid w:val="00D31A8D"/>
    <w:rsid w:val="00D31DA1"/>
    <w:rsid w:val="00D324BB"/>
    <w:rsid w:val="00D32586"/>
    <w:rsid w:val="00D32C6F"/>
    <w:rsid w:val="00D32CD2"/>
    <w:rsid w:val="00D338FD"/>
    <w:rsid w:val="00D33CA9"/>
    <w:rsid w:val="00D347BE"/>
    <w:rsid w:val="00D34938"/>
    <w:rsid w:val="00D34A18"/>
    <w:rsid w:val="00D36771"/>
    <w:rsid w:val="00D36E33"/>
    <w:rsid w:val="00D402C8"/>
    <w:rsid w:val="00D40D70"/>
    <w:rsid w:val="00D41127"/>
    <w:rsid w:val="00D41250"/>
    <w:rsid w:val="00D426FE"/>
    <w:rsid w:val="00D4298B"/>
    <w:rsid w:val="00D42A45"/>
    <w:rsid w:val="00D43237"/>
    <w:rsid w:val="00D44037"/>
    <w:rsid w:val="00D444EF"/>
    <w:rsid w:val="00D44A48"/>
    <w:rsid w:val="00D44D7B"/>
    <w:rsid w:val="00D44F38"/>
    <w:rsid w:val="00D455CF"/>
    <w:rsid w:val="00D45DB7"/>
    <w:rsid w:val="00D45E2E"/>
    <w:rsid w:val="00D5055A"/>
    <w:rsid w:val="00D53511"/>
    <w:rsid w:val="00D55BAA"/>
    <w:rsid w:val="00D560B0"/>
    <w:rsid w:val="00D5679E"/>
    <w:rsid w:val="00D571C4"/>
    <w:rsid w:val="00D57927"/>
    <w:rsid w:val="00D57EB0"/>
    <w:rsid w:val="00D608BD"/>
    <w:rsid w:val="00D60B90"/>
    <w:rsid w:val="00D613B9"/>
    <w:rsid w:val="00D6158E"/>
    <w:rsid w:val="00D61667"/>
    <w:rsid w:val="00D6287A"/>
    <w:rsid w:val="00D62C9A"/>
    <w:rsid w:val="00D63143"/>
    <w:rsid w:val="00D636FD"/>
    <w:rsid w:val="00D63911"/>
    <w:rsid w:val="00D63ECE"/>
    <w:rsid w:val="00D64F6E"/>
    <w:rsid w:val="00D6719A"/>
    <w:rsid w:val="00D67E84"/>
    <w:rsid w:val="00D70C98"/>
    <w:rsid w:val="00D7346C"/>
    <w:rsid w:val="00D738B5"/>
    <w:rsid w:val="00D73D1D"/>
    <w:rsid w:val="00D740DC"/>
    <w:rsid w:val="00D740EA"/>
    <w:rsid w:val="00D743C0"/>
    <w:rsid w:val="00D744D5"/>
    <w:rsid w:val="00D757CE"/>
    <w:rsid w:val="00D75B36"/>
    <w:rsid w:val="00D75E17"/>
    <w:rsid w:val="00D763F4"/>
    <w:rsid w:val="00D76F64"/>
    <w:rsid w:val="00D775B2"/>
    <w:rsid w:val="00D77937"/>
    <w:rsid w:val="00D80011"/>
    <w:rsid w:val="00D80F15"/>
    <w:rsid w:val="00D81583"/>
    <w:rsid w:val="00D82540"/>
    <w:rsid w:val="00D833FB"/>
    <w:rsid w:val="00D83ADF"/>
    <w:rsid w:val="00D83B12"/>
    <w:rsid w:val="00D84963"/>
    <w:rsid w:val="00D84BE9"/>
    <w:rsid w:val="00D85288"/>
    <w:rsid w:val="00D85B52"/>
    <w:rsid w:val="00D85E94"/>
    <w:rsid w:val="00D876BD"/>
    <w:rsid w:val="00D87950"/>
    <w:rsid w:val="00D87D2C"/>
    <w:rsid w:val="00D904FA"/>
    <w:rsid w:val="00D91861"/>
    <w:rsid w:val="00D9204A"/>
    <w:rsid w:val="00D9237D"/>
    <w:rsid w:val="00D926BB"/>
    <w:rsid w:val="00D931AC"/>
    <w:rsid w:val="00D93975"/>
    <w:rsid w:val="00D93C93"/>
    <w:rsid w:val="00D9447F"/>
    <w:rsid w:val="00D9577F"/>
    <w:rsid w:val="00D95890"/>
    <w:rsid w:val="00D962D6"/>
    <w:rsid w:val="00D9789A"/>
    <w:rsid w:val="00DA09C7"/>
    <w:rsid w:val="00DA1C16"/>
    <w:rsid w:val="00DA1DF8"/>
    <w:rsid w:val="00DA217E"/>
    <w:rsid w:val="00DA223B"/>
    <w:rsid w:val="00DA27EA"/>
    <w:rsid w:val="00DA2F34"/>
    <w:rsid w:val="00DA3C2A"/>
    <w:rsid w:val="00DA3F74"/>
    <w:rsid w:val="00DA420F"/>
    <w:rsid w:val="00DA45FD"/>
    <w:rsid w:val="00DA4ABA"/>
    <w:rsid w:val="00DA5471"/>
    <w:rsid w:val="00DA67CD"/>
    <w:rsid w:val="00DA7B4E"/>
    <w:rsid w:val="00DB043A"/>
    <w:rsid w:val="00DB1411"/>
    <w:rsid w:val="00DB3BDA"/>
    <w:rsid w:val="00DB3C70"/>
    <w:rsid w:val="00DB481D"/>
    <w:rsid w:val="00DB49B1"/>
    <w:rsid w:val="00DB4FC1"/>
    <w:rsid w:val="00DB4FDB"/>
    <w:rsid w:val="00DB541B"/>
    <w:rsid w:val="00DB56F8"/>
    <w:rsid w:val="00DB5732"/>
    <w:rsid w:val="00DB61DB"/>
    <w:rsid w:val="00DB7CAC"/>
    <w:rsid w:val="00DC09DE"/>
    <w:rsid w:val="00DC0FBF"/>
    <w:rsid w:val="00DC39F1"/>
    <w:rsid w:val="00DC4AA8"/>
    <w:rsid w:val="00DC51C7"/>
    <w:rsid w:val="00DC555A"/>
    <w:rsid w:val="00DC5F3C"/>
    <w:rsid w:val="00DC629B"/>
    <w:rsid w:val="00DC64A0"/>
    <w:rsid w:val="00DC68C2"/>
    <w:rsid w:val="00DC6BFD"/>
    <w:rsid w:val="00DC6C0A"/>
    <w:rsid w:val="00DD0303"/>
    <w:rsid w:val="00DD1E5C"/>
    <w:rsid w:val="00DD21FC"/>
    <w:rsid w:val="00DD23E0"/>
    <w:rsid w:val="00DD2431"/>
    <w:rsid w:val="00DD2598"/>
    <w:rsid w:val="00DD36F9"/>
    <w:rsid w:val="00DD3CE5"/>
    <w:rsid w:val="00DD4915"/>
    <w:rsid w:val="00DD49C6"/>
    <w:rsid w:val="00DD4B02"/>
    <w:rsid w:val="00DD4E83"/>
    <w:rsid w:val="00DD50ED"/>
    <w:rsid w:val="00DD5AF5"/>
    <w:rsid w:val="00DD6AEB"/>
    <w:rsid w:val="00DD780D"/>
    <w:rsid w:val="00DE1266"/>
    <w:rsid w:val="00DE16BF"/>
    <w:rsid w:val="00DE2196"/>
    <w:rsid w:val="00DE5284"/>
    <w:rsid w:val="00DE538E"/>
    <w:rsid w:val="00DE74C4"/>
    <w:rsid w:val="00DE7559"/>
    <w:rsid w:val="00DE7BA0"/>
    <w:rsid w:val="00DF0449"/>
    <w:rsid w:val="00DF07C7"/>
    <w:rsid w:val="00DF0948"/>
    <w:rsid w:val="00DF098A"/>
    <w:rsid w:val="00DF0EC7"/>
    <w:rsid w:val="00DF16B3"/>
    <w:rsid w:val="00DF1E87"/>
    <w:rsid w:val="00DF231D"/>
    <w:rsid w:val="00DF2CEC"/>
    <w:rsid w:val="00DF369F"/>
    <w:rsid w:val="00DF48C9"/>
    <w:rsid w:val="00DF4E4A"/>
    <w:rsid w:val="00DF5274"/>
    <w:rsid w:val="00DF547E"/>
    <w:rsid w:val="00DF7635"/>
    <w:rsid w:val="00DF7D9F"/>
    <w:rsid w:val="00E00332"/>
    <w:rsid w:val="00E01D74"/>
    <w:rsid w:val="00E02577"/>
    <w:rsid w:val="00E02861"/>
    <w:rsid w:val="00E02A81"/>
    <w:rsid w:val="00E053F8"/>
    <w:rsid w:val="00E059AF"/>
    <w:rsid w:val="00E059E3"/>
    <w:rsid w:val="00E05A44"/>
    <w:rsid w:val="00E05D9E"/>
    <w:rsid w:val="00E06097"/>
    <w:rsid w:val="00E06F82"/>
    <w:rsid w:val="00E07190"/>
    <w:rsid w:val="00E10436"/>
    <w:rsid w:val="00E11909"/>
    <w:rsid w:val="00E11A6B"/>
    <w:rsid w:val="00E14970"/>
    <w:rsid w:val="00E161D4"/>
    <w:rsid w:val="00E167BF"/>
    <w:rsid w:val="00E16F6E"/>
    <w:rsid w:val="00E1701A"/>
    <w:rsid w:val="00E201E6"/>
    <w:rsid w:val="00E2065A"/>
    <w:rsid w:val="00E22C62"/>
    <w:rsid w:val="00E22D04"/>
    <w:rsid w:val="00E231DD"/>
    <w:rsid w:val="00E232E2"/>
    <w:rsid w:val="00E2532D"/>
    <w:rsid w:val="00E25B8F"/>
    <w:rsid w:val="00E2679C"/>
    <w:rsid w:val="00E26B04"/>
    <w:rsid w:val="00E26E8F"/>
    <w:rsid w:val="00E300B4"/>
    <w:rsid w:val="00E3046D"/>
    <w:rsid w:val="00E30D20"/>
    <w:rsid w:val="00E316C8"/>
    <w:rsid w:val="00E31ED9"/>
    <w:rsid w:val="00E31FC8"/>
    <w:rsid w:val="00E32556"/>
    <w:rsid w:val="00E339F0"/>
    <w:rsid w:val="00E33B3D"/>
    <w:rsid w:val="00E34020"/>
    <w:rsid w:val="00E35990"/>
    <w:rsid w:val="00E3624D"/>
    <w:rsid w:val="00E36B11"/>
    <w:rsid w:val="00E37AF2"/>
    <w:rsid w:val="00E40500"/>
    <w:rsid w:val="00E40788"/>
    <w:rsid w:val="00E41719"/>
    <w:rsid w:val="00E41DE0"/>
    <w:rsid w:val="00E41EB5"/>
    <w:rsid w:val="00E42257"/>
    <w:rsid w:val="00E42D39"/>
    <w:rsid w:val="00E43D00"/>
    <w:rsid w:val="00E4429D"/>
    <w:rsid w:val="00E44B86"/>
    <w:rsid w:val="00E44FBF"/>
    <w:rsid w:val="00E455B9"/>
    <w:rsid w:val="00E47AAA"/>
    <w:rsid w:val="00E50797"/>
    <w:rsid w:val="00E511FD"/>
    <w:rsid w:val="00E5281A"/>
    <w:rsid w:val="00E52A0C"/>
    <w:rsid w:val="00E54A32"/>
    <w:rsid w:val="00E56331"/>
    <w:rsid w:val="00E566BA"/>
    <w:rsid w:val="00E57031"/>
    <w:rsid w:val="00E577A1"/>
    <w:rsid w:val="00E5781F"/>
    <w:rsid w:val="00E60298"/>
    <w:rsid w:val="00E60AF0"/>
    <w:rsid w:val="00E60BEF"/>
    <w:rsid w:val="00E612C3"/>
    <w:rsid w:val="00E62351"/>
    <w:rsid w:val="00E626D1"/>
    <w:rsid w:val="00E62F17"/>
    <w:rsid w:val="00E6370F"/>
    <w:rsid w:val="00E6390F"/>
    <w:rsid w:val="00E63CA1"/>
    <w:rsid w:val="00E64B6D"/>
    <w:rsid w:val="00E65240"/>
    <w:rsid w:val="00E658DE"/>
    <w:rsid w:val="00E66EDB"/>
    <w:rsid w:val="00E67008"/>
    <w:rsid w:val="00E6746E"/>
    <w:rsid w:val="00E70C2D"/>
    <w:rsid w:val="00E714BB"/>
    <w:rsid w:val="00E71B76"/>
    <w:rsid w:val="00E71E06"/>
    <w:rsid w:val="00E73C90"/>
    <w:rsid w:val="00E73F84"/>
    <w:rsid w:val="00E742DB"/>
    <w:rsid w:val="00E744C4"/>
    <w:rsid w:val="00E7495B"/>
    <w:rsid w:val="00E74B30"/>
    <w:rsid w:val="00E7652D"/>
    <w:rsid w:val="00E76935"/>
    <w:rsid w:val="00E77615"/>
    <w:rsid w:val="00E80278"/>
    <w:rsid w:val="00E80BDD"/>
    <w:rsid w:val="00E8259B"/>
    <w:rsid w:val="00E82FD8"/>
    <w:rsid w:val="00E8402F"/>
    <w:rsid w:val="00E848CB"/>
    <w:rsid w:val="00E84FED"/>
    <w:rsid w:val="00E86596"/>
    <w:rsid w:val="00E86D1F"/>
    <w:rsid w:val="00E872C1"/>
    <w:rsid w:val="00E8740C"/>
    <w:rsid w:val="00E874DA"/>
    <w:rsid w:val="00E90BD0"/>
    <w:rsid w:val="00E91267"/>
    <w:rsid w:val="00E9151C"/>
    <w:rsid w:val="00E91526"/>
    <w:rsid w:val="00E91FB7"/>
    <w:rsid w:val="00E922B8"/>
    <w:rsid w:val="00E9284A"/>
    <w:rsid w:val="00E93716"/>
    <w:rsid w:val="00E951A5"/>
    <w:rsid w:val="00E95B7B"/>
    <w:rsid w:val="00E975E1"/>
    <w:rsid w:val="00E977C3"/>
    <w:rsid w:val="00E97B27"/>
    <w:rsid w:val="00E97CB6"/>
    <w:rsid w:val="00EA0243"/>
    <w:rsid w:val="00EA0B5B"/>
    <w:rsid w:val="00EA0C38"/>
    <w:rsid w:val="00EA0D7E"/>
    <w:rsid w:val="00EA1AEF"/>
    <w:rsid w:val="00EA28A7"/>
    <w:rsid w:val="00EA31E7"/>
    <w:rsid w:val="00EA53A6"/>
    <w:rsid w:val="00EA564F"/>
    <w:rsid w:val="00EA5C0A"/>
    <w:rsid w:val="00EA5C6C"/>
    <w:rsid w:val="00EA5E4E"/>
    <w:rsid w:val="00EA6434"/>
    <w:rsid w:val="00EA6601"/>
    <w:rsid w:val="00EA6DB6"/>
    <w:rsid w:val="00EA6E64"/>
    <w:rsid w:val="00EA7E66"/>
    <w:rsid w:val="00EB0FDF"/>
    <w:rsid w:val="00EB12C0"/>
    <w:rsid w:val="00EB1C03"/>
    <w:rsid w:val="00EB1ED9"/>
    <w:rsid w:val="00EB3769"/>
    <w:rsid w:val="00EB443E"/>
    <w:rsid w:val="00EB48E3"/>
    <w:rsid w:val="00EB4F72"/>
    <w:rsid w:val="00EB57B9"/>
    <w:rsid w:val="00EC01B6"/>
    <w:rsid w:val="00EC0A8B"/>
    <w:rsid w:val="00EC0C04"/>
    <w:rsid w:val="00EC0C2E"/>
    <w:rsid w:val="00EC1563"/>
    <w:rsid w:val="00EC1A9A"/>
    <w:rsid w:val="00EC1CA6"/>
    <w:rsid w:val="00EC1EBE"/>
    <w:rsid w:val="00EC28BA"/>
    <w:rsid w:val="00EC2B26"/>
    <w:rsid w:val="00EC2E54"/>
    <w:rsid w:val="00EC467D"/>
    <w:rsid w:val="00EC483A"/>
    <w:rsid w:val="00EC4B8B"/>
    <w:rsid w:val="00EC7495"/>
    <w:rsid w:val="00EC761D"/>
    <w:rsid w:val="00ED0644"/>
    <w:rsid w:val="00ED0AB2"/>
    <w:rsid w:val="00ED0D3D"/>
    <w:rsid w:val="00ED117C"/>
    <w:rsid w:val="00ED2592"/>
    <w:rsid w:val="00ED27FE"/>
    <w:rsid w:val="00ED3341"/>
    <w:rsid w:val="00ED336E"/>
    <w:rsid w:val="00ED3A7A"/>
    <w:rsid w:val="00ED3D4F"/>
    <w:rsid w:val="00ED47D8"/>
    <w:rsid w:val="00ED51AE"/>
    <w:rsid w:val="00ED5780"/>
    <w:rsid w:val="00ED5E0C"/>
    <w:rsid w:val="00ED5EB8"/>
    <w:rsid w:val="00ED6492"/>
    <w:rsid w:val="00ED6919"/>
    <w:rsid w:val="00ED6A15"/>
    <w:rsid w:val="00ED7760"/>
    <w:rsid w:val="00EE0372"/>
    <w:rsid w:val="00EE3ED0"/>
    <w:rsid w:val="00EE46C6"/>
    <w:rsid w:val="00EE4D99"/>
    <w:rsid w:val="00EE54CE"/>
    <w:rsid w:val="00EE54F4"/>
    <w:rsid w:val="00EE6104"/>
    <w:rsid w:val="00EE6297"/>
    <w:rsid w:val="00EE66C5"/>
    <w:rsid w:val="00EE72AC"/>
    <w:rsid w:val="00EE7491"/>
    <w:rsid w:val="00EE74EA"/>
    <w:rsid w:val="00EE7975"/>
    <w:rsid w:val="00EE7AD7"/>
    <w:rsid w:val="00EF04C8"/>
    <w:rsid w:val="00EF0526"/>
    <w:rsid w:val="00EF0E47"/>
    <w:rsid w:val="00EF1562"/>
    <w:rsid w:val="00EF15FE"/>
    <w:rsid w:val="00EF2513"/>
    <w:rsid w:val="00EF286D"/>
    <w:rsid w:val="00EF2F54"/>
    <w:rsid w:val="00EF3DE5"/>
    <w:rsid w:val="00EF47DD"/>
    <w:rsid w:val="00EF512F"/>
    <w:rsid w:val="00EF67DD"/>
    <w:rsid w:val="00EF721F"/>
    <w:rsid w:val="00F00232"/>
    <w:rsid w:val="00F004BA"/>
    <w:rsid w:val="00F02D53"/>
    <w:rsid w:val="00F030CE"/>
    <w:rsid w:val="00F034A0"/>
    <w:rsid w:val="00F0414C"/>
    <w:rsid w:val="00F04C58"/>
    <w:rsid w:val="00F04CB0"/>
    <w:rsid w:val="00F058B6"/>
    <w:rsid w:val="00F076A6"/>
    <w:rsid w:val="00F0781C"/>
    <w:rsid w:val="00F103CD"/>
    <w:rsid w:val="00F1143E"/>
    <w:rsid w:val="00F127CE"/>
    <w:rsid w:val="00F1283C"/>
    <w:rsid w:val="00F13940"/>
    <w:rsid w:val="00F15D74"/>
    <w:rsid w:val="00F16560"/>
    <w:rsid w:val="00F16733"/>
    <w:rsid w:val="00F172D5"/>
    <w:rsid w:val="00F179D7"/>
    <w:rsid w:val="00F17CF4"/>
    <w:rsid w:val="00F204D6"/>
    <w:rsid w:val="00F20769"/>
    <w:rsid w:val="00F21224"/>
    <w:rsid w:val="00F2193F"/>
    <w:rsid w:val="00F21F1B"/>
    <w:rsid w:val="00F2201A"/>
    <w:rsid w:val="00F241B6"/>
    <w:rsid w:val="00F24269"/>
    <w:rsid w:val="00F24429"/>
    <w:rsid w:val="00F25313"/>
    <w:rsid w:val="00F25DB3"/>
    <w:rsid w:val="00F2645D"/>
    <w:rsid w:val="00F302F9"/>
    <w:rsid w:val="00F30A11"/>
    <w:rsid w:val="00F3104E"/>
    <w:rsid w:val="00F315CD"/>
    <w:rsid w:val="00F318A0"/>
    <w:rsid w:val="00F31FF8"/>
    <w:rsid w:val="00F32151"/>
    <w:rsid w:val="00F32352"/>
    <w:rsid w:val="00F32514"/>
    <w:rsid w:val="00F34ACD"/>
    <w:rsid w:val="00F35AF3"/>
    <w:rsid w:val="00F35C7E"/>
    <w:rsid w:val="00F35CB8"/>
    <w:rsid w:val="00F35E77"/>
    <w:rsid w:val="00F36673"/>
    <w:rsid w:val="00F3694B"/>
    <w:rsid w:val="00F42061"/>
    <w:rsid w:val="00F43C66"/>
    <w:rsid w:val="00F43CC1"/>
    <w:rsid w:val="00F443A1"/>
    <w:rsid w:val="00F4549E"/>
    <w:rsid w:val="00F46787"/>
    <w:rsid w:val="00F468CC"/>
    <w:rsid w:val="00F4737A"/>
    <w:rsid w:val="00F47594"/>
    <w:rsid w:val="00F47B54"/>
    <w:rsid w:val="00F505AB"/>
    <w:rsid w:val="00F51F07"/>
    <w:rsid w:val="00F5240B"/>
    <w:rsid w:val="00F52664"/>
    <w:rsid w:val="00F52995"/>
    <w:rsid w:val="00F53080"/>
    <w:rsid w:val="00F53114"/>
    <w:rsid w:val="00F53591"/>
    <w:rsid w:val="00F53974"/>
    <w:rsid w:val="00F53CA5"/>
    <w:rsid w:val="00F53F02"/>
    <w:rsid w:val="00F54AB6"/>
    <w:rsid w:val="00F55914"/>
    <w:rsid w:val="00F57A92"/>
    <w:rsid w:val="00F60549"/>
    <w:rsid w:val="00F606C3"/>
    <w:rsid w:val="00F61CBE"/>
    <w:rsid w:val="00F62D5B"/>
    <w:rsid w:val="00F62FEF"/>
    <w:rsid w:val="00F631C0"/>
    <w:rsid w:val="00F6324C"/>
    <w:rsid w:val="00F64828"/>
    <w:rsid w:val="00F662A1"/>
    <w:rsid w:val="00F663D4"/>
    <w:rsid w:val="00F66D48"/>
    <w:rsid w:val="00F67051"/>
    <w:rsid w:val="00F67261"/>
    <w:rsid w:val="00F6753E"/>
    <w:rsid w:val="00F67A00"/>
    <w:rsid w:val="00F70427"/>
    <w:rsid w:val="00F704DC"/>
    <w:rsid w:val="00F708C8"/>
    <w:rsid w:val="00F70D54"/>
    <w:rsid w:val="00F711B1"/>
    <w:rsid w:val="00F716DB"/>
    <w:rsid w:val="00F718F2"/>
    <w:rsid w:val="00F732F5"/>
    <w:rsid w:val="00F73E1C"/>
    <w:rsid w:val="00F74170"/>
    <w:rsid w:val="00F744DD"/>
    <w:rsid w:val="00F748CC"/>
    <w:rsid w:val="00F74CC7"/>
    <w:rsid w:val="00F751D9"/>
    <w:rsid w:val="00F75558"/>
    <w:rsid w:val="00F75851"/>
    <w:rsid w:val="00F75F5F"/>
    <w:rsid w:val="00F760B8"/>
    <w:rsid w:val="00F76133"/>
    <w:rsid w:val="00F77706"/>
    <w:rsid w:val="00F77A6D"/>
    <w:rsid w:val="00F80758"/>
    <w:rsid w:val="00F80EBF"/>
    <w:rsid w:val="00F80FBC"/>
    <w:rsid w:val="00F8105C"/>
    <w:rsid w:val="00F8106D"/>
    <w:rsid w:val="00F81071"/>
    <w:rsid w:val="00F81128"/>
    <w:rsid w:val="00F82A2A"/>
    <w:rsid w:val="00F82FFE"/>
    <w:rsid w:val="00F83706"/>
    <w:rsid w:val="00F845B6"/>
    <w:rsid w:val="00F846C8"/>
    <w:rsid w:val="00F84DD1"/>
    <w:rsid w:val="00F85308"/>
    <w:rsid w:val="00F853C8"/>
    <w:rsid w:val="00F85732"/>
    <w:rsid w:val="00F85CF8"/>
    <w:rsid w:val="00F861F5"/>
    <w:rsid w:val="00F86606"/>
    <w:rsid w:val="00F904BA"/>
    <w:rsid w:val="00F906FC"/>
    <w:rsid w:val="00F90E78"/>
    <w:rsid w:val="00F92FC9"/>
    <w:rsid w:val="00F93146"/>
    <w:rsid w:val="00F93F20"/>
    <w:rsid w:val="00F9468A"/>
    <w:rsid w:val="00F947FE"/>
    <w:rsid w:val="00F9495A"/>
    <w:rsid w:val="00F94E5B"/>
    <w:rsid w:val="00F963CF"/>
    <w:rsid w:val="00F97579"/>
    <w:rsid w:val="00FA12D0"/>
    <w:rsid w:val="00FA29BD"/>
    <w:rsid w:val="00FA38D3"/>
    <w:rsid w:val="00FA4B30"/>
    <w:rsid w:val="00FA5399"/>
    <w:rsid w:val="00FA586F"/>
    <w:rsid w:val="00FA59E6"/>
    <w:rsid w:val="00FA63CD"/>
    <w:rsid w:val="00FA6746"/>
    <w:rsid w:val="00FA6AD1"/>
    <w:rsid w:val="00FA6ADB"/>
    <w:rsid w:val="00FA6C4D"/>
    <w:rsid w:val="00FA7880"/>
    <w:rsid w:val="00FA799E"/>
    <w:rsid w:val="00FA7FE7"/>
    <w:rsid w:val="00FB0AE1"/>
    <w:rsid w:val="00FB0F06"/>
    <w:rsid w:val="00FB303E"/>
    <w:rsid w:val="00FB3106"/>
    <w:rsid w:val="00FB3D29"/>
    <w:rsid w:val="00FB42BB"/>
    <w:rsid w:val="00FB4A24"/>
    <w:rsid w:val="00FB5536"/>
    <w:rsid w:val="00FB57AA"/>
    <w:rsid w:val="00FB5AAB"/>
    <w:rsid w:val="00FB6A0D"/>
    <w:rsid w:val="00FB7288"/>
    <w:rsid w:val="00FB7B73"/>
    <w:rsid w:val="00FC0083"/>
    <w:rsid w:val="00FC0CC4"/>
    <w:rsid w:val="00FC13F9"/>
    <w:rsid w:val="00FC1EB2"/>
    <w:rsid w:val="00FC3C33"/>
    <w:rsid w:val="00FC3D46"/>
    <w:rsid w:val="00FC58EA"/>
    <w:rsid w:val="00FC6757"/>
    <w:rsid w:val="00FC6B7C"/>
    <w:rsid w:val="00FC70DB"/>
    <w:rsid w:val="00FD0667"/>
    <w:rsid w:val="00FD0688"/>
    <w:rsid w:val="00FD06CC"/>
    <w:rsid w:val="00FD0C96"/>
    <w:rsid w:val="00FD1844"/>
    <w:rsid w:val="00FD1E77"/>
    <w:rsid w:val="00FD2974"/>
    <w:rsid w:val="00FD2A5D"/>
    <w:rsid w:val="00FD2E2F"/>
    <w:rsid w:val="00FD37C9"/>
    <w:rsid w:val="00FD4C17"/>
    <w:rsid w:val="00FD4FF2"/>
    <w:rsid w:val="00FD5799"/>
    <w:rsid w:val="00FD5994"/>
    <w:rsid w:val="00FD6455"/>
    <w:rsid w:val="00FD6901"/>
    <w:rsid w:val="00FD6995"/>
    <w:rsid w:val="00FD6E07"/>
    <w:rsid w:val="00FD70B2"/>
    <w:rsid w:val="00FE0092"/>
    <w:rsid w:val="00FE041D"/>
    <w:rsid w:val="00FE0923"/>
    <w:rsid w:val="00FE1A0D"/>
    <w:rsid w:val="00FE1CBC"/>
    <w:rsid w:val="00FE1F58"/>
    <w:rsid w:val="00FE269D"/>
    <w:rsid w:val="00FE31BB"/>
    <w:rsid w:val="00FE57A8"/>
    <w:rsid w:val="00FE74E1"/>
    <w:rsid w:val="00FF1551"/>
    <w:rsid w:val="00FF353E"/>
    <w:rsid w:val="00FF38E0"/>
    <w:rsid w:val="00FF4441"/>
    <w:rsid w:val="00FF4B13"/>
    <w:rsid w:val="00FF4F66"/>
    <w:rsid w:val="00FF5210"/>
    <w:rsid w:val="00FF52C8"/>
    <w:rsid w:val="00FF545E"/>
    <w:rsid w:val="00FF7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61D7567B-DFF2-EA42-ADAC-9FEFEB9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
    <w:basedOn w:val="Normal"/>
    <w:link w:val="ListParagraphChar"/>
    <w:uiPriority w:val="34"/>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uiPriority w:val="1"/>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
    <w:link w:val="ListParagraph"/>
    <w:uiPriority w:val="34"/>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paragraph" w:customStyle="1" w:styleId="recipientaddress">
    <w:name w:val="recipient address"/>
    <w:basedOn w:val="Normal"/>
    <w:uiPriority w:val="99"/>
    <w:qFormat/>
    <w:rsid w:val="00BF468B"/>
  </w:style>
  <w:style w:type="character" w:styleId="IntenseEmphasis">
    <w:name w:val="Intense Emphasis"/>
    <w:basedOn w:val="DefaultParagraphFont"/>
    <w:uiPriority w:val="21"/>
    <w:qFormat/>
    <w:rsid w:val="00BF468B"/>
    <w:rPr>
      <w:i/>
      <w:iCs/>
      <w:color w:val="005496" w:themeColor="accent1"/>
    </w:rPr>
  </w:style>
  <w:style w:type="character" w:styleId="SubtleEmphasis">
    <w:name w:val="Subtle Emphasis"/>
    <w:basedOn w:val="DefaultParagraphFont"/>
    <w:uiPriority w:val="19"/>
    <w:qFormat/>
    <w:rsid w:val="00BF468B"/>
    <w:rPr>
      <w:i/>
      <w:iCs/>
      <w:color w:val="404040" w:themeColor="text1" w:themeTint="BF"/>
    </w:rPr>
  </w:style>
  <w:style w:type="paragraph" w:styleId="TOC4">
    <w:name w:val="toc 4"/>
    <w:basedOn w:val="Normal"/>
    <w:next w:val="Normal"/>
    <w:uiPriority w:val="39"/>
    <w:unhideWhenUsed/>
    <w:rsid w:val="00BF468B"/>
    <w:pPr>
      <w:spacing w:after="100"/>
      <w:ind w:left="660"/>
    </w:pPr>
  </w:style>
  <w:style w:type="character" w:styleId="Mention">
    <w:name w:val="Mention"/>
    <w:basedOn w:val="DefaultParagraphFont"/>
    <w:uiPriority w:val="99"/>
    <w:unhideWhenUsed/>
    <w:rsid w:val="00BF46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427774571">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73327169">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wd@pwd.org.au" TargetMode="External"/><Relationship Id="rId18" Type="http://schemas.openxmlformats.org/officeDocument/2006/relationships/hyperlink" Target="https://www.safetyandquality.gov.au/sites/default/files/2021-05/national_safety_and_quality_health_service_nsqhs_standards_second_edition_-_updated_may_2021.pdf" TargetMode="External"/><Relationship Id="rId26" Type="http://schemas.openxmlformats.org/officeDocument/2006/relationships/hyperlink" Target="https://www.health.gov.au/sites/default/files/documents/2021/12/national-preventive-health-strategy-2021-2030_1.pdf" TargetMode="External"/><Relationship Id="rId3" Type="http://schemas.openxmlformats.org/officeDocument/2006/relationships/customXml" Target="../customXml/item3.xml"/><Relationship Id="rId21" Type="http://schemas.openxmlformats.org/officeDocument/2006/relationships/hyperlink" Target="https://www.safetyandquality.gov.au/sites/default/files/2021-05/national_safety_and_quality_health_service_nsqhs_standards_second_edition_-_updated_may_2021.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sites/default/files/documents/2021/12/national-preventive-health-strategy-2021-2030_1.pdf" TargetMode="External"/><Relationship Id="rId25" Type="http://schemas.openxmlformats.org/officeDocument/2006/relationships/hyperlink" Target="https://www.safetyandquality.gov.au/sites/default/files/2021-05/national_safety_and_quality_health_service_nsqhs_standards_second_edition_-_updated_may_202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tyandquality.gov.au/publications-and-resources/resource-library/written-submission-questions-first-consultation-nsqhs-standards-third-edition" TargetMode="External"/><Relationship Id="rId20" Type="http://schemas.openxmlformats.org/officeDocument/2006/relationships/hyperlink" Target="https://www.safetyandquality.gov.au/publications-and-resources/resource-library/written-submission-questions-first-consultation-nsqhs-standards-third-edition"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health.gov.au/initiatives-and-programs/my-health-record"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afetyandquality.gov.au/newsroom/consultations/nsqhs-standards-third-edition-public-consultation-1" TargetMode="External"/><Relationship Id="rId23" Type="http://schemas.openxmlformats.org/officeDocument/2006/relationships/hyperlink" Target="https://www.health.gov.au/our-work/mymedicar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fetyandquality.gov.au/newsroom/consultations/nsqhs-standards-third-edition-public-consultation-1" TargetMode="External"/><Relationship Id="rId31" Type="http://schemas.openxmlformats.org/officeDocument/2006/relationships/hyperlink" Target="mailto:bastienw@pw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wd.org.au" TargetMode="External"/><Relationship Id="rId22" Type="http://schemas.openxmlformats.org/officeDocument/2006/relationships/hyperlink" Target="https://www.safetyandquality.gov.au/sites/default/files/2021-05/national_safety_and_quality_health_service_nsqhs_standards_second_edition_-_updated_may_2021.pdf" TargetMode="External"/><Relationship Id="rId27" Type="http://schemas.openxmlformats.org/officeDocument/2006/relationships/hyperlink" Target="https://www.safetyandquality.gov.au/sites/default/files/2021-05/national_safety_and_quality_health_service_nsqhs_standards_second_edition_-_updated_may_2021.pdf" TargetMode="External"/><Relationship Id="rId30" Type="http://schemas.openxmlformats.org/officeDocument/2006/relationships/hyperlink" Target="mailto:pwd@pwd.org.au"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nsw.gov.au/media-releases/health-insurers-rorting-public-hospital-beds" TargetMode="External"/><Relationship Id="rId13" Type="http://schemas.openxmlformats.org/officeDocument/2006/relationships/hyperlink" Target="https://www.aihw.gov.au/reports/australias-health/health-of-people-with-disability" TargetMode="External"/><Relationship Id="rId3" Type="http://schemas.openxmlformats.org/officeDocument/2006/relationships/hyperlink" Target="https://www.thelancet.com/journals/lanpub/article/PIIS2468-2667(24)00266-4/fulltext" TargetMode="External"/><Relationship Id="rId7" Type="http://schemas.openxmlformats.org/officeDocument/2006/relationships/hyperlink" Target="https://www.ama.com.au/sites/default/files/2023-06/Health-is-the-best-investment-shifting-from-a-sickcare-system-to-a-healthcares-system.pdf" TargetMode="External"/><Relationship Id="rId12" Type="http://schemas.openxmlformats.org/officeDocument/2006/relationships/hyperlink" Target="https://www.aihw.gov.au/reports/australias-health/health-of-people-with-disability" TargetMode="External"/><Relationship Id="rId2" Type="http://schemas.openxmlformats.org/officeDocument/2006/relationships/hyperlink" Target="https://antidiscrimination.nsw.gov.au/documents/annual-reports/anti-discrimination-annual-report-2021-22.pdf" TargetMode="External"/><Relationship Id="rId16" Type="http://schemas.openxmlformats.org/officeDocument/2006/relationships/hyperlink" Target="https://www.ama.com.au/sites/default/files/2023-06/Health-is-the-best-investment-shifting-from-a-sickcare-system-to-a-healthcares-system.pdf" TargetMode="External"/><Relationship Id="rId1" Type="http://schemas.openxmlformats.org/officeDocument/2006/relationships/hyperlink" Target="https://www.abs.gov.au/statistics/health/disability/disability-ageing-and-carers-australia-summary-findings/latest-release" TargetMode="External"/><Relationship Id="rId6" Type="http://schemas.openxmlformats.org/officeDocument/2006/relationships/hyperlink" Target="https://www.pc.gov.au/inquiries/completed/productivity-review/report/productivity-review.pdf" TargetMode="External"/><Relationship Id="rId11" Type="http://schemas.openxmlformats.org/officeDocument/2006/relationships/hyperlink" Target="https://www.abc.net.au/reslib/201305/r1115028_13591277.pdf" TargetMode="External"/><Relationship Id="rId5" Type="http://schemas.openxmlformats.org/officeDocument/2006/relationships/hyperlink" Target="https://public-health.uq.edu.au/files/571/ACE-Prevention_final_report.pdf" TargetMode="External"/><Relationship Id="rId15" Type="http://schemas.openxmlformats.org/officeDocument/2006/relationships/hyperlink" Target="https://www.pc.gov.au/inquiries/completed/productivity-review/report/productivity-review.pdf" TargetMode="External"/><Relationship Id="rId10" Type="http://schemas.openxmlformats.org/officeDocument/2006/relationships/hyperlink" Target="https://pubmed.ncbi.nlm.nih.gov/11790946/" TargetMode="External"/><Relationship Id="rId4" Type="http://schemas.openxmlformats.org/officeDocument/2006/relationships/hyperlink" Target="https://bmjopen.bmj.com/content/7/2/e013489" TargetMode="External"/><Relationship Id="rId9" Type="http://schemas.openxmlformats.org/officeDocument/2006/relationships/hyperlink" Target="https://pubmed.ncbi.nlm.nih.gov/11104596/" TargetMode="External"/><Relationship Id="rId14" Type="http://schemas.openxmlformats.org/officeDocument/2006/relationships/hyperlink" Target="https://public-health.uq.edu.au/files/571/ACE-Prevention_final_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17" ma:contentTypeDescription="Create a new document." ma:contentTypeScope="" ma:versionID="d9cd50d4a8c7f493a9919aa83bf9f9ed">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a3687d2324b0739e7f264c5e6b48b11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34ce3a-5e91-4c3e-a547-d26872c14688}"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0434-D625-49F4-AD41-D331595534A6}">
  <ds:schemaRefs>
    <ds:schemaRef ds:uri="http://schemas.microsoft.com/sharepoint/v3/contenttype/forms"/>
  </ds:schemaRefs>
</ds:datastoreItem>
</file>

<file path=customXml/itemProps2.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B63B4C1D-C659-434A-96EE-97BD2A307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11158</Words>
  <Characters>63607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74616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Ira</dc:creator>
  <cp:lastModifiedBy>Bastien Wallace</cp:lastModifiedBy>
  <cp:revision>4</cp:revision>
  <cp:lastPrinted>2025-09-24T05:14:00Z</cp:lastPrinted>
  <dcterms:created xsi:type="dcterms:W3CDTF">2025-09-22T05:18:00Z</dcterms:created>
  <dcterms:modified xsi:type="dcterms:W3CDTF">2025-09-24T05:15:00Z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1389400</vt:r8>
  </property>
  <property fmtid="{D5CDD505-2E9C-101B-9397-08002B2CF9AE}" pid="4" name="MediaServiceImageTags">
    <vt:lpwstr/>
  </property>
</Properties>
</file>