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F8EA" w14:textId="77777777" w:rsidR="004B78DF" w:rsidRPr="00382057" w:rsidRDefault="00711FC5" w:rsidP="00382057">
      <w:pPr>
        <w:pStyle w:val="Header"/>
        <w:ind w:left="5387"/>
        <w:sectPr w:rsidR="004B78DF" w:rsidRPr="00382057" w:rsidSect="00C95DAD">
          <w:headerReference w:type="default" r:id="rId11"/>
          <w:footerReference w:type="default" r:id="rId12"/>
          <w:headerReference w:type="first" r:id="rId13"/>
          <w:footerReference w:type="first" r:id="rId14"/>
          <w:type w:val="continuous"/>
          <w:pgSz w:w="11906" w:h="16838" w:code="9"/>
          <w:pgMar w:top="567" w:right="1134" w:bottom="1560" w:left="1134" w:header="0" w:footer="0" w:gutter="0"/>
          <w:cols w:space="708"/>
          <w:titlePg/>
          <w:docGrid w:linePitch="360"/>
        </w:sectPr>
      </w:pPr>
      <w:r>
        <w:rPr>
          <w:noProof/>
          <w:color w:val="005496" w:themeColor="text2"/>
          <w:sz w:val="20"/>
          <w:szCs w:val="20"/>
        </w:rPr>
        <mc:AlternateContent>
          <mc:Choice Requires="wps">
            <w:drawing>
              <wp:anchor distT="0" distB="0" distL="114300" distR="114300" simplePos="0" relativeHeight="251659264" behindDoc="0" locked="0" layoutInCell="1" allowOverlap="1" wp14:anchorId="64CA122A" wp14:editId="3727C38E">
                <wp:simplePos x="0" y="0"/>
                <wp:positionH relativeFrom="column">
                  <wp:posOffset>4866005</wp:posOffset>
                </wp:positionH>
                <wp:positionV relativeFrom="page">
                  <wp:posOffset>1205230</wp:posOffset>
                </wp:positionV>
                <wp:extent cx="0" cy="622935"/>
                <wp:effectExtent l="0" t="0" r="38100" b="24765"/>
                <wp:wrapSquare wrapText="bothSides"/>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2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F22CF" id="Straight Connector 14"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3.15pt,94.9pt" to="383.15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" strokecolor="#005496 [3204]" strokeweight=".5pt">
                <v:stroke joinstyle="miter"/>
                <w10:wrap type="square" anchory="page"/>
              </v:line>
            </w:pict>
          </mc:Fallback>
        </mc:AlternateContent>
      </w:r>
      <w:r w:rsidR="00A27EEA">
        <w:rPr>
          <w:noProof/>
        </w:rPr>
        <w:drawing>
          <wp:inline distT="0" distB="0" distL="0" distR="0" wp14:anchorId="0B85E074" wp14:editId="757B27EA">
            <wp:extent cx="2685011" cy="735965"/>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5" cstate="print">
                      <a:extLst>
                        <a:ext uri="{28A0092B-C50C-407E-A947-70E740481C1C}">
                          <a14:useLocalDpi xmlns:a14="http://schemas.microsoft.com/office/drawing/2010/main" val="0"/>
                        </a:ext>
                      </a:extLst>
                    </a:blip>
                    <a:srcRect l="2747" t="16910" r="11839" b="13478"/>
                    <a:stretch/>
                  </pic:blipFill>
                  <pic:spPr bwMode="auto">
                    <a:xfrm>
                      <a:off x="0" y="0"/>
                      <a:ext cx="2710341" cy="742908"/>
                    </a:xfrm>
                    <a:prstGeom prst="rect">
                      <a:avLst/>
                    </a:prstGeom>
                    <a:ln>
                      <a:noFill/>
                    </a:ln>
                    <a:extLst>
                      <a:ext uri="{53640926-AAD7-44D8-BBD7-CCE9431645EC}">
                        <a14:shadowObscured xmlns:a14="http://schemas.microsoft.com/office/drawing/2010/main"/>
                      </a:ext>
                    </a:extLst>
                  </pic:spPr>
                </pic:pic>
              </a:graphicData>
            </a:graphic>
          </wp:inline>
        </w:drawing>
      </w:r>
    </w:p>
    <w:p w14:paraId="07B2F91C" w14:textId="77777777" w:rsidR="004B78DF" w:rsidRPr="004B78DF" w:rsidRDefault="00B25C49" w:rsidP="005F630B">
      <w:pPr>
        <w:pStyle w:val="Header"/>
        <w:spacing w:line="276" w:lineRule="auto"/>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780B6150" w14:textId="77777777" w:rsidR="00810253" w:rsidRDefault="00B25C49" w:rsidP="003E3F06">
      <w:pPr>
        <w:pStyle w:val="Header"/>
        <w:spacing w:line="276" w:lineRule="auto"/>
        <w:ind w:right="-569"/>
        <w:rPr>
          <w:rStyle w:val="Hyperlink"/>
          <w:bCs w:val="0"/>
          <w:sz w:val="20"/>
          <w:szCs w:val="20"/>
        </w:rPr>
        <w:sectPr w:rsidR="00810253" w:rsidSect="00C95DAD">
          <w:type w:val="continuous"/>
          <w:pgSz w:w="11906" w:h="16838" w:code="9"/>
          <w:pgMar w:top="567" w:right="566" w:bottom="1560" w:left="1134" w:header="0" w:footer="0" w:gutter="0"/>
          <w:cols w:num="2" w:space="851" w:equalWidth="0">
            <w:col w:w="7088" w:space="851"/>
            <w:col w:w="1699"/>
          </w:cols>
          <w:titlePg/>
          <w:docGrid w:linePitch="360"/>
        </w:sectPr>
      </w:pPr>
      <w:r w:rsidRPr="004B78DF">
        <w:rPr>
          <w:b w:val="0"/>
          <w:bCs w:val="0"/>
          <w:sz w:val="20"/>
          <w:szCs w:val="20"/>
        </w:rPr>
        <w:t>+61 2 9370 3100</w:t>
      </w:r>
      <w:r w:rsidR="003E3F06">
        <w:rPr>
          <w:b w:val="0"/>
          <w:bCs w:val="0"/>
          <w:sz w:val="20"/>
          <w:szCs w:val="20"/>
        </w:rPr>
        <w:br/>
        <w:t>Toll</w:t>
      </w:r>
      <w:r w:rsidR="00296801">
        <w:rPr>
          <w:b w:val="0"/>
          <w:bCs w:val="0"/>
          <w:sz w:val="20"/>
          <w:szCs w:val="20"/>
        </w:rPr>
        <w:t xml:space="preserve"> </w:t>
      </w:r>
      <w:r w:rsidR="003E3F06">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Pr="004B78DF">
          <w:rPr>
            <w:rStyle w:val="Hyperlink"/>
            <w:bCs w:val="0"/>
            <w:sz w:val="20"/>
            <w:szCs w:val="20"/>
          </w:rPr>
          <w:t>www.pwd.org.au</w:t>
        </w:r>
      </w:hyperlink>
    </w:p>
    <w:p w14:paraId="7C3A6506" w14:textId="45B4D7F5" w:rsidR="00322256" w:rsidRDefault="00DC0CC1" w:rsidP="00322256">
      <w:pPr>
        <w:rPr>
          <w:rFonts w:eastAsiaTheme="minorEastAsia"/>
          <w:color w:val="000000" w:themeColor="text1"/>
        </w:rPr>
      </w:pPr>
      <w:r>
        <w:rPr>
          <w:rFonts w:eastAsiaTheme="minorEastAsia"/>
          <w:color w:val="000000" w:themeColor="text1"/>
        </w:rPr>
        <w:t>October 5</w:t>
      </w:r>
      <w:r w:rsidRPr="00DC0CC1">
        <w:rPr>
          <w:rFonts w:eastAsiaTheme="minorEastAsia"/>
          <w:color w:val="000000" w:themeColor="text1"/>
          <w:vertAlign w:val="superscript"/>
        </w:rPr>
        <w:t>th</w:t>
      </w:r>
      <w:r>
        <w:rPr>
          <w:rFonts w:eastAsiaTheme="minorEastAsia"/>
          <w:color w:val="000000" w:themeColor="text1"/>
        </w:rPr>
        <w:t>, 2025</w:t>
      </w:r>
      <w:r w:rsidR="003946D9">
        <w:rPr>
          <w:rFonts w:eastAsiaTheme="minorEastAsia"/>
          <w:color w:val="000000" w:themeColor="text1"/>
        </w:rPr>
        <w:t xml:space="preserve"> </w:t>
      </w:r>
    </w:p>
    <w:p w14:paraId="07DC0C23" w14:textId="77777777" w:rsidR="001E5607" w:rsidRDefault="001E5607" w:rsidP="0005192E">
      <w:pPr>
        <w:pStyle w:val="recipientaddress"/>
        <w:spacing w:before="0" w:after="0"/>
      </w:pPr>
      <w:r w:rsidRPr="00615FC1">
        <w:t>Department of Infrastructure, Transport, Regional Development, Communications</w:t>
      </w:r>
    </w:p>
    <w:p w14:paraId="1FCA5024" w14:textId="77777777" w:rsidR="001E5607" w:rsidRPr="00866608" w:rsidRDefault="001E5607" w:rsidP="0005192E">
      <w:pPr>
        <w:pStyle w:val="recipientaddress"/>
        <w:spacing w:before="0" w:after="0"/>
      </w:pPr>
      <w:r w:rsidRPr="00866608">
        <w:t>GPO Box 594, </w:t>
      </w:r>
    </w:p>
    <w:p w14:paraId="2F713C1D" w14:textId="77777777" w:rsidR="001E5607" w:rsidRPr="00866608" w:rsidRDefault="001E5607" w:rsidP="0005192E">
      <w:pPr>
        <w:pStyle w:val="recipientaddress"/>
        <w:spacing w:before="0" w:after="0"/>
      </w:pPr>
      <w:r w:rsidRPr="00866608">
        <w:t>CANBERRA ACT 2601</w:t>
      </w:r>
    </w:p>
    <w:p w14:paraId="27EB1B3F" w14:textId="48A897A1" w:rsidR="00384D98" w:rsidRDefault="00384D98" w:rsidP="00AD1A19">
      <w:pPr>
        <w:pStyle w:val="BodyText"/>
        <w:spacing w:line="240" w:lineRule="auto"/>
      </w:pPr>
      <w:r w:rsidRPr="00866608">
        <w:t>Submitted via web portal</w:t>
      </w:r>
      <w:r w:rsidR="009B49F4">
        <w:t xml:space="preserve">: </w:t>
      </w:r>
      <w:r w:rsidR="009B49F4" w:rsidRPr="009B49F4">
        <w:t>https://www.infrastructure.gov.au/have-your-say/aviation-consumer-protections-primary-legislation</w:t>
      </w:r>
      <w:r w:rsidRPr="00866608">
        <w:t xml:space="preserve"> </w:t>
      </w:r>
    </w:p>
    <w:p w14:paraId="623601F7" w14:textId="77777777" w:rsidR="00AD1A19" w:rsidRDefault="00AD1A19" w:rsidP="00384D98">
      <w:pPr>
        <w:pStyle w:val="BodyText"/>
      </w:pPr>
    </w:p>
    <w:p w14:paraId="467F2FCD" w14:textId="0C34D758" w:rsidR="00384D98" w:rsidRDefault="00AD1A19" w:rsidP="00384D98">
      <w:pPr>
        <w:pStyle w:val="BodyText"/>
      </w:pPr>
      <w:r>
        <w:t xml:space="preserve">To Whom it May Concern, </w:t>
      </w:r>
    </w:p>
    <w:p w14:paraId="3976C2B6" w14:textId="437CDB05" w:rsidR="00DC0CC1" w:rsidRPr="00DC0CC1" w:rsidRDefault="00375CED" w:rsidP="00DC0CC1">
      <w:pPr>
        <w:pStyle w:val="Heading4"/>
        <w:rPr>
          <w:rFonts w:eastAsiaTheme="minorEastAsia"/>
        </w:rPr>
      </w:pPr>
      <w:r w:rsidRPr="00223F49">
        <w:rPr>
          <w:rFonts w:eastAsiaTheme="minorEastAsia"/>
        </w:rPr>
        <w:t xml:space="preserve">Re: </w:t>
      </w:r>
      <w:r w:rsidR="00DC0CC1" w:rsidRPr="00DC0CC1">
        <w:rPr>
          <w:rFonts w:eastAsiaTheme="minorEastAsia"/>
        </w:rPr>
        <w:t>Aviation Consumer Protections – primary legislation</w:t>
      </w:r>
    </w:p>
    <w:p w14:paraId="61E77762" w14:textId="77777777" w:rsidR="009F61A8" w:rsidRDefault="005E4DC8" w:rsidP="00A46156">
      <w:pPr>
        <w:rPr>
          <w:rFonts w:eastAsiaTheme="minorEastAsia"/>
          <w:color w:val="000000" w:themeColor="text1"/>
        </w:rPr>
      </w:pPr>
      <w:r w:rsidRPr="00C2697F">
        <w:rPr>
          <w:rFonts w:eastAsiaTheme="minorEastAsia"/>
          <w:color w:val="000000" w:themeColor="text1"/>
        </w:rPr>
        <w:t xml:space="preserve">Thank you for the opportunity to </w:t>
      </w:r>
      <w:r w:rsidR="002853AA" w:rsidRPr="00C2697F">
        <w:rPr>
          <w:rFonts w:eastAsiaTheme="minorEastAsia"/>
          <w:color w:val="000000" w:themeColor="text1"/>
        </w:rPr>
        <w:t xml:space="preserve">respond to the </w:t>
      </w:r>
      <w:hyperlink r:id="rId18" w:history="1">
        <w:r w:rsidR="002853AA" w:rsidRPr="00C2697F">
          <w:rPr>
            <w:rStyle w:val="Hyperlink"/>
            <w:rFonts w:eastAsiaTheme="minorEastAsia"/>
          </w:rPr>
          <w:t xml:space="preserve">Aviation </w:t>
        </w:r>
        <w:r w:rsidR="00C2697F" w:rsidRPr="00C2697F">
          <w:rPr>
            <w:rStyle w:val="Hyperlink"/>
            <w:rFonts w:eastAsiaTheme="minorEastAsia"/>
          </w:rPr>
          <w:t>Consumer Protections – primary legislation</w:t>
        </w:r>
      </w:hyperlink>
      <w:r w:rsidR="00C2697F" w:rsidRPr="00C2697F">
        <w:rPr>
          <w:rFonts w:eastAsiaTheme="minorEastAsia"/>
          <w:color w:val="000000" w:themeColor="text1"/>
        </w:rPr>
        <w:t>.</w:t>
      </w:r>
      <w:r w:rsidR="00C2697F">
        <w:rPr>
          <w:rFonts w:eastAsiaTheme="minorEastAsia"/>
          <w:color w:val="000000" w:themeColor="text1"/>
        </w:rPr>
        <w:t xml:space="preserve"> </w:t>
      </w:r>
    </w:p>
    <w:p w14:paraId="3FF39221" w14:textId="372D5A21" w:rsidR="00A46156" w:rsidRDefault="00C2697F" w:rsidP="00A46156">
      <w:pPr>
        <w:rPr>
          <w:rFonts w:eastAsiaTheme="minorEastAsia"/>
          <w:color w:val="000000" w:themeColor="text1"/>
        </w:rPr>
      </w:pPr>
      <w:r>
        <w:rPr>
          <w:rFonts w:eastAsiaTheme="minorEastAsia"/>
          <w:color w:val="000000" w:themeColor="text1"/>
        </w:rPr>
        <w:t>People with Disability Australia (PWDA)</w:t>
      </w:r>
      <w:r w:rsidR="000A4677">
        <w:rPr>
          <w:rFonts w:eastAsiaTheme="minorEastAsia"/>
          <w:color w:val="000000" w:themeColor="text1"/>
        </w:rPr>
        <w:t xml:space="preserve"> is the national peak representative body for </w:t>
      </w:r>
      <w:r w:rsidR="005D2376">
        <w:rPr>
          <w:rFonts w:eastAsiaTheme="minorEastAsia"/>
          <w:color w:val="000000" w:themeColor="text1"/>
        </w:rPr>
        <w:t>the 1 in 5 Australians</w:t>
      </w:r>
      <w:r w:rsidR="000A4677">
        <w:rPr>
          <w:rFonts w:eastAsiaTheme="minorEastAsia"/>
          <w:color w:val="000000" w:themeColor="text1"/>
        </w:rPr>
        <w:t xml:space="preserve"> with a disability</w:t>
      </w:r>
      <w:r w:rsidR="005D2376">
        <w:rPr>
          <w:rFonts w:eastAsiaTheme="minorEastAsia"/>
          <w:color w:val="000000" w:themeColor="text1"/>
        </w:rPr>
        <w:t xml:space="preserve">. We </w:t>
      </w:r>
      <w:r w:rsidR="00DB6B73">
        <w:rPr>
          <w:rFonts w:eastAsiaTheme="minorEastAsia"/>
          <w:color w:val="000000" w:themeColor="text1"/>
        </w:rPr>
        <w:t>are also</w:t>
      </w:r>
      <w:r w:rsidR="000A4677">
        <w:rPr>
          <w:rFonts w:eastAsiaTheme="minorEastAsia"/>
          <w:color w:val="000000" w:themeColor="text1"/>
        </w:rPr>
        <w:t xml:space="preserve"> one of the </w:t>
      </w:r>
      <w:r w:rsidR="00A46156">
        <w:rPr>
          <w:rFonts w:eastAsiaTheme="minorEastAsia"/>
          <w:color w:val="000000" w:themeColor="text1"/>
        </w:rPr>
        <w:t xml:space="preserve">co-chairs </w:t>
      </w:r>
      <w:r w:rsidR="00DB6B73">
        <w:rPr>
          <w:rFonts w:eastAsiaTheme="minorEastAsia"/>
          <w:color w:val="000000" w:themeColor="text1"/>
        </w:rPr>
        <w:t xml:space="preserve">together with the Australian Federation </w:t>
      </w:r>
      <w:r w:rsidR="00F111D4">
        <w:rPr>
          <w:rFonts w:eastAsiaTheme="minorEastAsia"/>
          <w:color w:val="000000" w:themeColor="text1"/>
        </w:rPr>
        <w:t>of Disability Organisation</w:t>
      </w:r>
      <w:r w:rsidR="00C7149B">
        <w:rPr>
          <w:rFonts w:eastAsiaTheme="minorEastAsia"/>
          <w:color w:val="000000" w:themeColor="text1"/>
        </w:rPr>
        <w:t xml:space="preserve"> (AFDO)</w:t>
      </w:r>
      <w:r w:rsidR="00F111D4">
        <w:rPr>
          <w:rFonts w:eastAsiaTheme="minorEastAsia"/>
          <w:color w:val="000000" w:themeColor="text1"/>
        </w:rPr>
        <w:t xml:space="preserve"> </w:t>
      </w:r>
      <w:r w:rsidR="00C7149B">
        <w:rPr>
          <w:rFonts w:eastAsiaTheme="minorEastAsia"/>
          <w:color w:val="000000" w:themeColor="text1"/>
        </w:rPr>
        <w:t xml:space="preserve">on the steering group with </w:t>
      </w:r>
      <w:r w:rsidR="00F111D4">
        <w:rPr>
          <w:rFonts w:eastAsiaTheme="minorEastAsia"/>
          <w:color w:val="000000" w:themeColor="text1"/>
        </w:rPr>
        <w:t xml:space="preserve">the Justice and Equity Centre (JEC) </w:t>
      </w:r>
      <w:r w:rsidR="00C7149B">
        <w:rPr>
          <w:rFonts w:eastAsiaTheme="minorEastAsia"/>
          <w:color w:val="000000" w:themeColor="text1"/>
        </w:rPr>
        <w:t xml:space="preserve">and </w:t>
      </w:r>
      <w:r w:rsidR="00A46156">
        <w:rPr>
          <w:rFonts w:eastAsiaTheme="minorEastAsia"/>
          <w:color w:val="000000" w:themeColor="text1"/>
        </w:rPr>
        <w:t>the Department of Infrastructure, Transport, Regional Development, Communications, Sport and the Arts</w:t>
      </w:r>
      <w:r w:rsidR="00542ABE">
        <w:rPr>
          <w:rFonts w:eastAsiaTheme="minorEastAsia"/>
          <w:color w:val="000000" w:themeColor="text1"/>
        </w:rPr>
        <w:t xml:space="preserve"> on the co-design of the disability aviation standards.</w:t>
      </w:r>
    </w:p>
    <w:p w14:paraId="7E65A5C8" w14:textId="6EF50E44" w:rsidR="00425C52" w:rsidRDefault="003C539C" w:rsidP="003C539C">
      <w:pPr>
        <w:pStyle w:val="BodyText"/>
      </w:pPr>
      <w:r>
        <w:rPr>
          <w:rFonts w:eastAsiaTheme="minorEastAsia"/>
          <w:color w:val="000000" w:themeColor="text1"/>
        </w:rPr>
        <w:t xml:space="preserve">In 2024 </w:t>
      </w:r>
      <w:r w:rsidR="00E72C46">
        <w:rPr>
          <w:rFonts w:eastAsiaTheme="minorEastAsia"/>
          <w:color w:val="000000" w:themeColor="text1"/>
        </w:rPr>
        <w:t xml:space="preserve">PWDA </w:t>
      </w:r>
      <w:r w:rsidR="0001663D">
        <w:rPr>
          <w:rFonts w:eastAsiaTheme="minorEastAsia"/>
          <w:color w:val="000000" w:themeColor="text1"/>
        </w:rPr>
        <w:t xml:space="preserve">responded to </w:t>
      </w:r>
      <w:hyperlink r:id="rId19" w:history="1">
        <w:r w:rsidRPr="00AB1FF5">
          <w:rPr>
            <w:rStyle w:val="Hyperlink"/>
          </w:rPr>
          <w:t>The Aviation Industry Ombuds Scheme—Consultation paper</w:t>
        </w:r>
      </w:hyperlink>
      <w:r w:rsidR="00AB1FF5">
        <w:t xml:space="preserve"> and </w:t>
      </w:r>
      <w:r w:rsidR="00664FD1">
        <w:t xml:space="preserve">we are pleased that some of the </w:t>
      </w:r>
      <w:r w:rsidR="00A547F6">
        <w:t xml:space="preserve">issues we identified then have been addressed. </w:t>
      </w:r>
      <w:r w:rsidR="000E278C">
        <w:t>W</w:t>
      </w:r>
      <w:r w:rsidR="00EB1746">
        <w:t xml:space="preserve">e are </w:t>
      </w:r>
      <w:r w:rsidR="000E278C">
        <w:t xml:space="preserve">also </w:t>
      </w:r>
      <w:r w:rsidR="00EB1746">
        <w:t xml:space="preserve">pleased that the </w:t>
      </w:r>
      <w:hyperlink r:id="rId20" w:history="1">
        <w:r w:rsidR="00EB1746" w:rsidRPr="004521A6">
          <w:rPr>
            <w:rStyle w:val="Hyperlink"/>
          </w:rPr>
          <w:t>Aviation Consumer Protection Consultation Paper</w:t>
        </w:r>
      </w:hyperlink>
      <w:r w:rsidR="00EB1746">
        <w:t xml:space="preserve"> has been provided in accessible formats.</w:t>
      </w:r>
    </w:p>
    <w:p w14:paraId="5DF035D2" w14:textId="07EBCA96" w:rsidR="000E278C" w:rsidRPr="00B041CB" w:rsidRDefault="00307A47" w:rsidP="003C539C">
      <w:pPr>
        <w:pStyle w:val="BodyText"/>
      </w:pPr>
      <w:proofErr w:type="gramStart"/>
      <w:r>
        <w:t>With regard to</w:t>
      </w:r>
      <w:proofErr w:type="gramEnd"/>
      <w:r>
        <w:t xml:space="preserve"> the questions raised</w:t>
      </w:r>
      <w:r w:rsidR="007D1CB8">
        <w:t xml:space="preserve"> about the primary legislation, PWDA has the following feedback:</w:t>
      </w:r>
    </w:p>
    <w:p w14:paraId="6600E002" w14:textId="5E6078B3" w:rsidR="005D0957" w:rsidRPr="00247F86" w:rsidRDefault="005D0957" w:rsidP="00ED0056">
      <w:pPr>
        <w:pStyle w:val="ListParagraph"/>
        <w:numPr>
          <w:ilvl w:val="0"/>
          <w:numId w:val="21"/>
        </w:numPr>
        <w:jc w:val="both"/>
        <w:rPr>
          <w:rFonts w:eastAsiaTheme="minorEastAsia"/>
          <w:b/>
          <w:bCs/>
          <w:color w:val="000000" w:themeColor="text1"/>
        </w:rPr>
      </w:pPr>
      <w:r w:rsidRPr="00247F86">
        <w:rPr>
          <w:rFonts w:eastAsiaTheme="minorEastAsia"/>
          <w:b/>
          <w:bCs/>
          <w:color w:val="000000" w:themeColor="text1"/>
        </w:rPr>
        <w:lastRenderedPageBreak/>
        <w:t>Does the proposed regulation of airline services, airport services and airport accessibility services cover the core elements of the aviation consumer experience? Are there any missing elements?</w:t>
      </w:r>
    </w:p>
    <w:p w14:paraId="7004B0EE" w14:textId="77777777" w:rsidR="004E5F83" w:rsidRDefault="00ED0056" w:rsidP="00ED0056">
      <w:pPr>
        <w:jc w:val="both"/>
        <w:rPr>
          <w:rFonts w:eastAsiaTheme="minorEastAsia"/>
          <w:color w:val="000000" w:themeColor="text1"/>
        </w:rPr>
      </w:pPr>
      <w:r>
        <w:rPr>
          <w:rFonts w:eastAsiaTheme="minorEastAsia"/>
          <w:color w:val="000000" w:themeColor="text1"/>
        </w:rPr>
        <w:t xml:space="preserve">PWDA believes </w:t>
      </w:r>
      <w:r w:rsidR="0059514A">
        <w:rPr>
          <w:rFonts w:eastAsiaTheme="minorEastAsia"/>
          <w:color w:val="000000" w:themeColor="text1"/>
        </w:rPr>
        <w:t xml:space="preserve">that there does need to be some amendment made. </w:t>
      </w:r>
    </w:p>
    <w:p w14:paraId="42753DC5" w14:textId="6CC58177" w:rsidR="00EB3315" w:rsidRDefault="0059514A" w:rsidP="00ED0056">
      <w:pPr>
        <w:jc w:val="both"/>
        <w:rPr>
          <w:rFonts w:eastAsiaTheme="minorEastAsia"/>
          <w:color w:val="000000" w:themeColor="text1"/>
        </w:rPr>
      </w:pPr>
      <w:r>
        <w:rPr>
          <w:rFonts w:eastAsiaTheme="minorEastAsia"/>
          <w:color w:val="000000" w:themeColor="text1"/>
        </w:rPr>
        <w:t>Problems may arise if a booking is made by a travel agent</w:t>
      </w:r>
      <w:r w:rsidR="003E36D3">
        <w:rPr>
          <w:rFonts w:eastAsiaTheme="minorEastAsia"/>
          <w:color w:val="000000" w:themeColor="text1"/>
        </w:rPr>
        <w:t xml:space="preserve"> who does not pass on details about the assistance required, which then leads to a person with disability being denied boarding</w:t>
      </w:r>
      <w:r w:rsidR="00EB3315">
        <w:rPr>
          <w:rFonts w:eastAsiaTheme="minorEastAsia"/>
          <w:color w:val="000000" w:themeColor="text1"/>
        </w:rPr>
        <w:t>. The regulations need to cover this.</w:t>
      </w:r>
    </w:p>
    <w:p w14:paraId="1B0165F8" w14:textId="6031BAF6" w:rsidR="000A5C8B" w:rsidRDefault="00EB3315" w:rsidP="00ED0056">
      <w:pPr>
        <w:jc w:val="both"/>
        <w:rPr>
          <w:rFonts w:eastAsiaTheme="minorEastAsia"/>
          <w:color w:val="000000" w:themeColor="text1"/>
        </w:rPr>
      </w:pPr>
      <w:r>
        <w:rPr>
          <w:rFonts w:eastAsiaTheme="minorEastAsia"/>
          <w:color w:val="000000" w:themeColor="text1"/>
        </w:rPr>
        <w:t xml:space="preserve">Excluding security screening </w:t>
      </w:r>
      <w:r w:rsidR="00D843D9">
        <w:rPr>
          <w:rFonts w:eastAsiaTheme="minorEastAsia"/>
          <w:color w:val="000000" w:themeColor="text1"/>
        </w:rPr>
        <w:t>is a mistake</w:t>
      </w:r>
      <w:r w:rsidR="0001214A">
        <w:rPr>
          <w:rFonts w:eastAsiaTheme="minorEastAsia"/>
          <w:color w:val="000000" w:themeColor="text1"/>
        </w:rPr>
        <w:t>,</w:t>
      </w:r>
      <w:r w:rsidR="00D843D9">
        <w:rPr>
          <w:rFonts w:eastAsiaTheme="minorEastAsia"/>
          <w:color w:val="000000" w:themeColor="text1"/>
        </w:rPr>
        <w:t xml:space="preserve"> as many of the traumatic experience</w:t>
      </w:r>
      <w:r w:rsidR="00D01FD1">
        <w:rPr>
          <w:rFonts w:eastAsiaTheme="minorEastAsia"/>
          <w:color w:val="000000" w:themeColor="text1"/>
        </w:rPr>
        <w:t>s</w:t>
      </w:r>
      <w:r w:rsidR="00D843D9">
        <w:rPr>
          <w:rFonts w:eastAsiaTheme="minorEastAsia"/>
          <w:color w:val="000000" w:themeColor="text1"/>
        </w:rPr>
        <w:t xml:space="preserve"> people with disability have when they fly</w:t>
      </w:r>
      <w:r w:rsidR="00983145">
        <w:rPr>
          <w:rFonts w:eastAsiaTheme="minorEastAsia"/>
          <w:color w:val="000000" w:themeColor="text1"/>
        </w:rPr>
        <w:t xml:space="preserve"> relate to this. There must be recourse for people with disability </w:t>
      </w:r>
      <w:r w:rsidR="0001214A">
        <w:rPr>
          <w:rFonts w:eastAsiaTheme="minorEastAsia"/>
          <w:color w:val="000000" w:themeColor="text1"/>
        </w:rPr>
        <w:t>who experience poor or traumatic treatment as part of security screening.</w:t>
      </w:r>
    </w:p>
    <w:p w14:paraId="6F943328" w14:textId="11AE3F11" w:rsidR="004E5F83" w:rsidRDefault="004E5F83" w:rsidP="00ED0056">
      <w:pPr>
        <w:jc w:val="both"/>
        <w:rPr>
          <w:rFonts w:eastAsiaTheme="minorEastAsia"/>
          <w:color w:val="000000" w:themeColor="text1"/>
        </w:rPr>
      </w:pPr>
      <w:r>
        <w:rPr>
          <w:rFonts w:eastAsiaTheme="minorEastAsia"/>
          <w:color w:val="000000" w:themeColor="text1"/>
        </w:rPr>
        <w:t xml:space="preserve">There needs to be a </w:t>
      </w:r>
      <w:r w:rsidR="009B5027">
        <w:rPr>
          <w:rFonts w:eastAsiaTheme="minorEastAsia"/>
          <w:color w:val="000000" w:themeColor="text1"/>
        </w:rPr>
        <w:t xml:space="preserve">course of action and remedy available for people related to </w:t>
      </w:r>
      <w:r w:rsidR="007B218F">
        <w:rPr>
          <w:rFonts w:eastAsiaTheme="minorEastAsia"/>
          <w:color w:val="000000" w:themeColor="text1"/>
        </w:rPr>
        <w:t>the disability profile for flying. People with disability need to be able to choose who they authorise to access the profile, to be able to view the information stored, to be able to correct information retained within it, and to be able to understand when the information has been accessed and by whom.</w:t>
      </w:r>
    </w:p>
    <w:p w14:paraId="26212B8A" w14:textId="41A5A638" w:rsidR="00F40A03" w:rsidRDefault="007B218F" w:rsidP="00ED0056">
      <w:pPr>
        <w:jc w:val="both"/>
        <w:rPr>
          <w:rFonts w:eastAsiaTheme="minorEastAsia"/>
          <w:color w:val="000000" w:themeColor="text1"/>
        </w:rPr>
      </w:pPr>
      <w:r>
        <w:rPr>
          <w:rFonts w:eastAsiaTheme="minorEastAsia"/>
          <w:color w:val="000000" w:themeColor="text1"/>
        </w:rPr>
        <w:t xml:space="preserve">Currently </w:t>
      </w:r>
      <w:r w:rsidR="00BC7E3E">
        <w:rPr>
          <w:rFonts w:eastAsiaTheme="minorEastAsia"/>
          <w:color w:val="000000" w:themeColor="text1"/>
        </w:rPr>
        <w:t xml:space="preserve">personal injury </w:t>
      </w:r>
      <w:r w:rsidR="001C324F">
        <w:rPr>
          <w:rFonts w:eastAsiaTheme="minorEastAsia"/>
          <w:color w:val="000000" w:themeColor="text1"/>
        </w:rPr>
        <w:t xml:space="preserve">appears to be excluded from the scheme, and </w:t>
      </w:r>
      <w:r w:rsidR="00705269">
        <w:rPr>
          <w:rFonts w:eastAsiaTheme="minorEastAsia"/>
          <w:color w:val="000000" w:themeColor="text1"/>
        </w:rPr>
        <w:t xml:space="preserve">it would be better if it were incorporated into the scheme. People with disability may be injured </w:t>
      </w:r>
      <w:r w:rsidR="00774B49">
        <w:rPr>
          <w:rFonts w:eastAsiaTheme="minorEastAsia"/>
          <w:color w:val="000000" w:themeColor="text1"/>
        </w:rPr>
        <w:t xml:space="preserve">during transfers between their own mobility devices and airport devices, or by using airport devices. By incorporating personal injury into the scheme, not only could the process for redress be streamlined, but robust data collection could help inform </w:t>
      </w:r>
      <w:r w:rsidR="00F40A03">
        <w:rPr>
          <w:rFonts w:eastAsiaTheme="minorEastAsia"/>
          <w:color w:val="000000" w:themeColor="text1"/>
        </w:rPr>
        <w:t>more timely design change</w:t>
      </w:r>
      <w:r w:rsidR="002E6598">
        <w:rPr>
          <w:rFonts w:eastAsiaTheme="minorEastAsia"/>
          <w:color w:val="000000" w:themeColor="text1"/>
        </w:rPr>
        <w:t>s</w:t>
      </w:r>
      <w:r w:rsidR="00F40A03">
        <w:rPr>
          <w:rFonts w:eastAsiaTheme="minorEastAsia"/>
          <w:color w:val="000000" w:themeColor="text1"/>
        </w:rPr>
        <w:t xml:space="preserve"> in ways that lengthy court cases do not.</w:t>
      </w:r>
    </w:p>
    <w:p w14:paraId="4A9E88BD" w14:textId="15756A75" w:rsidR="005D0957" w:rsidRPr="00247F86" w:rsidRDefault="005D0957" w:rsidP="00B7356D">
      <w:pPr>
        <w:pStyle w:val="ListParagraph"/>
        <w:numPr>
          <w:ilvl w:val="0"/>
          <w:numId w:val="21"/>
        </w:numPr>
        <w:jc w:val="both"/>
        <w:rPr>
          <w:rFonts w:eastAsiaTheme="minorEastAsia"/>
          <w:b/>
          <w:bCs/>
          <w:color w:val="000000" w:themeColor="text1"/>
        </w:rPr>
      </w:pPr>
      <w:r w:rsidRPr="00247F86">
        <w:rPr>
          <w:rFonts w:eastAsiaTheme="minorEastAsia"/>
          <w:b/>
          <w:bCs/>
          <w:color w:val="000000" w:themeColor="text1"/>
        </w:rPr>
        <w:t>Are there any operational or technical considerations regarding international flights that would affect their regulation under the framework?</w:t>
      </w:r>
    </w:p>
    <w:p w14:paraId="2582994F" w14:textId="77777777" w:rsidR="00DC0E2D" w:rsidRDefault="00F40A03" w:rsidP="00B7356D">
      <w:pPr>
        <w:jc w:val="both"/>
        <w:rPr>
          <w:rFonts w:eastAsiaTheme="minorEastAsia"/>
          <w:color w:val="000000" w:themeColor="text1"/>
        </w:rPr>
      </w:pPr>
      <w:r>
        <w:rPr>
          <w:rFonts w:eastAsiaTheme="minorEastAsia"/>
          <w:color w:val="000000" w:themeColor="text1"/>
        </w:rPr>
        <w:t>The sc</w:t>
      </w:r>
      <w:r w:rsidR="00DC0E2D">
        <w:rPr>
          <w:rFonts w:eastAsiaTheme="minorEastAsia"/>
          <w:color w:val="000000" w:themeColor="text1"/>
        </w:rPr>
        <w:t>h</w:t>
      </w:r>
      <w:r>
        <w:rPr>
          <w:rFonts w:eastAsiaTheme="minorEastAsia"/>
          <w:color w:val="000000" w:themeColor="text1"/>
        </w:rPr>
        <w:t xml:space="preserve">eme should apply to everyone, </w:t>
      </w:r>
      <w:r w:rsidR="00DC0E2D">
        <w:rPr>
          <w:rFonts w:eastAsiaTheme="minorEastAsia"/>
          <w:color w:val="000000" w:themeColor="text1"/>
        </w:rPr>
        <w:t>with airlines flying into Australia also being bound. If more than one scheme applies, complainants should have a choice of forum.</w:t>
      </w:r>
    </w:p>
    <w:p w14:paraId="3EF09699" w14:textId="36E217E1" w:rsidR="005D0957" w:rsidRPr="00247F86" w:rsidRDefault="005D0957" w:rsidP="00F73AD1">
      <w:pPr>
        <w:pStyle w:val="ListParagraph"/>
        <w:numPr>
          <w:ilvl w:val="0"/>
          <w:numId w:val="21"/>
        </w:numPr>
        <w:jc w:val="both"/>
        <w:rPr>
          <w:rFonts w:eastAsiaTheme="minorEastAsia"/>
          <w:b/>
          <w:bCs/>
          <w:color w:val="000000" w:themeColor="text1"/>
        </w:rPr>
      </w:pPr>
      <w:r w:rsidRPr="00247F86">
        <w:rPr>
          <w:rFonts w:eastAsiaTheme="minorEastAsia"/>
          <w:b/>
          <w:bCs/>
          <w:color w:val="000000" w:themeColor="text1"/>
        </w:rPr>
        <w:t>Are there any operational or technical considerations regarding airport accessibility services that would affect their regulation under the framework?</w:t>
      </w:r>
    </w:p>
    <w:p w14:paraId="14B30D8B" w14:textId="77777777" w:rsidR="006E5C93" w:rsidRDefault="00C71C95" w:rsidP="00072BDC">
      <w:pPr>
        <w:jc w:val="both"/>
        <w:rPr>
          <w:rFonts w:eastAsiaTheme="minorEastAsia"/>
          <w:color w:val="000000" w:themeColor="text1"/>
        </w:rPr>
      </w:pPr>
      <w:r>
        <w:rPr>
          <w:rFonts w:eastAsiaTheme="minorEastAsia"/>
          <w:color w:val="000000" w:themeColor="text1"/>
        </w:rPr>
        <w:t>It is not clear</w:t>
      </w:r>
      <w:r w:rsidR="00D967AF">
        <w:rPr>
          <w:rFonts w:eastAsiaTheme="minorEastAsia"/>
          <w:color w:val="000000" w:themeColor="text1"/>
        </w:rPr>
        <w:t xml:space="preserve"> whether the framework will be adequate in situations where a person is completely refused access and accommodations that they need due to th</w:t>
      </w:r>
      <w:r w:rsidR="00EC53D9">
        <w:rPr>
          <w:rFonts w:eastAsiaTheme="minorEastAsia"/>
          <w:color w:val="000000" w:themeColor="text1"/>
        </w:rPr>
        <w:t>eir disability</w:t>
      </w:r>
      <w:r w:rsidR="00F54527">
        <w:rPr>
          <w:rFonts w:eastAsiaTheme="minorEastAsia"/>
          <w:color w:val="000000" w:themeColor="text1"/>
        </w:rPr>
        <w:t xml:space="preserve">, or </w:t>
      </w:r>
      <w:r w:rsidR="00F54527">
        <w:rPr>
          <w:rFonts w:eastAsiaTheme="minorEastAsia"/>
          <w:color w:val="000000" w:themeColor="text1"/>
        </w:rPr>
        <w:lastRenderedPageBreak/>
        <w:t>where they are refused a flight unless they</w:t>
      </w:r>
      <w:r w:rsidR="00182302">
        <w:rPr>
          <w:rFonts w:eastAsiaTheme="minorEastAsia"/>
          <w:color w:val="000000" w:themeColor="text1"/>
        </w:rPr>
        <w:t xml:space="preserve"> employ a </w:t>
      </w:r>
      <w:proofErr w:type="spellStart"/>
      <w:r w:rsidR="00182302">
        <w:rPr>
          <w:rFonts w:eastAsiaTheme="minorEastAsia"/>
          <w:color w:val="000000" w:themeColor="text1"/>
        </w:rPr>
        <w:t>carer</w:t>
      </w:r>
      <w:proofErr w:type="spellEnd"/>
      <w:r w:rsidR="00EC53D9">
        <w:rPr>
          <w:rFonts w:eastAsiaTheme="minorEastAsia"/>
          <w:color w:val="000000" w:themeColor="text1"/>
        </w:rPr>
        <w:t xml:space="preserve">. It is possible an airline could </w:t>
      </w:r>
      <w:r w:rsidR="004F2BC6">
        <w:rPr>
          <w:rFonts w:eastAsiaTheme="minorEastAsia"/>
          <w:color w:val="000000" w:themeColor="text1"/>
        </w:rPr>
        <w:t xml:space="preserve">refuse to accept them as a </w:t>
      </w:r>
      <w:proofErr w:type="gramStart"/>
      <w:r w:rsidR="004F2BC6">
        <w:rPr>
          <w:rFonts w:eastAsiaTheme="minorEastAsia"/>
          <w:color w:val="000000" w:themeColor="text1"/>
        </w:rPr>
        <w:t>customer,</w:t>
      </w:r>
      <w:r w:rsidR="00A0234A">
        <w:rPr>
          <w:rFonts w:eastAsiaTheme="minorEastAsia"/>
          <w:color w:val="000000" w:themeColor="text1"/>
        </w:rPr>
        <w:t xml:space="preserve"> </w:t>
      </w:r>
      <w:r w:rsidR="004F2BC6">
        <w:rPr>
          <w:rFonts w:eastAsiaTheme="minorEastAsia"/>
          <w:color w:val="000000" w:themeColor="text1"/>
        </w:rPr>
        <w:t>and</w:t>
      </w:r>
      <w:proofErr w:type="gramEnd"/>
      <w:r w:rsidR="004F2BC6">
        <w:rPr>
          <w:rFonts w:eastAsiaTheme="minorEastAsia"/>
          <w:color w:val="000000" w:themeColor="text1"/>
        </w:rPr>
        <w:t xml:space="preserve"> deny th</w:t>
      </w:r>
      <w:r w:rsidR="00A0234A">
        <w:rPr>
          <w:rFonts w:eastAsiaTheme="minorEastAsia"/>
          <w:color w:val="000000" w:themeColor="text1"/>
        </w:rPr>
        <w:t>a</w:t>
      </w:r>
      <w:r w:rsidR="00430182">
        <w:rPr>
          <w:rFonts w:eastAsiaTheme="minorEastAsia"/>
          <w:color w:val="000000" w:themeColor="text1"/>
        </w:rPr>
        <w:t xml:space="preserve">t </w:t>
      </w:r>
      <w:r w:rsidR="004F2BC6">
        <w:rPr>
          <w:rFonts w:eastAsiaTheme="minorEastAsia"/>
          <w:color w:val="000000" w:themeColor="text1"/>
        </w:rPr>
        <w:t>a relevant relationship</w:t>
      </w:r>
      <w:r w:rsidR="00430182">
        <w:rPr>
          <w:rFonts w:eastAsiaTheme="minorEastAsia"/>
          <w:color w:val="000000" w:themeColor="text1"/>
        </w:rPr>
        <w:t xml:space="preserve"> had ever existed</w:t>
      </w:r>
      <w:r w:rsidR="002D0182">
        <w:rPr>
          <w:rFonts w:eastAsiaTheme="minorEastAsia"/>
          <w:color w:val="000000" w:themeColor="text1"/>
        </w:rPr>
        <w:t>.</w:t>
      </w:r>
      <w:r w:rsidR="00430182">
        <w:rPr>
          <w:rFonts w:eastAsiaTheme="minorEastAsia"/>
          <w:color w:val="000000" w:themeColor="text1"/>
        </w:rPr>
        <w:t xml:space="preserve"> I</w:t>
      </w:r>
      <w:r w:rsidR="002D0182">
        <w:rPr>
          <w:rFonts w:eastAsiaTheme="minorEastAsia"/>
          <w:color w:val="000000" w:themeColor="text1"/>
        </w:rPr>
        <w:t>n communities only served by a single airline</w:t>
      </w:r>
      <w:r w:rsidR="00CB7408">
        <w:rPr>
          <w:rFonts w:eastAsiaTheme="minorEastAsia"/>
          <w:color w:val="000000" w:themeColor="text1"/>
        </w:rPr>
        <w:t>, this could have the effect of prohibiting travel</w:t>
      </w:r>
      <w:r w:rsidR="00EE57A7">
        <w:rPr>
          <w:rFonts w:eastAsiaTheme="minorEastAsia"/>
          <w:color w:val="000000" w:themeColor="text1"/>
        </w:rPr>
        <w:t>, or of making it too expensive for the person to travel.</w:t>
      </w:r>
      <w:r w:rsidR="000A1EBC">
        <w:rPr>
          <w:rFonts w:eastAsiaTheme="minorEastAsia"/>
          <w:color w:val="000000" w:themeColor="text1"/>
        </w:rPr>
        <w:t xml:space="preserve"> </w:t>
      </w:r>
      <w:r w:rsidR="00430182">
        <w:rPr>
          <w:rFonts w:eastAsiaTheme="minorEastAsia"/>
          <w:color w:val="000000" w:themeColor="text1"/>
        </w:rPr>
        <w:t xml:space="preserve">This </w:t>
      </w:r>
      <w:r w:rsidR="003A78CF">
        <w:rPr>
          <w:rFonts w:eastAsiaTheme="minorEastAsia"/>
          <w:color w:val="000000" w:themeColor="text1"/>
        </w:rPr>
        <w:t xml:space="preserve">would be life shortening in these communities who often are required to fly to a major centre for </w:t>
      </w:r>
      <w:r w:rsidR="006E5C93">
        <w:rPr>
          <w:rFonts w:eastAsiaTheme="minorEastAsia"/>
          <w:color w:val="000000" w:themeColor="text1"/>
        </w:rPr>
        <w:t>medical treatment.</w:t>
      </w:r>
    </w:p>
    <w:p w14:paraId="26767C5B" w14:textId="07E8A0D0" w:rsidR="006E5C93" w:rsidRDefault="000C3AED" w:rsidP="00072BDC">
      <w:pPr>
        <w:jc w:val="both"/>
        <w:rPr>
          <w:rFonts w:eastAsiaTheme="minorEastAsia"/>
          <w:color w:val="000000" w:themeColor="text1"/>
        </w:rPr>
      </w:pPr>
      <w:r>
        <w:rPr>
          <w:rFonts w:eastAsiaTheme="minorEastAsia"/>
          <w:color w:val="000000" w:themeColor="text1"/>
        </w:rPr>
        <w:t>By limiting remedies to ‘consumers’</w:t>
      </w:r>
      <w:r w:rsidR="00FC591C">
        <w:rPr>
          <w:rFonts w:eastAsiaTheme="minorEastAsia"/>
          <w:color w:val="000000" w:themeColor="text1"/>
        </w:rPr>
        <w:t>, defined as people who pay for services, this creates a problem.</w:t>
      </w:r>
      <w:r w:rsidR="003B75AE">
        <w:rPr>
          <w:rFonts w:eastAsiaTheme="minorEastAsia"/>
          <w:color w:val="000000" w:themeColor="text1"/>
        </w:rPr>
        <w:t xml:space="preserve"> The example used at page 26 of Raj</w:t>
      </w:r>
      <w:r w:rsidR="003A37C5">
        <w:rPr>
          <w:rFonts w:eastAsiaTheme="minorEastAsia"/>
          <w:color w:val="000000" w:themeColor="text1"/>
        </w:rPr>
        <w:t xml:space="preserve"> highlights this as a non-paying visitor to an airport may be needed to help another customer</w:t>
      </w:r>
      <w:r w:rsidR="00CB14C3">
        <w:rPr>
          <w:rFonts w:eastAsiaTheme="minorEastAsia"/>
          <w:color w:val="000000" w:themeColor="text1"/>
        </w:rPr>
        <w:t xml:space="preserve">. If Raj had been the adult </w:t>
      </w:r>
      <w:r w:rsidR="00456B3B">
        <w:rPr>
          <w:rFonts w:eastAsiaTheme="minorEastAsia"/>
          <w:color w:val="000000" w:themeColor="text1"/>
        </w:rPr>
        <w:t>co-</w:t>
      </w:r>
      <w:r w:rsidR="00CB14C3">
        <w:rPr>
          <w:rFonts w:eastAsiaTheme="minorEastAsia"/>
          <w:color w:val="000000" w:themeColor="text1"/>
        </w:rPr>
        <w:t>parent of a child who he needed to help to the gate</w:t>
      </w:r>
      <w:r w:rsidR="00456B3B">
        <w:rPr>
          <w:rFonts w:eastAsiaTheme="minorEastAsia"/>
          <w:color w:val="000000" w:themeColor="text1"/>
        </w:rPr>
        <w:t xml:space="preserve">, but </w:t>
      </w:r>
      <w:r w:rsidR="00864F53">
        <w:rPr>
          <w:rFonts w:eastAsiaTheme="minorEastAsia"/>
          <w:color w:val="000000" w:themeColor="text1"/>
        </w:rPr>
        <w:t xml:space="preserve">whose </w:t>
      </w:r>
      <w:r w:rsidR="00DE31E2">
        <w:rPr>
          <w:rFonts w:eastAsiaTheme="minorEastAsia"/>
          <w:color w:val="000000" w:themeColor="text1"/>
        </w:rPr>
        <w:t xml:space="preserve">mother had paid for the ticket. If </w:t>
      </w:r>
      <w:r w:rsidR="00456B3B">
        <w:rPr>
          <w:rFonts w:eastAsiaTheme="minorEastAsia"/>
          <w:color w:val="000000" w:themeColor="text1"/>
        </w:rPr>
        <w:t xml:space="preserve">the lack of accessible signage meant </w:t>
      </w:r>
      <w:r w:rsidR="00864F53">
        <w:rPr>
          <w:rFonts w:eastAsiaTheme="minorEastAsia"/>
          <w:color w:val="000000" w:themeColor="text1"/>
        </w:rPr>
        <w:t xml:space="preserve">he </w:t>
      </w:r>
      <w:proofErr w:type="gramStart"/>
      <w:r w:rsidR="00864F53">
        <w:rPr>
          <w:rFonts w:eastAsiaTheme="minorEastAsia"/>
          <w:color w:val="000000" w:themeColor="text1"/>
        </w:rPr>
        <w:t>was not able to</w:t>
      </w:r>
      <w:proofErr w:type="gramEnd"/>
      <w:r w:rsidR="00864F53">
        <w:rPr>
          <w:rFonts w:eastAsiaTheme="minorEastAsia"/>
          <w:color w:val="000000" w:themeColor="text1"/>
        </w:rPr>
        <w:t xml:space="preserve"> get his child to the gate on time</w:t>
      </w:r>
      <w:r w:rsidR="007878A0">
        <w:rPr>
          <w:rFonts w:eastAsiaTheme="minorEastAsia"/>
          <w:color w:val="000000" w:themeColor="text1"/>
        </w:rPr>
        <w:t>, Raj would not have any recourse, and it is doubtful whether the child or the other co-parent would either.</w:t>
      </w:r>
    </w:p>
    <w:p w14:paraId="2ECE408D" w14:textId="445DF90C" w:rsidR="005D0957" w:rsidRPr="00247F86" w:rsidRDefault="005D0957" w:rsidP="00247F86">
      <w:pPr>
        <w:ind w:left="720"/>
        <w:jc w:val="both"/>
        <w:rPr>
          <w:rFonts w:eastAsiaTheme="minorEastAsia"/>
          <w:b/>
          <w:bCs/>
          <w:color w:val="000000" w:themeColor="text1"/>
        </w:rPr>
      </w:pPr>
      <w:r w:rsidRPr="00247F86">
        <w:rPr>
          <w:rFonts w:eastAsiaTheme="minorEastAsia"/>
          <w:b/>
          <w:bCs/>
          <w:color w:val="000000" w:themeColor="text1"/>
        </w:rPr>
        <w:t xml:space="preserve">6. Is the role of the </w:t>
      </w:r>
      <w:r w:rsidR="00283E8D" w:rsidRPr="00247F86">
        <w:rPr>
          <w:rFonts w:eastAsiaTheme="minorEastAsia"/>
          <w:b/>
          <w:bCs/>
          <w:color w:val="000000" w:themeColor="text1"/>
        </w:rPr>
        <w:t>Aviation Consumer Protection Authority (</w:t>
      </w:r>
      <w:r w:rsidRPr="00247F86">
        <w:rPr>
          <w:rFonts w:eastAsiaTheme="minorEastAsia"/>
          <w:b/>
          <w:bCs/>
          <w:color w:val="000000" w:themeColor="text1"/>
        </w:rPr>
        <w:t>ACPA</w:t>
      </w:r>
      <w:r w:rsidR="00283E8D" w:rsidRPr="00247F86">
        <w:rPr>
          <w:rFonts w:eastAsiaTheme="minorEastAsia"/>
          <w:b/>
          <w:bCs/>
          <w:color w:val="000000" w:themeColor="text1"/>
        </w:rPr>
        <w:t>)</w:t>
      </w:r>
      <w:r w:rsidRPr="00247F86">
        <w:rPr>
          <w:rFonts w:eastAsiaTheme="minorEastAsia"/>
          <w:b/>
          <w:bCs/>
          <w:color w:val="000000" w:themeColor="text1"/>
        </w:rPr>
        <w:t xml:space="preserve"> as proposed sufficient to protect aviation consumers and lift consumer standards, while not imposing undue regulatory burden and costs on the sector?</w:t>
      </w:r>
    </w:p>
    <w:p w14:paraId="61CD21D2" w14:textId="5AB9501D" w:rsidR="00B1040B" w:rsidRDefault="00EE57A7" w:rsidP="005D0957">
      <w:pPr>
        <w:jc w:val="both"/>
        <w:rPr>
          <w:rFonts w:eastAsiaTheme="minorEastAsia"/>
          <w:color w:val="000000" w:themeColor="text1"/>
        </w:rPr>
      </w:pPr>
      <w:r>
        <w:rPr>
          <w:rFonts w:eastAsiaTheme="minorEastAsia"/>
          <w:color w:val="000000" w:themeColor="text1"/>
        </w:rPr>
        <w:t>No</w:t>
      </w:r>
      <w:r w:rsidR="002E1224">
        <w:rPr>
          <w:rFonts w:eastAsiaTheme="minorEastAsia"/>
          <w:color w:val="000000" w:themeColor="text1"/>
        </w:rPr>
        <w:t xml:space="preserve">. </w:t>
      </w:r>
      <w:r w:rsidR="00AC59F6">
        <w:rPr>
          <w:rFonts w:eastAsiaTheme="minorEastAsia"/>
          <w:color w:val="000000" w:themeColor="text1"/>
        </w:rPr>
        <w:t xml:space="preserve">This </w:t>
      </w:r>
      <w:r w:rsidR="006D7EA4">
        <w:rPr>
          <w:rFonts w:eastAsiaTheme="minorEastAsia"/>
          <w:color w:val="000000" w:themeColor="text1"/>
        </w:rPr>
        <w:t xml:space="preserve">proposed </w:t>
      </w:r>
      <w:r w:rsidR="00AC59F6">
        <w:rPr>
          <w:rFonts w:eastAsiaTheme="minorEastAsia"/>
          <w:color w:val="000000" w:themeColor="text1"/>
        </w:rPr>
        <w:t>scheme is weighted too heavily in favour of the airlines and against customers, in a market with</w:t>
      </w:r>
      <w:r w:rsidR="00232630">
        <w:rPr>
          <w:rFonts w:eastAsiaTheme="minorEastAsia"/>
          <w:color w:val="000000" w:themeColor="text1"/>
        </w:rPr>
        <w:t xml:space="preserve"> little competition. </w:t>
      </w:r>
      <w:r w:rsidR="00341F6F">
        <w:rPr>
          <w:rFonts w:eastAsiaTheme="minorEastAsia"/>
          <w:color w:val="000000" w:themeColor="text1"/>
        </w:rPr>
        <w:t>PWDA recommended European style standardised compensation</w:t>
      </w:r>
      <w:r w:rsidR="005361B0">
        <w:rPr>
          <w:rFonts w:eastAsiaTheme="minorEastAsia"/>
          <w:color w:val="000000" w:themeColor="text1"/>
        </w:rPr>
        <w:t xml:space="preserve"> </w:t>
      </w:r>
      <w:proofErr w:type="gramStart"/>
      <w:r w:rsidR="005361B0">
        <w:rPr>
          <w:rFonts w:eastAsiaTheme="minorEastAsia"/>
          <w:color w:val="000000" w:themeColor="text1"/>
        </w:rPr>
        <w:t>in order to</w:t>
      </w:r>
      <w:proofErr w:type="gramEnd"/>
      <w:r w:rsidR="005361B0">
        <w:rPr>
          <w:rFonts w:eastAsiaTheme="minorEastAsia"/>
          <w:color w:val="000000" w:themeColor="text1"/>
        </w:rPr>
        <w:t xml:space="preserve"> address the huge imbalance in power between consumers and the aviation sector, to provide rapid and effective remedies and a disincentive for the poor </w:t>
      </w:r>
      <w:r w:rsidR="00247F86">
        <w:rPr>
          <w:rFonts w:eastAsiaTheme="minorEastAsia"/>
          <w:color w:val="000000" w:themeColor="text1"/>
        </w:rPr>
        <w:t>behaviours that are regularly reported.</w:t>
      </w:r>
    </w:p>
    <w:p w14:paraId="6799181C" w14:textId="77777777" w:rsidR="00640128" w:rsidRDefault="00630324" w:rsidP="005D0957">
      <w:pPr>
        <w:jc w:val="both"/>
        <w:rPr>
          <w:rFonts w:eastAsiaTheme="minorEastAsia"/>
          <w:color w:val="000000" w:themeColor="text1"/>
        </w:rPr>
      </w:pPr>
      <w:r>
        <w:rPr>
          <w:rFonts w:eastAsiaTheme="minorEastAsia"/>
          <w:color w:val="000000" w:themeColor="text1"/>
        </w:rPr>
        <w:t xml:space="preserve">A </w:t>
      </w:r>
      <w:r w:rsidR="004B550F">
        <w:rPr>
          <w:rFonts w:eastAsiaTheme="minorEastAsia"/>
          <w:color w:val="000000" w:themeColor="text1"/>
        </w:rPr>
        <w:t>lengthy complaints-based system is onerous for all customers, and especially people with disability</w:t>
      </w:r>
      <w:r w:rsidR="006916BF">
        <w:rPr>
          <w:rFonts w:eastAsiaTheme="minorEastAsia"/>
          <w:color w:val="000000" w:themeColor="text1"/>
        </w:rPr>
        <w:t xml:space="preserve">. </w:t>
      </w:r>
      <w:r w:rsidR="00633B5F">
        <w:rPr>
          <w:rFonts w:eastAsiaTheme="minorEastAsia"/>
          <w:color w:val="000000" w:themeColor="text1"/>
        </w:rPr>
        <w:t xml:space="preserve">The requirement that the </w:t>
      </w:r>
      <w:r w:rsidR="001B17D2">
        <w:rPr>
          <w:rFonts w:eastAsiaTheme="minorEastAsia"/>
          <w:color w:val="000000" w:themeColor="text1"/>
        </w:rPr>
        <w:t>person with disability try to resolve things first with the airline will be unworkable if there is no accessible process</w:t>
      </w:r>
      <w:r w:rsidR="00A6534B">
        <w:rPr>
          <w:rFonts w:eastAsiaTheme="minorEastAsia"/>
          <w:color w:val="000000" w:themeColor="text1"/>
        </w:rPr>
        <w:t xml:space="preserve">. It also has the potential to re-traumatise a person who has experienced </w:t>
      </w:r>
      <w:r w:rsidR="00640128">
        <w:rPr>
          <w:rFonts w:eastAsiaTheme="minorEastAsia"/>
          <w:color w:val="000000" w:themeColor="text1"/>
        </w:rPr>
        <w:t>discrimination or injury at the hands of an airline.</w:t>
      </w:r>
    </w:p>
    <w:p w14:paraId="0C21F594" w14:textId="33CF263A" w:rsidR="00C77A87" w:rsidRDefault="008F1E01" w:rsidP="005D0957">
      <w:pPr>
        <w:jc w:val="both"/>
        <w:rPr>
          <w:rFonts w:eastAsiaTheme="minorEastAsia"/>
          <w:color w:val="000000" w:themeColor="text1"/>
        </w:rPr>
      </w:pPr>
      <w:r>
        <w:rPr>
          <w:rFonts w:eastAsiaTheme="minorEastAsia"/>
          <w:color w:val="000000" w:themeColor="text1"/>
        </w:rPr>
        <w:t xml:space="preserve">Allowing 30-day waiting periods for resolution is completely </w:t>
      </w:r>
      <w:r w:rsidR="00640128">
        <w:rPr>
          <w:rFonts w:eastAsiaTheme="minorEastAsia"/>
          <w:color w:val="000000" w:themeColor="text1"/>
        </w:rPr>
        <w:t>inappropriate</w:t>
      </w:r>
      <w:r>
        <w:rPr>
          <w:rFonts w:eastAsiaTheme="minorEastAsia"/>
          <w:color w:val="000000" w:themeColor="text1"/>
        </w:rPr>
        <w:t xml:space="preserve"> for a person </w:t>
      </w:r>
      <w:r w:rsidR="00265681">
        <w:rPr>
          <w:rFonts w:eastAsiaTheme="minorEastAsia"/>
          <w:color w:val="000000" w:themeColor="text1"/>
        </w:rPr>
        <w:t>whose mobility aid has been lost or damaged</w:t>
      </w:r>
      <w:r w:rsidR="00787D67">
        <w:rPr>
          <w:rFonts w:eastAsiaTheme="minorEastAsia"/>
          <w:color w:val="000000" w:themeColor="text1"/>
        </w:rPr>
        <w:t>.</w:t>
      </w:r>
      <w:r w:rsidR="00E9240D">
        <w:rPr>
          <w:rFonts w:eastAsiaTheme="minorEastAsia"/>
          <w:color w:val="000000" w:themeColor="text1"/>
        </w:rPr>
        <w:t xml:space="preserve"> </w:t>
      </w:r>
      <w:r w:rsidR="00C2051D">
        <w:rPr>
          <w:rFonts w:eastAsiaTheme="minorEastAsia"/>
          <w:color w:val="000000" w:themeColor="text1"/>
        </w:rPr>
        <w:t xml:space="preserve">Alternative Dispute Resolution </w:t>
      </w:r>
      <w:r w:rsidR="00640128">
        <w:rPr>
          <w:rFonts w:eastAsiaTheme="minorEastAsia"/>
          <w:color w:val="000000" w:themeColor="text1"/>
        </w:rPr>
        <w:t xml:space="preserve">can have the effect of </w:t>
      </w:r>
      <w:r w:rsidR="00C77A87">
        <w:rPr>
          <w:rFonts w:eastAsiaTheme="minorEastAsia"/>
          <w:color w:val="000000" w:themeColor="text1"/>
        </w:rPr>
        <w:t>disadvantaging the party with the least power</w:t>
      </w:r>
      <w:r w:rsidR="00640128">
        <w:rPr>
          <w:rFonts w:eastAsiaTheme="minorEastAsia"/>
          <w:color w:val="000000" w:themeColor="text1"/>
        </w:rPr>
        <w:t xml:space="preserve">, and a person whose community is only served by one airline </w:t>
      </w:r>
      <w:r w:rsidR="00E9240D">
        <w:rPr>
          <w:rFonts w:eastAsiaTheme="minorEastAsia"/>
          <w:color w:val="000000" w:themeColor="text1"/>
        </w:rPr>
        <w:t>will be at an even greater level of power imbalance.</w:t>
      </w:r>
    </w:p>
    <w:p w14:paraId="5E361529" w14:textId="219DF783" w:rsidR="00787D67" w:rsidRDefault="00787D67" w:rsidP="005D0957">
      <w:pPr>
        <w:jc w:val="both"/>
        <w:rPr>
          <w:rFonts w:eastAsiaTheme="minorEastAsia"/>
          <w:color w:val="000000" w:themeColor="text1"/>
        </w:rPr>
      </w:pPr>
      <w:r>
        <w:rPr>
          <w:rFonts w:eastAsiaTheme="minorEastAsia"/>
          <w:color w:val="000000" w:themeColor="text1"/>
        </w:rPr>
        <w:lastRenderedPageBreak/>
        <w:t xml:space="preserve">People dependent on airlines to access essential </w:t>
      </w:r>
      <w:r w:rsidR="00B1040B">
        <w:rPr>
          <w:rFonts w:eastAsiaTheme="minorEastAsia"/>
          <w:color w:val="000000" w:themeColor="text1"/>
        </w:rPr>
        <w:t xml:space="preserve">healthcare could easily have their conditions worsen, or even </w:t>
      </w:r>
      <w:r w:rsidR="006F7E9C">
        <w:rPr>
          <w:rFonts w:eastAsiaTheme="minorEastAsia"/>
          <w:color w:val="000000" w:themeColor="text1"/>
        </w:rPr>
        <w:t>lose</w:t>
      </w:r>
      <w:r w:rsidR="00B1040B">
        <w:rPr>
          <w:rFonts w:eastAsiaTheme="minorEastAsia"/>
          <w:color w:val="000000" w:themeColor="text1"/>
        </w:rPr>
        <w:t xml:space="preserve"> their lives</w:t>
      </w:r>
      <w:r w:rsidR="00AE56F3">
        <w:rPr>
          <w:rFonts w:eastAsiaTheme="minorEastAsia"/>
          <w:color w:val="000000" w:themeColor="text1"/>
        </w:rPr>
        <w:t>, trying to achieve a resolution</w:t>
      </w:r>
      <w:r w:rsidR="00906C22">
        <w:rPr>
          <w:rFonts w:eastAsiaTheme="minorEastAsia"/>
          <w:color w:val="000000" w:themeColor="text1"/>
        </w:rPr>
        <w:t xml:space="preserve"> via the </w:t>
      </w:r>
      <w:r w:rsidR="006D7EA4">
        <w:rPr>
          <w:rFonts w:eastAsiaTheme="minorEastAsia"/>
          <w:color w:val="000000" w:themeColor="text1"/>
        </w:rPr>
        <w:t xml:space="preserve">process outlined. </w:t>
      </w:r>
    </w:p>
    <w:p w14:paraId="398F3A50" w14:textId="2473CBA4" w:rsidR="005D0957" w:rsidRPr="005826A7" w:rsidRDefault="005D0957" w:rsidP="005826A7">
      <w:pPr>
        <w:ind w:left="720"/>
        <w:jc w:val="both"/>
        <w:rPr>
          <w:rFonts w:eastAsiaTheme="minorEastAsia"/>
          <w:b/>
          <w:bCs/>
          <w:color w:val="000000" w:themeColor="text1"/>
        </w:rPr>
      </w:pPr>
      <w:r w:rsidRPr="005826A7">
        <w:rPr>
          <w:rFonts w:eastAsiaTheme="minorEastAsia"/>
          <w:b/>
          <w:bCs/>
          <w:color w:val="000000" w:themeColor="text1"/>
        </w:rPr>
        <w:t xml:space="preserve">7. Do the proposed functions and powers of the </w:t>
      </w:r>
      <w:r w:rsidR="00FA4559" w:rsidRPr="005826A7">
        <w:rPr>
          <w:rFonts w:eastAsiaTheme="minorEastAsia"/>
          <w:b/>
          <w:bCs/>
          <w:color w:val="000000" w:themeColor="text1"/>
        </w:rPr>
        <w:t xml:space="preserve">Aviation Consumer </w:t>
      </w:r>
      <w:proofErr w:type="spellStart"/>
      <w:r w:rsidR="00FA4559" w:rsidRPr="005826A7">
        <w:rPr>
          <w:rFonts w:eastAsiaTheme="minorEastAsia"/>
          <w:b/>
          <w:bCs/>
          <w:color w:val="000000" w:themeColor="text1"/>
        </w:rPr>
        <w:t>Ombusdperson</w:t>
      </w:r>
      <w:proofErr w:type="spellEnd"/>
      <w:r w:rsidR="00FA4559" w:rsidRPr="005826A7">
        <w:rPr>
          <w:rFonts w:eastAsiaTheme="minorEastAsia"/>
          <w:b/>
          <w:bCs/>
          <w:color w:val="000000" w:themeColor="text1"/>
        </w:rPr>
        <w:t xml:space="preserve"> (</w:t>
      </w:r>
      <w:r w:rsidRPr="005826A7">
        <w:rPr>
          <w:rFonts w:eastAsiaTheme="minorEastAsia"/>
          <w:b/>
          <w:bCs/>
          <w:color w:val="000000" w:themeColor="text1"/>
        </w:rPr>
        <w:t>ACO</w:t>
      </w:r>
      <w:r w:rsidR="005E4DC8" w:rsidRPr="005826A7">
        <w:rPr>
          <w:rFonts w:eastAsiaTheme="minorEastAsia"/>
          <w:b/>
          <w:bCs/>
          <w:color w:val="000000" w:themeColor="text1"/>
        </w:rPr>
        <w:t>)</w:t>
      </w:r>
      <w:r w:rsidRPr="005826A7">
        <w:rPr>
          <w:rFonts w:eastAsiaTheme="minorEastAsia"/>
          <w:b/>
          <w:bCs/>
          <w:color w:val="000000" w:themeColor="text1"/>
        </w:rPr>
        <w:t xml:space="preserve"> provide sufficient capability to efficiently resolve consumer complaints and improve consumer standards? If not, what should change and why?</w:t>
      </w:r>
    </w:p>
    <w:p w14:paraId="4F9EE3AC" w14:textId="77777777" w:rsidR="00BF2035" w:rsidRDefault="005826A7" w:rsidP="00BA4543">
      <w:pPr>
        <w:jc w:val="both"/>
        <w:rPr>
          <w:rFonts w:eastAsiaTheme="minorEastAsia"/>
          <w:color w:val="000000" w:themeColor="text1"/>
        </w:rPr>
      </w:pPr>
      <w:r>
        <w:rPr>
          <w:rFonts w:eastAsiaTheme="minorEastAsia"/>
          <w:color w:val="000000" w:themeColor="text1"/>
        </w:rPr>
        <w:t>No.</w:t>
      </w:r>
      <w:r w:rsidR="00F86874">
        <w:rPr>
          <w:rFonts w:eastAsiaTheme="minorEastAsia"/>
          <w:color w:val="000000" w:themeColor="text1"/>
        </w:rPr>
        <w:t xml:space="preserve"> </w:t>
      </w:r>
      <w:r w:rsidR="00477A19">
        <w:rPr>
          <w:rFonts w:eastAsiaTheme="minorEastAsia"/>
          <w:color w:val="000000" w:themeColor="text1"/>
        </w:rPr>
        <w:t xml:space="preserve">As outlined </w:t>
      </w:r>
      <w:r w:rsidR="00D86525">
        <w:rPr>
          <w:rFonts w:eastAsiaTheme="minorEastAsia"/>
          <w:color w:val="000000" w:themeColor="text1"/>
        </w:rPr>
        <w:t xml:space="preserve">at </w:t>
      </w:r>
      <w:hyperlink r:id="rId21" w:history="1">
        <w:r w:rsidR="00D86525" w:rsidRPr="00F01336">
          <w:rPr>
            <w:rStyle w:val="Hyperlink"/>
            <w:rFonts w:eastAsiaTheme="minorEastAsia"/>
          </w:rPr>
          <w:t>1.2.3</w:t>
        </w:r>
        <w:r w:rsidR="00372821" w:rsidRPr="00F01336">
          <w:rPr>
            <w:rStyle w:val="Hyperlink"/>
            <w:rFonts w:eastAsiaTheme="minorEastAsia"/>
          </w:rPr>
          <w:t xml:space="preserve"> of the Consultation Paper</w:t>
        </w:r>
      </w:hyperlink>
      <w:r w:rsidR="009A0E06">
        <w:rPr>
          <w:rFonts w:eastAsiaTheme="minorEastAsia"/>
          <w:color w:val="000000" w:themeColor="text1"/>
        </w:rPr>
        <w:t xml:space="preserve">, </w:t>
      </w:r>
    </w:p>
    <w:p w14:paraId="6BDC0C0E" w14:textId="548D666A" w:rsidR="005D0957" w:rsidRDefault="009A0E06" w:rsidP="00BA4543">
      <w:pPr>
        <w:jc w:val="both"/>
        <w:rPr>
          <w:rFonts w:eastAsiaTheme="minorEastAsia"/>
          <w:color w:val="000000" w:themeColor="text1"/>
        </w:rPr>
      </w:pPr>
      <w:r>
        <w:rPr>
          <w:rFonts w:eastAsiaTheme="minorEastAsia"/>
          <w:color w:val="000000" w:themeColor="text1"/>
        </w:rPr>
        <w:t>“…</w:t>
      </w:r>
      <w:r w:rsidR="009A7576">
        <w:rPr>
          <w:rFonts w:eastAsiaTheme="minorEastAsia"/>
          <w:color w:val="000000" w:themeColor="text1"/>
        </w:rPr>
        <w:t>determinations of the ACO would not create legally enforceable rights for individual complain</w:t>
      </w:r>
      <w:r w:rsidR="00D02278">
        <w:rPr>
          <w:rFonts w:eastAsiaTheme="minorEastAsia"/>
          <w:color w:val="000000" w:themeColor="text1"/>
        </w:rPr>
        <w:t>ants</w:t>
      </w:r>
      <w:r w:rsidR="0072654F">
        <w:rPr>
          <w:rFonts w:eastAsiaTheme="minorEastAsia"/>
          <w:color w:val="000000" w:themeColor="text1"/>
        </w:rPr>
        <w:t xml:space="preserve">, the ACPA may pursue </w:t>
      </w:r>
      <w:r w:rsidR="00BF2035">
        <w:rPr>
          <w:rFonts w:eastAsiaTheme="minorEastAsia"/>
          <w:color w:val="000000" w:themeColor="text1"/>
        </w:rPr>
        <w:t>enforcement</w:t>
      </w:r>
      <w:r w:rsidR="0072654F">
        <w:rPr>
          <w:rFonts w:eastAsiaTheme="minorEastAsia"/>
          <w:color w:val="000000" w:themeColor="text1"/>
        </w:rPr>
        <w:t xml:space="preserve"> measures</w:t>
      </w:r>
      <w:r w:rsidR="00BF2035">
        <w:rPr>
          <w:rFonts w:eastAsiaTheme="minorEastAsia"/>
          <w:color w:val="000000" w:themeColor="text1"/>
        </w:rPr>
        <w:t>… [or] enforcement of ACO decisions through the courts…</w:t>
      </w:r>
      <w:r>
        <w:rPr>
          <w:rFonts w:eastAsiaTheme="minorEastAsia"/>
          <w:color w:val="000000" w:themeColor="text1"/>
        </w:rPr>
        <w:t>”</w:t>
      </w:r>
    </w:p>
    <w:p w14:paraId="47EE8A9C" w14:textId="0BDFFE0E" w:rsidR="00D6707A" w:rsidRDefault="00BF2035" w:rsidP="00BA4543">
      <w:pPr>
        <w:jc w:val="both"/>
        <w:rPr>
          <w:rFonts w:eastAsiaTheme="minorEastAsia"/>
          <w:color w:val="000000" w:themeColor="text1"/>
        </w:rPr>
      </w:pPr>
      <w:r>
        <w:rPr>
          <w:rFonts w:eastAsiaTheme="minorEastAsia"/>
          <w:color w:val="000000" w:themeColor="text1"/>
        </w:rPr>
        <w:t xml:space="preserve">This </w:t>
      </w:r>
      <w:r w:rsidR="00DF6CFC">
        <w:rPr>
          <w:rFonts w:eastAsiaTheme="minorEastAsia"/>
          <w:color w:val="000000" w:themeColor="text1"/>
        </w:rPr>
        <w:t xml:space="preserve">is far from </w:t>
      </w:r>
      <w:r w:rsidR="000410AB">
        <w:rPr>
          <w:rFonts w:eastAsiaTheme="minorEastAsia"/>
          <w:color w:val="000000" w:themeColor="text1"/>
        </w:rPr>
        <w:t xml:space="preserve">an </w:t>
      </w:r>
      <w:r w:rsidR="00DF6CFC">
        <w:rPr>
          <w:rFonts w:eastAsiaTheme="minorEastAsia"/>
          <w:color w:val="000000" w:themeColor="text1"/>
        </w:rPr>
        <w:t>efficient, effective or reliable</w:t>
      </w:r>
      <w:r w:rsidR="000410AB">
        <w:rPr>
          <w:rFonts w:eastAsiaTheme="minorEastAsia"/>
          <w:color w:val="000000" w:themeColor="text1"/>
        </w:rPr>
        <w:t xml:space="preserve"> resolution for consumers, and allo</w:t>
      </w:r>
      <w:r w:rsidR="00743E35">
        <w:rPr>
          <w:rFonts w:eastAsiaTheme="minorEastAsia"/>
          <w:color w:val="000000" w:themeColor="text1"/>
        </w:rPr>
        <w:t xml:space="preserve">ws far too much scope for airlines and airports </w:t>
      </w:r>
      <w:r w:rsidR="00154C4A">
        <w:rPr>
          <w:rFonts w:eastAsiaTheme="minorEastAsia"/>
          <w:color w:val="000000" w:themeColor="text1"/>
        </w:rPr>
        <w:t xml:space="preserve">to ignore </w:t>
      </w:r>
      <w:r w:rsidR="00440F1E">
        <w:rPr>
          <w:rFonts w:eastAsiaTheme="minorEastAsia"/>
          <w:color w:val="000000" w:themeColor="text1"/>
        </w:rPr>
        <w:t xml:space="preserve">or avoid </w:t>
      </w:r>
      <w:r w:rsidR="00645A5B">
        <w:rPr>
          <w:rFonts w:eastAsiaTheme="minorEastAsia"/>
          <w:color w:val="000000" w:themeColor="text1"/>
        </w:rPr>
        <w:t>their responsibilities.</w:t>
      </w:r>
      <w:r w:rsidR="006358B8">
        <w:rPr>
          <w:rFonts w:eastAsiaTheme="minorEastAsia"/>
          <w:color w:val="000000" w:themeColor="text1"/>
        </w:rPr>
        <w:t xml:space="preserve"> </w:t>
      </w:r>
      <w:r w:rsidR="0014005D">
        <w:rPr>
          <w:rFonts w:eastAsiaTheme="minorEastAsia"/>
          <w:color w:val="000000" w:themeColor="text1"/>
        </w:rPr>
        <w:t xml:space="preserve">The court system is </w:t>
      </w:r>
      <w:proofErr w:type="gramStart"/>
      <w:r w:rsidR="003D2D1B">
        <w:rPr>
          <w:rFonts w:eastAsiaTheme="minorEastAsia"/>
          <w:color w:val="000000" w:themeColor="text1"/>
        </w:rPr>
        <w:t>overloaded</w:t>
      </w:r>
      <w:proofErr w:type="gramEnd"/>
      <w:r w:rsidR="003D2D1B">
        <w:rPr>
          <w:rFonts w:eastAsiaTheme="minorEastAsia"/>
          <w:color w:val="000000" w:themeColor="text1"/>
        </w:rPr>
        <w:t xml:space="preserve"> and </w:t>
      </w:r>
      <w:r w:rsidR="00E74896">
        <w:rPr>
          <w:rFonts w:eastAsiaTheme="minorEastAsia"/>
          <w:color w:val="000000" w:themeColor="text1"/>
        </w:rPr>
        <w:t>matters take months to years to resolve. Aviation customers need prompt, fair</w:t>
      </w:r>
      <w:r w:rsidR="00137FA2">
        <w:rPr>
          <w:rFonts w:eastAsiaTheme="minorEastAsia"/>
          <w:color w:val="000000" w:themeColor="text1"/>
        </w:rPr>
        <w:t>, and consistent decisions</w:t>
      </w:r>
      <w:r w:rsidR="00BD44F5">
        <w:rPr>
          <w:rFonts w:eastAsiaTheme="minorEastAsia"/>
          <w:color w:val="000000" w:themeColor="text1"/>
        </w:rPr>
        <w:t>,</w:t>
      </w:r>
      <w:r w:rsidR="00137FA2">
        <w:rPr>
          <w:rFonts w:eastAsiaTheme="minorEastAsia"/>
          <w:color w:val="000000" w:themeColor="text1"/>
        </w:rPr>
        <w:t xml:space="preserve"> that are enforceable and</w:t>
      </w:r>
      <w:r w:rsidR="00D6707A">
        <w:rPr>
          <w:rFonts w:eastAsiaTheme="minorEastAsia"/>
          <w:color w:val="000000" w:themeColor="text1"/>
        </w:rPr>
        <w:t xml:space="preserve"> </w:t>
      </w:r>
      <w:r w:rsidR="00137FA2">
        <w:rPr>
          <w:rFonts w:eastAsiaTheme="minorEastAsia"/>
          <w:color w:val="000000" w:themeColor="text1"/>
        </w:rPr>
        <w:t xml:space="preserve">uphold their </w:t>
      </w:r>
      <w:r w:rsidR="00D6707A">
        <w:rPr>
          <w:rFonts w:eastAsiaTheme="minorEastAsia"/>
          <w:color w:val="000000" w:themeColor="text1"/>
        </w:rPr>
        <w:t>rights.</w:t>
      </w:r>
    </w:p>
    <w:p w14:paraId="487BFE86" w14:textId="77777777" w:rsidR="00B12FC3" w:rsidRDefault="00D6707A" w:rsidP="00BA4543">
      <w:pPr>
        <w:jc w:val="both"/>
        <w:rPr>
          <w:rFonts w:eastAsiaTheme="minorEastAsia"/>
          <w:color w:val="000000" w:themeColor="text1"/>
        </w:rPr>
      </w:pPr>
      <w:r>
        <w:rPr>
          <w:rFonts w:eastAsiaTheme="minorEastAsia"/>
          <w:color w:val="000000" w:themeColor="text1"/>
        </w:rPr>
        <w:t xml:space="preserve">When people with disability pursue </w:t>
      </w:r>
      <w:r w:rsidR="0063056D">
        <w:rPr>
          <w:rFonts w:eastAsiaTheme="minorEastAsia"/>
          <w:color w:val="000000" w:themeColor="text1"/>
        </w:rPr>
        <w:t>matters through the courts currently, it can take years to achieve an outcome, and often the cost of pursuing a matter runs to thousands of dollars.</w:t>
      </w:r>
      <w:r w:rsidR="00021257">
        <w:rPr>
          <w:rFonts w:eastAsiaTheme="minorEastAsia"/>
          <w:color w:val="000000" w:themeColor="text1"/>
        </w:rPr>
        <w:t xml:space="preserve"> </w:t>
      </w:r>
      <w:r w:rsidR="00934AB7">
        <w:rPr>
          <w:rFonts w:eastAsiaTheme="minorEastAsia"/>
          <w:color w:val="000000" w:themeColor="text1"/>
        </w:rPr>
        <w:t>Even if these fees are covered</w:t>
      </w:r>
      <w:r w:rsidR="00B12FC3">
        <w:rPr>
          <w:rFonts w:eastAsiaTheme="minorEastAsia"/>
          <w:color w:val="000000" w:themeColor="text1"/>
        </w:rPr>
        <w:t xml:space="preserve"> by community legal services, this represents a significant burden on the courts that could be avoided.</w:t>
      </w:r>
    </w:p>
    <w:p w14:paraId="0406A4EA" w14:textId="118A2E14" w:rsidR="00D6707A" w:rsidRDefault="00021257" w:rsidP="00BA4543">
      <w:pPr>
        <w:jc w:val="both"/>
        <w:rPr>
          <w:rFonts w:eastAsiaTheme="minorEastAsia"/>
          <w:color w:val="000000" w:themeColor="text1"/>
        </w:rPr>
      </w:pPr>
      <w:r>
        <w:rPr>
          <w:rFonts w:eastAsiaTheme="minorEastAsia"/>
          <w:color w:val="000000" w:themeColor="text1"/>
        </w:rPr>
        <w:t>A</w:t>
      </w:r>
      <w:r w:rsidR="00F52CFC">
        <w:rPr>
          <w:rFonts w:eastAsiaTheme="minorEastAsia"/>
          <w:color w:val="000000" w:themeColor="text1"/>
        </w:rPr>
        <w:t>s outlined in our previous subm</w:t>
      </w:r>
      <w:r w:rsidR="00F60EBF">
        <w:rPr>
          <w:rFonts w:eastAsiaTheme="minorEastAsia"/>
          <w:color w:val="000000" w:themeColor="text1"/>
        </w:rPr>
        <w:t>ission, PWDA is seeking a</w:t>
      </w:r>
      <w:r>
        <w:rPr>
          <w:rFonts w:eastAsiaTheme="minorEastAsia"/>
          <w:color w:val="000000" w:themeColor="text1"/>
        </w:rPr>
        <w:t xml:space="preserve"> well</w:t>
      </w:r>
      <w:r w:rsidR="0012262D">
        <w:rPr>
          <w:rFonts w:eastAsiaTheme="minorEastAsia"/>
          <w:color w:val="000000" w:themeColor="text1"/>
        </w:rPr>
        <w:t>-</w:t>
      </w:r>
      <w:r>
        <w:rPr>
          <w:rFonts w:eastAsiaTheme="minorEastAsia"/>
          <w:color w:val="000000" w:themeColor="text1"/>
        </w:rPr>
        <w:t xml:space="preserve">developed scheme with a prescribed set of automatic remedies for </w:t>
      </w:r>
      <w:r w:rsidR="00F60EBF">
        <w:rPr>
          <w:rFonts w:eastAsiaTheme="minorEastAsia"/>
          <w:color w:val="000000" w:themeColor="text1"/>
        </w:rPr>
        <w:t>simpler matters</w:t>
      </w:r>
      <w:r w:rsidR="0012262D">
        <w:rPr>
          <w:rFonts w:eastAsiaTheme="minorEastAsia"/>
          <w:color w:val="000000" w:themeColor="text1"/>
        </w:rPr>
        <w:t xml:space="preserve">. This would reduce the burden on customers </w:t>
      </w:r>
      <w:r w:rsidR="00082EF3">
        <w:rPr>
          <w:rFonts w:eastAsiaTheme="minorEastAsia"/>
          <w:color w:val="000000" w:themeColor="text1"/>
        </w:rPr>
        <w:t xml:space="preserve">and </w:t>
      </w:r>
      <w:r w:rsidR="00934AB7">
        <w:rPr>
          <w:rFonts w:eastAsiaTheme="minorEastAsia"/>
          <w:color w:val="000000" w:themeColor="text1"/>
        </w:rPr>
        <w:t xml:space="preserve">administrators of the scheme and the courts and provide a disincentive </w:t>
      </w:r>
      <w:r w:rsidR="00FA3C98">
        <w:rPr>
          <w:rFonts w:eastAsiaTheme="minorEastAsia"/>
          <w:color w:val="000000" w:themeColor="text1"/>
        </w:rPr>
        <w:t>to bad behaviour by the airlines.</w:t>
      </w:r>
    </w:p>
    <w:p w14:paraId="2D443DDB" w14:textId="630D3292" w:rsidR="00322256" w:rsidRDefault="007C3F11" w:rsidP="00BA4543">
      <w:pPr>
        <w:jc w:val="both"/>
        <w:rPr>
          <w:rFonts w:eastAsiaTheme="minorEastAsia"/>
          <w:color w:val="000000" w:themeColor="text1"/>
        </w:rPr>
      </w:pPr>
      <w:bookmarkStart w:id="1" w:name="_Hlk211347137"/>
      <w:r>
        <w:rPr>
          <w:rFonts w:eastAsiaTheme="minorEastAsia"/>
          <w:color w:val="000000" w:themeColor="text1"/>
        </w:rPr>
        <w:t>I</w:t>
      </w:r>
      <w:r w:rsidR="002110E4">
        <w:rPr>
          <w:rFonts w:eastAsiaTheme="minorEastAsia"/>
          <w:color w:val="000000" w:themeColor="text1"/>
        </w:rPr>
        <w:t>f you need any further information</w:t>
      </w:r>
      <w:r w:rsidR="0005192E">
        <w:rPr>
          <w:rFonts w:eastAsiaTheme="minorEastAsia"/>
          <w:color w:val="000000" w:themeColor="text1"/>
        </w:rPr>
        <w:t>, please contact our Senior Policy Officer, Bastien Wallace</w:t>
      </w:r>
      <w:r w:rsidR="002110E4">
        <w:rPr>
          <w:rFonts w:eastAsiaTheme="minorEastAsia"/>
          <w:color w:val="000000" w:themeColor="text1"/>
        </w:rPr>
        <w:t xml:space="preserve">. </w:t>
      </w:r>
    </w:p>
    <w:p w14:paraId="39C593A9" w14:textId="77777777" w:rsidR="007C3F11" w:rsidRPr="00866608" w:rsidRDefault="007C3F11" w:rsidP="007C3F11">
      <w:pPr>
        <w:pStyle w:val="BodyText"/>
      </w:pPr>
      <w:r w:rsidRPr="00866608">
        <w:t>Yours sincerely</w:t>
      </w:r>
    </w:p>
    <w:p w14:paraId="6BBE9069" w14:textId="77777777" w:rsidR="007C3F11" w:rsidRPr="00866608" w:rsidRDefault="007C3F11" w:rsidP="007C3F11">
      <w:pPr>
        <w:pStyle w:val="BodyText"/>
        <w:spacing w:after="600"/>
        <w:rPr>
          <w:highlight w:val="yellow"/>
        </w:rPr>
      </w:pPr>
      <w:r w:rsidRPr="00172B6C">
        <w:rPr>
          <w:noProof/>
        </w:rPr>
        <w:drawing>
          <wp:inline distT="0" distB="0" distL="0" distR="0" wp14:anchorId="264AF9E8" wp14:editId="57CE5FD0">
            <wp:extent cx="1131021" cy="746395"/>
            <wp:effectExtent l="0" t="0" r="0" b="0"/>
            <wp:docPr id="56809334"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9334" name="Picture 2" descr="A signature on a white background&#10;&#10;AI-generated content may be incorrect."/>
                    <pic:cNvPicPr>
                      <a:picLocks noChangeAspect="1" noChangeArrowheads="1"/>
                    </pic:cNvPicPr>
                  </pic:nvPicPr>
                  <pic:blipFill>
                    <a:blip r:embed="rId22"/>
                    <a:stretch>
                      <a:fillRect/>
                    </a:stretch>
                  </pic:blipFill>
                  <pic:spPr bwMode="auto">
                    <a:xfrm>
                      <a:off x="0" y="0"/>
                      <a:ext cx="1131021" cy="746395"/>
                    </a:xfrm>
                    <a:prstGeom prst="rect">
                      <a:avLst/>
                    </a:prstGeom>
                    <a:noFill/>
                    <a:ln>
                      <a:noFill/>
                    </a:ln>
                  </pic:spPr>
                </pic:pic>
              </a:graphicData>
            </a:graphic>
          </wp:inline>
        </w:drawing>
      </w:r>
    </w:p>
    <w:p w14:paraId="08B6FA11" w14:textId="77777777" w:rsidR="007C3F11" w:rsidRPr="00866608" w:rsidRDefault="007C3F11" w:rsidP="007C3F11">
      <w:pPr>
        <w:pStyle w:val="AddressBlockdate"/>
      </w:pPr>
      <w:r>
        <w:lastRenderedPageBreak/>
        <w:t>Megan Spindler-Smith</w:t>
      </w:r>
    </w:p>
    <w:p w14:paraId="6EA423A2" w14:textId="77777777" w:rsidR="007C3F11" w:rsidRPr="00866608" w:rsidRDefault="007C3F11" w:rsidP="007C3F11">
      <w:pPr>
        <w:pStyle w:val="AddressBlockdate"/>
      </w:pPr>
      <w:r>
        <w:t>Deputy CEO</w:t>
      </w:r>
    </w:p>
    <w:p w14:paraId="29F7E64E" w14:textId="77777777" w:rsidR="007C3F11" w:rsidRPr="00560251" w:rsidRDefault="007C3F11" w:rsidP="007C3F11">
      <w:pPr>
        <w:pStyle w:val="AddressBlockdate"/>
      </w:pPr>
      <w:r w:rsidRPr="00866608">
        <w:t>People with Disability Australia</w:t>
      </w:r>
    </w:p>
    <w:bookmarkEnd w:id="1"/>
    <w:tbl>
      <w:tblPr>
        <w:tblW w:w="9900" w:type="dxa"/>
        <w:tblCellSpacing w:w="0" w:type="dxa"/>
        <w:tblCellMar>
          <w:left w:w="0" w:type="dxa"/>
          <w:right w:w="0" w:type="dxa"/>
        </w:tblCellMar>
        <w:tblLook w:val="04A0" w:firstRow="1" w:lastRow="0" w:firstColumn="1" w:lastColumn="0" w:noHBand="0" w:noVBand="1"/>
      </w:tblPr>
      <w:tblGrid>
        <w:gridCol w:w="4950"/>
        <w:gridCol w:w="4950"/>
      </w:tblGrid>
      <w:tr w:rsidR="002D4435" w14:paraId="2C5970B3" w14:textId="77777777" w:rsidTr="00521468">
        <w:trPr>
          <w:tblCellSpacing w:w="0" w:type="dxa"/>
        </w:trPr>
        <w:tc>
          <w:tcPr>
            <w:tcW w:w="4950" w:type="dxa"/>
          </w:tcPr>
          <w:p w14:paraId="476E5FF0" w14:textId="57664922" w:rsidR="002D4435" w:rsidRDefault="002D4435" w:rsidP="0005192E">
            <w:pPr>
              <w:spacing w:before="0" w:after="120" w:line="280" w:lineRule="atLeast"/>
              <w:rPr>
                <w:rFonts w:ascii="Arial" w:eastAsia="Times New Roman" w:hAnsi="Arial" w:cs="Arial"/>
                <w:sz w:val="20"/>
                <w:szCs w:val="20"/>
                <w:lang w:eastAsia="en-AU"/>
              </w:rPr>
            </w:pPr>
          </w:p>
        </w:tc>
        <w:tc>
          <w:tcPr>
            <w:tcW w:w="4950" w:type="dxa"/>
          </w:tcPr>
          <w:p w14:paraId="70634BA2" w14:textId="046CA799" w:rsidR="002D4435" w:rsidRDefault="002D4435">
            <w:pPr>
              <w:rPr>
                <w:rFonts w:ascii="Arial" w:eastAsia="Times New Roman" w:hAnsi="Arial" w:cs="Arial"/>
                <w:sz w:val="20"/>
                <w:szCs w:val="20"/>
                <w:lang w:eastAsia="en-AU"/>
              </w:rPr>
            </w:pPr>
          </w:p>
        </w:tc>
      </w:tr>
      <w:tr w:rsidR="002D4435" w14:paraId="7AC95403" w14:textId="77777777" w:rsidTr="002D4435">
        <w:trPr>
          <w:tblCellSpacing w:w="0" w:type="dxa"/>
        </w:trPr>
        <w:tc>
          <w:tcPr>
            <w:tcW w:w="4950" w:type="dxa"/>
            <w:tcMar>
              <w:top w:w="0" w:type="dxa"/>
              <w:left w:w="0" w:type="dxa"/>
              <w:bottom w:w="300" w:type="dxa"/>
              <w:right w:w="0" w:type="dxa"/>
            </w:tcMar>
            <w:hideMark/>
          </w:tcPr>
          <w:p w14:paraId="7E455DC3" w14:textId="00CFDF6B" w:rsidR="002D4435" w:rsidRDefault="002D4435">
            <w:pPr>
              <w:rPr>
                <w:rFonts w:ascii="Arial" w:eastAsia="Times New Roman" w:hAnsi="Arial" w:cs="Arial"/>
                <w:lang w:eastAsia="en-AU"/>
              </w:rPr>
            </w:pPr>
          </w:p>
        </w:tc>
        <w:tc>
          <w:tcPr>
            <w:tcW w:w="4950" w:type="dxa"/>
            <w:tcMar>
              <w:top w:w="0" w:type="dxa"/>
              <w:left w:w="0" w:type="dxa"/>
              <w:bottom w:w="300" w:type="dxa"/>
              <w:right w:w="0" w:type="dxa"/>
            </w:tcMar>
            <w:hideMark/>
          </w:tcPr>
          <w:p w14:paraId="462B00C5" w14:textId="77777777" w:rsidR="002D4435" w:rsidRDefault="002D4435">
            <w:pPr>
              <w:rPr>
                <w:rFonts w:ascii="Arial" w:eastAsia="Times New Roman" w:hAnsi="Arial" w:cs="Arial"/>
                <w:lang w:eastAsia="en-AU"/>
              </w:rPr>
            </w:pPr>
          </w:p>
        </w:tc>
      </w:tr>
    </w:tbl>
    <w:p w14:paraId="5E28C000" w14:textId="43CC8F6F" w:rsidR="00164259" w:rsidRPr="00560251" w:rsidRDefault="00164259" w:rsidP="002D4435"/>
    <w:sectPr w:rsidR="00164259" w:rsidRPr="00560251" w:rsidSect="00C95DAD">
      <w:type w:val="continuous"/>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B695" w14:textId="77777777" w:rsidR="00195B19" w:rsidRDefault="00195B19" w:rsidP="00F1283C">
      <w:pPr>
        <w:spacing w:after="0" w:line="240" w:lineRule="auto"/>
      </w:pPr>
      <w:r>
        <w:separator/>
      </w:r>
    </w:p>
  </w:endnote>
  <w:endnote w:type="continuationSeparator" w:id="0">
    <w:p w14:paraId="766E6F87" w14:textId="77777777" w:rsidR="00195B19" w:rsidRDefault="00195B19"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mbria"/>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308BC07A"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7C63D9D7" w14:textId="77777777" w:rsidR="00665E6E" w:rsidRDefault="000B7678"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7E4B" w14:textId="77777777" w:rsidR="00ED4A4E" w:rsidRPr="00ED4A4E" w:rsidRDefault="00EA7300" w:rsidP="00ED4A4E">
    <w:pPr>
      <w:pStyle w:val="Footer"/>
      <w:ind w:right="-143"/>
      <w:jc w:val="right"/>
      <w:rPr>
        <w:b/>
        <w:bCs/>
      </w:rPr>
    </w:pPr>
    <w:r>
      <w:rPr>
        <w:noProof/>
      </w:rPr>
      <w:drawing>
        <wp:anchor distT="0" distB="0" distL="114300" distR="114300" simplePos="0" relativeHeight="251661312" behindDoc="1" locked="0" layoutInCell="1" allowOverlap="1" wp14:anchorId="3201E220" wp14:editId="0D4CB6A0">
          <wp:simplePos x="0" y="0"/>
          <wp:positionH relativeFrom="page">
            <wp:posOffset>6152111</wp:posOffset>
          </wp:positionH>
          <wp:positionV relativeFrom="paragraph">
            <wp:posOffset>-592282</wp:posOffset>
          </wp:positionV>
          <wp:extent cx="1395442" cy="1246159"/>
          <wp:effectExtent l="0" t="0" r="0" b="0"/>
          <wp:wrapNone/>
          <wp:docPr id="405391993" name="Picture 4053919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8652" cy="1249025"/>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29D0C842"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E4EF" w14:textId="77777777" w:rsidR="00195B19" w:rsidRDefault="00195B19" w:rsidP="00F1283C">
      <w:pPr>
        <w:spacing w:after="0" w:line="240" w:lineRule="auto"/>
      </w:pPr>
      <w:bookmarkStart w:id="0" w:name="_Hlk80104043"/>
      <w:bookmarkEnd w:id="0"/>
      <w:r>
        <w:separator/>
      </w:r>
    </w:p>
  </w:footnote>
  <w:footnote w:type="continuationSeparator" w:id="0">
    <w:p w14:paraId="0890C4B4" w14:textId="77777777" w:rsidR="00195B19" w:rsidRDefault="00195B19"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C1C" w14:textId="77777777" w:rsidR="00665E6E" w:rsidRDefault="00665E6E" w:rsidP="0035331A">
    <w:pPr>
      <w:pStyle w:val="Header"/>
    </w:pPr>
    <w:r>
      <w:rPr>
        <w:noProof/>
        <w:lang w:eastAsia="en-AU"/>
      </w:rPr>
      <w:drawing>
        <wp:anchor distT="0" distB="0" distL="114300" distR="114300" simplePos="0" relativeHeight="251660288" behindDoc="0" locked="1" layoutInCell="1" allowOverlap="1" wp14:anchorId="003DA4AA" wp14:editId="57E2C73A">
          <wp:simplePos x="0" y="0"/>
          <wp:positionH relativeFrom="page">
            <wp:posOffset>6566535</wp:posOffset>
          </wp:positionH>
          <wp:positionV relativeFrom="page">
            <wp:posOffset>9683115</wp:posOffset>
          </wp:positionV>
          <wp:extent cx="702945" cy="746760"/>
          <wp:effectExtent l="0" t="0" r="1905" b="0"/>
          <wp:wrapNone/>
          <wp:docPr id="1602585844" name="Picture 1602585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7A46" w14:textId="77777777" w:rsidR="00162100" w:rsidRPr="00162100" w:rsidRDefault="0057465D" w:rsidP="0035331A">
    <w:pPr>
      <w:pStyle w:val="Header"/>
      <w:rPr>
        <w:sz w:val="10"/>
        <w:szCs w:val="10"/>
      </w:rPr>
    </w:pPr>
    <w:r>
      <w:ptab w:relativeTo="margin" w:alignment="right" w:leader="none"/>
    </w:r>
  </w:p>
  <w:p w14:paraId="3287C7C4" w14:textId="77777777"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0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873497"/>
    <w:multiLevelType w:val="multilevel"/>
    <w:tmpl w:val="26A2851A"/>
    <w:name w:val="PWDA_Bullets2"/>
    <w:numStyleLink w:val="PWDABullets"/>
  </w:abstractNum>
  <w:abstractNum w:abstractNumId="13"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4"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84F7F51"/>
    <w:multiLevelType w:val="hybridMultilevel"/>
    <w:tmpl w:val="BBF422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AE1024"/>
    <w:multiLevelType w:val="hybridMultilevel"/>
    <w:tmpl w:val="C3728C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4020270">
    <w:abstractNumId w:val="14"/>
  </w:num>
  <w:num w:numId="2" w16cid:durableId="1791317369">
    <w:abstractNumId w:val="13"/>
  </w:num>
  <w:num w:numId="3" w16cid:durableId="467672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153826">
    <w:abstractNumId w:val="12"/>
  </w:num>
  <w:num w:numId="5" w16cid:durableId="1431850155">
    <w:abstractNumId w:val="10"/>
  </w:num>
  <w:num w:numId="6" w16cid:durableId="1086994219">
    <w:abstractNumId w:val="9"/>
  </w:num>
  <w:num w:numId="7" w16cid:durableId="57091665">
    <w:abstractNumId w:val="9"/>
  </w:num>
  <w:num w:numId="8" w16cid:durableId="838276039">
    <w:abstractNumId w:val="11"/>
  </w:num>
  <w:num w:numId="9" w16cid:durableId="1643540360">
    <w:abstractNumId w:val="11"/>
  </w:num>
  <w:num w:numId="10" w16cid:durableId="994728030">
    <w:abstractNumId w:val="17"/>
  </w:num>
  <w:num w:numId="11" w16cid:durableId="665212476">
    <w:abstractNumId w:val="7"/>
  </w:num>
  <w:num w:numId="12" w16cid:durableId="882866081">
    <w:abstractNumId w:val="6"/>
  </w:num>
  <w:num w:numId="13" w16cid:durableId="274139835">
    <w:abstractNumId w:val="5"/>
  </w:num>
  <w:num w:numId="14" w16cid:durableId="393165857">
    <w:abstractNumId w:val="4"/>
  </w:num>
  <w:num w:numId="15" w16cid:durableId="232132545">
    <w:abstractNumId w:val="8"/>
  </w:num>
  <w:num w:numId="16" w16cid:durableId="1795294643">
    <w:abstractNumId w:val="3"/>
  </w:num>
  <w:num w:numId="17" w16cid:durableId="315886369">
    <w:abstractNumId w:val="2"/>
  </w:num>
  <w:num w:numId="18" w16cid:durableId="2105220241">
    <w:abstractNumId w:val="1"/>
  </w:num>
  <w:num w:numId="19" w16cid:durableId="104886085">
    <w:abstractNumId w:val="0"/>
  </w:num>
  <w:num w:numId="20" w16cid:durableId="2080396789">
    <w:abstractNumId w:val="16"/>
  </w:num>
  <w:num w:numId="21" w16cid:durableId="2131393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7818FE"/>
    <w:rsid w:val="000107D7"/>
    <w:rsid w:val="0001214A"/>
    <w:rsid w:val="00016449"/>
    <w:rsid w:val="0001663D"/>
    <w:rsid w:val="00021257"/>
    <w:rsid w:val="00022451"/>
    <w:rsid w:val="00032760"/>
    <w:rsid w:val="000410AB"/>
    <w:rsid w:val="0004322B"/>
    <w:rsid w:val="0005192E"/>
    <w:rsid w:val="00062258"/>
    <w:rsid w:val="00067E1F"/>
    <w:rsid w:val="00072BDC"/>
    <w:rsid w:val="0007707D"/>
    <w:rsid w:val="00082EF3"/>
    <w:rsid w:val="00090BF3"/>
    <w:rsid w:val="000952BC"/>
    <w:rsid w:val="0009665D"/>
    <w:rsid w:val="000A1EBC"/>
    <w:rsid w:val="000A2514"/>
    <w:rsid w:val="000A4677"/>
    <w:rsid w:val="000A5C8B"/>
    <w:rsid w:val="000A6856"/>
    <w:rsid w:val="000B7678"/>
    <w:rsid w:val="000C1381"/>
    <w:rsid w:val="000C3AED"/>
    <w:rsid w:val="000D49B3"/>
    <w:rsid w:val="000E1DD1"/>
    <w:rsid w:val="000E278C"/>
    <w:rsid w:val="000F0116"/>
    <w:rsid w:val="0012262D"/>
    <w:rsid w:val="001234CE"/>
    <w:rsid w:val="00124C62"/>
    <w:rsid w:val="00127BAA"/>
    <w:rsid w:val="001302F9"/>
    <w:rsid w:val="00134AE2"/>
    <w:rsid w:val="00137C4E"/>
    <w:rsid w:val="00137FA2"/>
    <w:rsid w:val="0014005D"/>
    <w:rsid w:val="00142F56"/>
    <w:rsid w:val="00151E81"/>
    <w:rsid w:val="00154C4A"/>
    <w:rsid w:val="00162100"/>
    <w:rsid w:val="00164259"/>
    <w:rsid w:val="0016635C"/>
    <w:rsid w:val="00175A7E"/>
    <w:rsid w:val="00177F6B"/>
    <w:rsid w:val="00182302"/>
    <w:rsid w:val="001908B9"/>
    <w:rsid w:val="00195B19"/>
    <w:rsid w:val="001A67EB"/>
    <w:rsid w:val="001B17D2"/>
    <w:rsid w:val="001B2388"/>
    <w:rsid w:val="001C324F"/>
    <w:rsid w:val="001E4D5C"/>
    <w:rsid w:val="001E5607"/>
    <w:rsid w:val="001F455B"/>
    <w:rsid w:val="00210798"/>
    <w:rsid w:val="002110E4"/>
    <w:rsid w:val="002124BD"/>
    <w:rsid w:val="0021474E"/>
    <w:rsid w:val="00216D96"/>
    <w:rsid w:val="00223F49"/>
    <w:rsid w:val="00225F42"/>
    <w:rsid w:val="00232630"/>
    <w:rsid w:val="00241328"/>
    <w:rsid w:val="00247F86"/>
    <w:rsid w:val="00247F9A"/>
    <w:rsid w:val="0026482F"/>
    <w:rsid w:val="00265681"/>
    <w:rsid w:val="0026696F"/>
    <w:rsid w:val="002817E5"/>
    <w:rsid w:val="00283E8D"/>
    <w:rsid w:val="002853AA"/>
    <w:rsid w:val="002913ED"/>
    <w:rsid w:val="002956B3"/>
    <w:rsid w:val="00296801"/>
    <w:rsid w:val="002A561E"/>
    <w:rsid w:val="002A5C24"/>
    <w:rsid w:val="002A6DD5"/>
    <w:rsid w:val="002D0182"/>
    <w:rsid w:val="002D3143"/>
    <w:rsid w:val="002D4435"/>
    <w:rsid w:val="002D493D"/>
    <w:rsid w:val="002E0D6A"/>
    <w:rsid w:val="002E1224"/>
    <w:rsid w:val="002E6598"/>
    <w:rsid w:val="002F14A9"/>
    <w:rsid w:val="002F2154"/>
    <w:rsid w:val="002F4A42"/>
    <w:rsid w:val="002F569B"/>
    <w:rsid w:val="002F63E3"/>
    <w:rsid w:val="00306BAA"/>
    <w:rsid w:val="00307A47"/>
    <w:rsid w:val="00310E3F"/>
    <w:rsid w:val="00315EA9"/>
    <w:rsid w:val="00322256"/>
    <w:rsid w:val="00325FA1"/>
    <w:rsid w:val="0033647B"/>
    <w:rsid w:val="00337309"/>
    <w:rsid w:val="00341F6F"/>
    <w:rsid w:val="00351A77"/>
    <w:rsid w:val="0035245A"/>
    <w:rsid w:val="0035331A"/>
    <w:rsid w:val="00363F2B"/>
    <w:rsid w:val="00372821"/>
    <w:rsid w:val="003758AD"/>
    <w:rsid w:val="00375CED"/>
    <w:rsid w:val="00382057"/>
    <w:rsid w:val="0038336B"/>
    <w:rsid w:val="00384D98"/>
    <w:rsid w:val="003946D9"/>
    <w:rsid w:val="00395455"/>
    <w:rsid w:val="003A37C5"/>
    <w:rsid w:val="003A6E27"/>
    <w:rsid w:val="003A78CF"/>
    <w:rsid w:val="003A7D8A"/>
    <w:rsid w:val="003B75AE"/>
    <w:rsid w:val="003C225A"/>
    <w:rsid w:val="003C253F"/>
    <w:rsid w:val="003C5144"/>
    <w:rsid w:val="003C539C"/>
    <w:rsid w:val="003D2D1B"/>
    <w:rsid w:val="003E36D3"/>
    <w:rsid w:val="003E3F06"/>
    <w:rsid w:val="003E7099"/>
    <w:rsid w:val="00403300"/>
    <w:rsid w:val="00411002"/>
    <w:rsid w:val="00411AD4"/>
    <w:rsid w:val="00416F74"/>
    <w:rsid w:val="00425C52"/>
    <w:rsid w:val="00427012"/>
    <w:rsid w:val="00430182"/>
    <w:rsid w:val="00432E26"/>
    <w:rsid w:val="00434259"/>
    <w:rsid w:val="00435E9E"/>
    <w:rsid w:val="00440F1E"/>
    <w:rsid w:val="004471B2"/>
    <w:rsid w:val="004521A6"/>
    <w:rsid w:val="00456B3B"/>
    <w:rsid w:val="0046384C"/>
    <w:rsid w:val="004770E2"/>
    <w:rsid w:val="00477A19"/>
    <w:rsid w:val="004840CE"/>
    <w:rsid w:val="00485D8C"/>
    <w:rsid w:val="0049109A"/>
    <w:rsid w:val="004957AF"/>
    <w:rsid w:val="004A0C49"/>
    <w:rsid w:val="004A280B"/>
    <w:rsid w:val="004A3382"/>
    <w:rsid w:val="004A3981"/>
    <w:rsid w:val="004B15FD"/>
    <w:rsid w:val="004B28B3"/>
    <w:rsid w:val="004B550F"/>
    <w:rsid w:val="004B78DF"/>
    <w:rsid w:val="004E0558"/>
    <w:rsid w:val="004E5F83"/>
    <w:rsid w:val="004F2BC6"/>
    <w:rsid w:val="00501B88"/>
    <w:rsid w:val="00504DE6"/>
    <w:rsid w:val="00506295"/>
    <w:rsid w:val="00521468"/>
    <w:rsid w:val="005330DE"/>
    <w:rsid w:val="005361B0"/>
    <w:rsid w:val="005415F1"/>
    <w:rsid w:val="00542ABE"/>
    <w:rsid w:val="005522E2"/>
    <w:rsid w:val="005538F9"/>
    <w:rsid w:val="00554BAD"/>
    <w:rsid w:val="00557A6C"/>
    <w:rsid w:val="00560251"/>
    <w:rsid w:val="00561443"/>
    <w:rsid w:val="005706AF"/>
    <w:rsid w:val="0057465D"/>
    <w:rsid w:val="00582268"/>
    <w:rsid w:val="005826A7"/>
    <w:rsid w:val="00584995"/>
    <w:rsid w:val="005913C7"/>
    <w:rsid w:val="0059202E"/>
    <w:rsid w:val="0059514A"/>
    <w:rsid w:val="00596754"/>
    <w:rsid w:val="005C3A8B"/>
    <w:rsid w:val="005D0957"/>
    <w:rsid w:val="005D2376"/>
    <w:rsid w:val="005D3BCA"/>
    <w:rsid w:val="005E4DC8"/>
    <w:rsid w:val="005E4EBA"/>
    <w:rsid w:val="005F25AF"/>
    <w:rsid w:val="005F2BA7"/>
    <w:rsid w:val="005F3AF7"/>
    <w:rsid w:val="005F5CBD"/>
    <w:rsid w:val="005F630B"/>
    <w:rsid w:val="00601A41"/>
    <w:rsid w:val="006165A7"/>
    <w:rsid w:val="00617892"/>
    <w:rsid w:val="00626901"/>
    <w:rsid w:val="00630324"/>
    <w:rsid w:val="0063056D"/>
    <w:rsid w:val="00631A82"/>
    <w:rsid w:val="00633B5F"/>
    <w:rsid w:val="006358B8"/>
    <w:rsid w:val="00637733"/>
    <w:rsid w:val="00640128"/>
    <w:rsid w:val="00645A5B"/>
    <w:rsid w:val="00653AA1"/>
    <w:rsid w:val="00660FB3"/>
    <w:rsid w:val="00664FD1"/>
    <w:rsid w:val="00665E6E"/>
    <w:rsid w:val="0067059A"/>
    <w:rsid w:val="006733DA"/>
    <w:rsid w:val="006756BB"/>
    <w:rsid w:val="00682CF3"/>
    <w:rsid w:val="006916BF"/>
    <w:rsid w:val="00696E38"/>
    <w:rsid w:val="006A0333"/>
    <w:rsid w:val="006A5B1D"/>
    <w:rsid w:val="006A6F57"/>
    <w:rsid w:val="006A722E"/>
    <w:rsid w:val="006B4B67"/>
    <w:rsid w:val="006B4F49"/>
    <w:rsid w:val="006C1DB2"/>
    <w:rsid w:val="006C40E0"/>
    <w:rsid w:val="006C47A7"/>
    <w:rsid w:val="006C4D8E"/>
    <w:rsid w:val="006C51F0"/>
    <w:rsid w:val="006D6E93"/>
    <w:rsid w:val="006D7EA4"/>
    <w:rsid w:val="006E5C93"/>
    <w:rsid w:val="006F0A74"/>
    <w:rsid w:val="006F4C48"/>
    <w:rsid w:val="006F62C4"/>
    <w:rsid w:val="006F7E9C"/>
    <w:rsid w:val="0070174E"/>
    <w:rsid w:val="0070255E"/>
    <w:rsid w:val="00705269"/>
    <w:rsid w:val="0070629E"/>
    <w:rsid w:val="007063B9"/>
    <w:rsid w:val="00711FC5"/>
    <w:rsid w:val="00720921"/>
    <w:rsid w:val="0072609B"/>
    <w:rsid w:val="0072654F"/>
    <w:rsid w:val="00737AF5"/>
    <w:rsid w:val="0074194B"/>
    <w:rsid w:val="00743E35"/>
    <w:rsid w:val="00746425"/>
    <w:rsid w:val="00751F64"/>
    <w:rsid w:val="00771157"/>
    <w:rsid w:val="00774B49"/>
    <w:rsid w:val="007815AD"/>
    <w:rsid w:val="007818FE"/>
    <w:rsid w:val="007878A0"/>
    <w:rsid w:val="00787D67"/>
    <w:rsid w:val="00796A12"/>
    <w:rsid w:val="00796A86"/>
    <w:rsid w:val="007A4898"/>
    <w:rsid w:val="007B218F"/>
    <w:rsid w:val="007B34FD"/>
    <w:rsid w:val="007C2375"/>
    <w:rsid w:val="007C2C0B"/>
    <w:rsid w:val="007C3F11"/>
    <w:rsid w:val="007C4C1E"/>
    <w:rsid w:val="007C78AD"/>
    <w:rsid w:val="007D1CB8"/>
    <w:rsid w:val="007D5E87"/>
    <w:rsid w:val="007F3EAE"/>
    <w:rsid w:val="007F7D2F"/>
    <w:rsid w:val="0080702F"/>
    <w:rsid w:val="00810253"/>
    <w:rsid w:val="00810D04"/>
    <w:rsid w:val="008129DB"/>
    <w:rsid w:val="008132F0"/>
    <w:rsid w:val="008171A9"/>
    <w:rsid w:val="008173C7"/>
    <w:rsid w:val="00820C9C"/>
    <w:rsid w:val="00851B78"/>
    <w:rsid w:val="00860DCD"/>
    <w:rsid w:val="00864F53"/>
    <w:rsid w:val="0086598F"/>
    <w:rsid w:val="00867F2F"/>
    <w:rsid w:val="0088658F"/>
    <w:rsid w:val="00891A99"/>
    <w:rsid w:val="00894322"/>
    <w:rsid w:val="008948F1"/>
    <w:rsid w:val="008C234D"/>
    <w:rsid w:val="008D153A"/>
    <w:rsid w:val="008D7962"/>
    <w:rsid w:val="008E2BF3"/>
    <w:rsid w:val="008E4408"/>
    <w:rsid w:val="008F1A31"/>
    <w:rsid w:val="008F1E01"/>
    <w:rsid w:val="00906C22"/>
    <w:rsid w:val="009122C2"/>
    <w:rsid w:val="00920BBD"/>
    <w:rsid w:val="00932A37"/>
    <w:rsid w:val="00934AB7"/>
    <w:rsid w:val="009506A3"/>
    <w:rsid w:val="009506BB"/>
    <w:rsid w:val="009516C2"/>
    <w:rsid w:val="00983145"/>
    <w:rsid w:val="0099361C"/>
    <w:rsid w:val="009955E8"/>
    <w:rsid w:val="00996B1F"/>
    <w:rsid w:val="009A0E06"/>
    <w:rsid w:val="009A27C1"/>
    <w:rsid w:val="009A5730"/>
    <w:rsid w:val="009A7576"/>
    <w:rsid w:val="009B49F4"/>
    <w:rsid w:val="009B5027"/>
    <w:rsid w:val="009B78EE"/>
    <w:rsid w:val="009C5611"/>
    <w:rsid w:val="009C7064"/>
    <w:rsid w:val="009C774F"/>
    <w:rsid w:val="009D0BBB"/>
    <w:rsid w:val="009D42DA"/>
    <w:rsid w:val="009D5CD1"/>
    <w:rsid w:val="009F36B7"/>
    <w:rsid w:val="009F61A8"/>
    <w:rsid w:val="00A0234A"/>
    <w:rsid w:val="00A07E31"/>
    <w:rsid w:val="00A141E1"/>
    <w:rsid w:val="00A16D87"/>
    <w:rsid w:val="00A2626F"/>
    <w:rsid w:val="00A27EEA"/>
    <w:rsid w:val="00A3763C"/>
    <w:rsid w:val="00A37DEA"/>
    <w:rsid w:val="00A46156"/>
    <w:rsid w:val="00A547F6"/>
    <w:rsid w:val="00A6248E"/>
    <w:rsid w:val="00A6492A"/>
    <w:rsid w:val="00A6534B"/>
    <w:rsid w:val="00A7766F"/>
    <w:rsid w:val="00A77808"/>
    <w:rsid w:val="00A80850"/>
    <w:rsid w:val="00A81B95"/>
    <w:rsid w:val="00A95F47"/>
    <w:rsid w:val="00A962D6"/>
    <w:rsid w:val="00AA310E"/>
    <w:rsid w:val="00AB1FF5"/>
    <w:rsid w:val="00AB41A2"/>
    <w:rsid w:val="00AC59F6"/>
    <w:rsid w:val="00AC7290"/>
    <w:rsid w:val="00AD1A19"/>
    <w:rsid w:val="00AD2FC3"/>
    <w:rsid w:val="00AD4334"/>
    <w:rsid w:val="00AD56D0"/>
    <w:rsid w:val="00AE56F3"/>
    <w:rsid w:val="00AE5F18"/>
    <w:rsid w:val="00AF0C23"/>
    <w:rsid w:val="00AF3053"/>
    <w:rsid w:val="00B00A9A"/>
    <w:rsid w:val="00B069B5"/>
    <w:rsid w:val="00B1040B"/>
    <w:rsid w:val="00B12FC3"/>
    <w:rsid w:val="00B200A5"/>
    <w:rsid w:val="00B25C49"/>
    <w:rsid w:val="00B32054"/>
    <w:rsid w:val="00B35DED"/>
    <w:rsid w:val="00B446BF"/>
    <w:rsid w:val="00B509D9"/>
    <w:rsid w:val="00B641CC"/>
    <w:rsid w:val="00B70EB2"/>
    <w:rsid w:val="00B72BFD"/>
    <w:rsid w:val="00B7356D"/>
    <w:rsid w:val="00B749BA"/>
    <w:rsid w:val="00B752B3"/>
    <w:rsid w:val="00B75DA3"/>
    <w:rsid w:val="00B8050A"/>
    <w:rsid w:val="00B8338F"/>
    <w:rsid w:val="00B86280"/>
    <w:rsid w:val="00B86454"/>
    <w:rsid w:val="00BA4543"/>
    <w:rsid w:val="00BC4682"/>
    <w:rsid w:val="00BC7E3E"/>
    <w:rsid w:val="00BD44F5"/>
    <w:rsid w:val="00BD698A"/>
    <w:rsid w:val="00BE0298"/>
    <w:rsid w:val="00BF2035"/>
    <w:rsid w:val="00BF6ACD"/>
    <w:rsid w:val="00BF7059"/>
    <w:rsid w:val="00C00C51"/>
    <w:rsid w:val="00C02BFC"/>
    <w:rsid w:val="00C05DBB"/>
    <w:rsid w:val="00C13138"/>
    <w:rsid w:val="00C2051D"/>
    <w:rsid w:val="00C20832"/>
    <w:rsid w:val="00C2697F"/>
    <w:rsid w:val="00C30EC5"/>
    <w:rsid w:val="00C32378"/>
    <w:rsid w:val="00C50BB4"/>
    <w:rsid w:val="00C52FE4"/>
    <w:rsid w:val="00C56F4F"/>
    <w:rsid w:val="00C63E13"/>
    <w:rsid w:val="00C7149B"/>
    <w:rsid w:val="00C71C95"/>
    <w:rsid w:val="00C77A87"/>
    <w:rsid w:val="00C8427C"/>
    <w:rsid w:val="00C92E30"/>
    <w:rsid w:val="00C947A5"/>
    <w:rsid w:val="00C95DAD"/>
    <w:rsid w:val="00CA48FC"/>
    <w:rsid w:val="00CA52E8"/>
    <w:rsid w:val="00CB14C3"/>
    <w:rsid w:val="00CB2E90"/>
    <w:rsid w:val="00CB7408"/>
    <w:rsid w:val="00CC6069"/>
    <w:rsid w:val="00CD6927"/>
    <w:rsid w:val="00CE0167"/>
    <w:rsid w:val="00CE5E55"/>
    <w:rsid w:val="00CF4A48"/>
    <w:rsid w:val="00CF53F6"/>
    <w:rsid w:val="00D01FD1"/>
    <w:rsid w:val="00D02278"/>
    <w:rsid w:val="00D03463"/>
    <w:rsid w:val="00D05B5F"/>
    <w:rsid w:val="00D129E5"/>
    <w:rsid w:val="00D16CEE"/>
    <w:rsid w:val="00D2193E"/>
    <w:rsid w:val="00D247E6"/>
    <w:rsid w:val="00D30D45"/>
    <w:rsid w:val="00D31A22"/>
    <w:rsid w:val="00D42801"/>
    <w:rsid w:val="00D44710"/>
    <w:rsid w:val="00D558E0"/>
    <w:rsid w:val="00D664A5"/>
    <w:rsid w:val="00D6707A"/>
    <w:rsid w:val="00D67E93"/>
    <w:rsid w:val="00D74141"/>
    <w:rsid w:val="00D8023A"/>
    <w:rsid w:val="00D81E4A"/>
    <w:rsid w:val="00D82F1E"/>
    <w:rsid w:val="00D843D9"/>
    <w:rsid w:val="00D84EA8"/>
    <w:rsid w:val="00D86525"/>
    <w:rsid w:val="00D967AF"/>
    <w:rsid w:val="00D9719A"/>
    <w:rsid w:val="00DA7307"/>
    <w:rsid w:val="00DB28A4"/>
    <w:rsid w:val="00DB2DDD"/>
    <w:rsid w:val="00DB3539"/>
    <w:rsid w:val="00DB6B73"/>
    <w:rsid w:val="00DC0CC1"/>
    <w:rsid w:val="00DC0E2D"/>
    <w:rsid w:val="00DC31D5"/>
    <w:rsid w:val="00DD3BA3"/>
    <w:rsid w:val="00DD4E76"/>
    <w:rsid w:val="00DD61C1"/>
    <w:rsid w:val="00DE25A9"/>
    <w:rsid w:val="00DE31E2"/>
    <w:rsid w:val="00DE772E"/>
    <w:rsid w:val="00DE7976"/>
    <w:rsid w:val="00DF0552"/>
    <w:rsid w:val="00DF2F69"/>
    <w:rsid w:val="00DF3ABE"/>
    <w:rsid w:val="00DF4A71"/>
    <w:rsid w:val="00DF6CFC"/>
    <w:rsid w:val="00E0176B"/>
    <w:rsid w:val="00E0326D"/>
    <w:rsid w:val="00E06639"/>
    <w:rsid w:val="00E11A00"/>
    <w:rsid w:val="00E26297"/>
    <w:rsid w:val="00E37839"/>
    <w:rsid w:val="00E56331"/>
    <w:rsid w:val="00E61E50"/>
    <w:rsid w:val="00E709F2"/>
    <w:rsid w:val="00E72C46"/>
    <w:rsid w:val="00E74896"/>
    <w:rsid w:val="00E86F06"/>
    <w:rsid w:val="00E9240D"/>
    <w:rsid w:val="00E95CF4"/>
    <w:rsid w:val="00EA2A1C"/>
    <w:rsid w:val="00EA5362"/>
    <w:rsid w:val="00EA7300"/>
    <w:rsid w:val="00EB1746"/>
    <w:rsid w:val="00EB3315"/>
    <w:rsid w:val="00EB701C"/>
    <w:rsid w:val="00EC30E9"/>
    <w:rsid w:val="00EC42D0"/>
    <w:rsid w:val="00EC53D9"/>
    <w:rsid w:val="00ED0056"/>
    <w:rsid w:val="00ED25E4"/>
    <w:rsid w:val="00ED4A4E"/>
    <w:rsid w:val="00EE538F"/>
    <w:rsid w:val="00EE57A7"/>
    <w:rsid w:val="00EF0526"/>
    <w:rsid w:val="00F01336"/>
    <w:rsid w:val="00F01942"/>
    <w:rsid w:val="00F02B80"/>
    <w:rsid w:val="00F05253"/>
    <w:rsid w:val="00F111D4"/>
    <w:rsid w:val="00F11608"/>
    <w:rsid w:val="00F1283C"/>
    <w:rsid w:val="00F250C0"/>
    <w:rsid w:val="00F275E2"/>
    <w:rsid w:val="00F316CB"/>
    <w:rsid w:val="00F348C7"/>
    <w:rsid w:val="00F40A03"/>
    <w:rsid w:val="00F52CFC"/>
    <w:rsid w:val="00F53974"/>
    <w:rsid w:val="00F53C9A"/>
    <w:rsid w:val="00F54527"/>
    <w:rsid w:val="00F55383"/>
    <w:rsid w:val="00F60EBF"/>
    <w:rsid w:val="00F624A8"/>
    <w:rsid w:val="00F6311B"/>
    <w:rsid w:val="00F73AD1"/>
    <w:rsid w:val="00F80231"/>
    <w:rsid w:val="00F86874"/>
    <w:rsid w:val="00F92FC9"/>
    <w:rsid w:val="00FA1FED"/>
    <w:rsid w:val="00FA33DB"/>
    <w:rsid w:val="00FA3C98"/>
    <w:rsid w:val="00FA4559"/>
    <w:rsid w:val="00FA5957"/>
    <w:rsid w:val="00FB3809"/>
    <w:rsid w:val="00FC1E67"/>
    <w:rsid w:val="00FC591C"/>
    <w:rsid w:val="00FD0B36"/>
    <w:rsid w:val="00FD4C17"/>
    <w:rsid w:val="00FD7ADD"/>
    <w:rsid w:val="00FE00DB"/>
    <w:rsid w:val="00FE1B6A"/>
    <w:rsid w:val="00FE75DF"/>
    <w:rsid w:val="00FF0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5ED35"/>
  <w15:docId w15:val="{7D3C8DD2-9955-4676-93E6-5BD02A67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E1DD1"/>
    <w:pPr>
      <w:spacing w:before="240" w:after="240" w:line="360" w:lineRule="auto"/>
    </w:pPr>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1"/>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37">
      <w:bodyDiv w:val="1"/>
      <w:marLeft w:val="0"/>
      <w:marRight w:val="0"/>
      <w:marTop w:val="0"/>
      <w:marBottom w:val="0"/>
      <w:divBdr>
        <w:top w:val="none" w:sz="0" w:space="0" w:color="auto"/>
        <w:left w:val="none" w:sz="0" w:space="0" w:color="auto"/>
        <w:bottom w:val="none" w:sz="0" w:space="0" w:color="auto"/>
        <w:right w:val="none" w:sz="0" w:space="0" w:color="auto"/>
      </w:divBdr>
    </w:div>
    <w:div w:id="5548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frastructure.gov.au/have-your-say/aviation-consumer-protections-primary-legislation" TargetMode="External"/><Relationship Id="rId3" Type="http://schemas.openxmlformats.org/officeDocument/2006/relationships/customXml" Target="../customXml/item3.xml"/><Relationship Id="rId21" Type="http://schemas.openxmlformats.org/officeDocument/2006/relationships/hyperlink" Target="https://www.infrastructure.gov.au/department/media/publications/aviation-consumer-protection-consultation-pape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wd.org.au/" TargetMode="Externa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hyperlink" Target="https://www.infrastructure.gov.au/department/media/publications/aviation-consumer-protection-consultation-pap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frastructure.gov.au/department/media/publications/aviation-industry-ombuds-scheme-consultation-pap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l\People%20with%20Disability%20Australia\Shared%20Data%20-%20Documents\Julian\NSW%20rental%20laws\PWDA%20Letterhead%20Template%202021.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53b641fd9252eca233fc87b592e24582">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a103eb0d0ed8afa298397c824f197aff"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customXml/itemProps2.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3.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4.xml><?xml version="1.0" encoding="utf-8"?>
<ds:datastoreItem xmlns:ds="http://schemas.openxmlformats.org/officeDocument/2006/customXml" ds:itemID="{B09B2EC7-108E-4AEB-88AE-4FA63EE61730}"/>
</file>

<file path=docProps/app.xml><?xml version="1.0" encoding="utf-8"?>
<Properties xmlns="http://schemas.openxmlformats.org/officeDocument/2006/extended-properties" xmlns:vt="http://schemas.openxmlformats.org/officeDocument/2006/docPropsVTypes">
  <Template>PWDA Letterhead Template 2021</Template>
  <TotalTime>223</TotalTime>
  <Pages>5</Pages>
  <Words>1317</Words>
  <Characters>7089</Characters>
  <Application>Microsoft Office Word</Application>
  <DocSecurity>0</DocSecurity>
  <Lines>136</Lines>
  <Paragraphs>50</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Laurens</dc:creator>
  <cp:lastModifiedBy>Bastien Wallace</cp:lastModifiedBy>
  <cp:revision>173</cp:revision>
  <cp:lastPrinted>2018-04-09T10:08:00Z</cp:lastPrinted>
  <dcterms:created xsi:type="dcterms:W3CDTF">2025-09-24T00:22:00Z</dcterms:created>
  <dcterms:modified xsi:type="dcterms:W3CDTF">2025-10-14T04:12:00Z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523200</vt:r8>
  </property>
  <property fmtid="{D5CDD505-2E9C-101B-9397-08002B2CF9AE}" pid="4" name="MediaServiceImageTags">
    <vt:lpwstr/>
  </property>
</Properties>
</file>