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F6504" w14:textId="4E199401" w:rsidR="00B8617C" w:rsidRPr="00016DB9" w:rsidRDefault="00676481" w:rsidP="0070655A">
      <w:pPr>
        <w:pStyle w:val="Heading1"/>
        <w:spacing w:before="480"/>
        <w:rPr>
          <w:rStyle w:val="Heading1Char"/>
          <w:sz w:val="56"/>
          <w:szCs w:val="56"/>
        </w:rPr>
      </w:pPr>
      <w:bookmarkStart w:id="0" w:name="_Hlk83653413"/>
      <w:r w:rsidRPr="00016DB9">
        <w:rPr>
          <w:rStyle w:val="Heading1Char"/>
          <w:sz w:val="56"/>
          <w:szCs w:val="56"/>
        </w:rPr>
        <w:t>OPS-004 Non-development Activity Policy</w:t>
      </w:r>
    </w:p>
    <w:bookmarkEnd w:id="0"/>
    <w:p w14:paraId="2F649F49" w14:textId="2A68D1B6" w:rsidR="00B8617C" w:rsidRDefault="00B8617C" w:rsidP="00016DB9">
      <w:pPr>
        <w:pStyle w:val="Header"/>
        <w:spacing w:before="480"/>
        <w:rPr>
          <w:color w:val="000000" w:themeColor="text1"/>
        </w:rPr>
      </w:pPr>
      <w:r w:rsidRPr="261E3E91">
        <w:rPr>
          <w:color w:val="000000" w:themeColor="text1"/>
        </w:rPr>
        <w:t>Applies to:</w:t>
      </w:r>
      <w:r>
        <w:tab/>
      </w:r>
      <w:r w:rsidR="00676481">
        <w:rPr>
          <w:color w:val="000000" w:themeColor="text1"/>
        </w:rPr>
        <w:t>All PWDA Board, employees, volunteers</w:t>
      </w:r>
    </w:p>
    <w:p w14:paraId="2ADD71D7" w14:textId="6425B480" w:rsidR="00B8617C" w:rsidRPr="00575F83" w:rsidRDefault="00B8617C" w:rsidP="261E3E91">
      <w:pPr>
        <w:pStyle w:val="Header"/>
        <w:rPr>
          <w:color w:val="000000" w:themeColor="text1"/>
        </w:rPr>
      </w:pPr>
      <w:r w:rsidRPr="261E3E91">
        <w:rPr>
          <w:color w:val="000000" w:themeColor="text1"/>
        </w:rPr>
        <w:t>Effective from:</w:t>
      </w:r>
      <w:r>
        <w:tab/>
      </w:r>
      <w:r w:rsidR="00575F83" w:rsidRPr="00575F83">
        <w:rPr>
          <w:color w:val="000000" w:themeColor="text1"/>
        </w:rPr>
        <w:t>07</w:t>
      </w:r>
      <w:r w:rsidR="008F58E3" w:rsidRPr="00575F83">
        <w:rPr>
          <w:color w:val="000000" w:themeColor="text1"/>
        </w:rPr>
        <w:t xml:space="preserve"> November</w:t>
      </w:r>
      <w:r w:rsidR="00676481" w:rsidRPr="00575F83">
        <w:rPr>
          <w:color w:val="000000" w:themeColor="text1"/>
        </w:rPr>
        <w:t xml:space="preserve"> 2025</w:t>
      </w:r>
    </w:p>
    <w:p w14:paraId="0C65192E" w14:textId="0E54A4E3" w:rsidR="00B8617C" w:rsidRPr="008F58E3" w:rsidRDefault="00B8617C" w:rsidP="261E3E91">
      <w:pPr>
        <w:pStyle w:val="Header"/>
        <w:rPr>
          <w:color w:val="000000" w:themeColor="text1"/>
        </w:rPr>
      </w:pPr>
      <w:r w:rsidRPr="00575F83">
        <w:rPr>
          <w:color w:val="000000" w:themeColor="text1"/>
        </w:rPr>
        <w:t>Review date:</w:t>
      </w:r>
      <w:r w:rsidRPr="00575F83">
        <w:rPr>
          <w:color w:val="000000" w:themeColor="text1"/>
        </w:rPr>
        <w:tab/>
      </w:r>
      <w:r w:rsidR="00575F83" w:rsidRPr="00575F83">
        <w:rPr>
          <w:color w:val="000000" w:themeColor="text1"/>
        </w:rPr>
        <w:t>06</w:t>
      </w:r>
      <w:r w:rsidR="00676481" w:rsidRPr="00575F83">
        <w:rPr>
          <w:color w:val="000000" w:themeColor="text1"/>
        </w:rPr>
        <w:t xml:space="preserve"> </w:t>
      </w:r>
      <w:r w:rsidR="008F58E3" w:rsidRPr="00575F83">
        <w:rPr>
          <w:color w:val="000000" w:themeColor="text1"/>
        </w:rPr>
        <w:t xml:space="preserve">November </w:t>
      </w:r>
      <w:r w:rsidR="00676481" w:rsidRPr="00575F83">
        <w:rPr>
          <w:color w:val="000000" w:themeColor="text1"/>
        </w:rPr>
        <w:t>2027</w:t>
      </w:r>
    </w:p>
    <w:p w14:paraId="01A7EFDF" w14:textId="357592B5" w:rsidR="12201CF0" w:rsidRDefault="12201CF0" w:rsidP="261E3E91">
      <w:pPr>
        <w:pStyle w:val="Header"/>
        <w:rPr>
          <w:color w:val="000000" w:themeColor="text1"/>
        </w:rPr>
      </w:pPr>
      <w:r w:rsidRPr="261E3E91">
        <w:rPr>
          <w:color w:val="000000" w:themeColor="text1"/>
        </w:rPr>
        <w:t>Version:</w:t>
      </w:r>
      <w:r>
        <w:tab/>
      </w:r>
      <w:r w:rsidR="00676481">
        <w:rPr>
          <w:color w:val="000000" w:themeColor="text1"/>
        </w:rPr>
        <w:t>v2.0</w:t>
      </w:r>
    </w:p>
    <w:p w14:paraId="2F417415" w14:textId="24F4B79B" w:rsidR="12A75FF4" w:rsidRDefault="12A75FF4" w:rsidP="261E3E91">
      <w:pPr>
        <w:pStyle w:val="Header"/>
        <w:rPr>
          <w:color w:val="000000" w:themeColor="text1"/>
        </w:rPr>
      </w:pPr>
      <w:r w:rsidRPr="261E3E91">
        <w:rPr>
          <w:color w:val="000000" w:themeColor="text1"/>
        </w:rPr>
        <w:t>Last updated:</w:t>
      </w:r>
      <w:r>
        <w:tab/>
      </w:r>
      <w:r w:rsidR="00103C51">
        <w:rPr>
          <w:color w:val="000000" w:themeColor="text1"/>
        </w:rPr>
        <w:t>05 November</w:t>
      </w:r>
      <w:r w:rsidR="00676481">
        <w:rPr>
          <w:color w:val="000000" w:themeColor="text1"/>
        </w:rPr>
        <w:t xml:space="preserve"> 2025</w:t>
      </w:r>
    </w:p>
    <w:p w14:paraId="0EEC9E06" w14:textId="65280CC7" w:rsidR="00B8617C" w:rsidRPr="000B7FC5" w:rsidRDefault="12A75FF4" w:rsidP="261E3E91">
      <w:pPr>
        <w:pStyle w:val="Header"/>
        <w:rPr>
          <w:color w:val="000000" w:themeColor="text1"/>
        </w:rPr>
      </w:pPr>
      <w:r w:rsidRPr="261E3E91">
        <w:rPr>
          <w:color w:val="000000" w:themeColor="text1"/>
        </w:rPr>
        <w:t>Policy approver:</w:t>
      </w:r>
      <w:r>
        <w:tab/>
      </w:r>
      <w:r w:rsidR="00676481">
        <w:rPr>
          <w:color w:val="000000" w:themeColor="text1"/>
        </w:rPr>
        <w:t>Governance Advisory Group / Board</w:t>
      </w:r>
    </w:p>
    <w:p w14:paraId="76CC2F60" w14:textId="48CA66A3" w:rsidR="00B839F2" w:rsidRPr="00B839F2" w:rsidRDefault="00B8617C" w:rsidP="00B839F2">
      <w:pPr>
        <w:pStyle w:val="Header"/>
        <w:rPr>
          <w:color w:val="000000" w:themeColor="text1"/>
        </w:rPr>
      </w:pPr>
      <w:r w:rsidRPr="261E3E91">
        <w:rPr>
          <w:color w:val="000000" w:themeColor="text1"/>
        </w:rPr>
        <w:t>Policy owner:</w:t>
      </w:r>
      <w:r>
        <w:tab/>
      </w:r>
      <w:r w:rsidR="00676481">
        <w:rPr>
          <w:color w:val="000000" w:themeColor="text1"/>
        </w:rPr>
        <w:t>Chief Executive Officer</w:t>
      </w:r>
    </w:p>
    <w:p w14:paraId="242AF2E2" w14:textId="77777777" w:rsidR="002A309E" w:rsidRDefault="00B8617C" w:rsidP="002A309E">
      <w:pPr>
        <w:pStyle w:val="Heading2"/>
        <w:spacing w:before="480"/>
        <w:rPr>
          <w:noProof/>
        </w:rPr>
      </w:pPr>
      <w:bookmarkStart w:id="1" w:name="_Toc190764031"/>
      <w:r w:rsidRPr="000B7FC5">
        <w:rPr>
          <w:color w:val="000000" w:themeColor="text1"/>
        </w:rPr>
        <w:t>Contents</w:t>
      </w:r>
      <w:bookmarkEnd w:id="1"/>
      <w:r w:rsidR="002A309E">
        <w:fldChar w:fldCharType="begin"/>
      </w:r>
      <w:r w:rsidR="002A309E">
        <w:instrText xml:space="preserve"> TOC \o "3-3" \f \h \z \u </w:instrText>
      </w:r>
      <w:r w:rsidR="002A309E">
        <w:fldChar w:fldCharType="separate"/>
      </w:r>
    </w:p>
    <w:p w14:paraId="7ACBBD1A" w14:textId="7B74AC05" w:rsidR="00602AE6" w:rsidRDefault="00602AE6">
      <w:pPr>
        <w:pStyle w:val="TOC3"/>
        <w:tabs>
          <w:tab w:val="right" w:leader="dot" w:pos="9016"/>
        </w:tabs>
        <w:rPr>
          <w:rFonts w:asciiTheme="minorHAnsi" w:eastAsiaTheme="minorEastAsia" w:hAnsiTheme="minorHAnsi"/>
          <w:noProof/>
          <w:szCs w:val="24"/>
          <w:lang w:eastAsia="en-AU"/>
        </w:rPr>
      </w:pPr>
      <w:r>
        <w:rPr>
          <w:rStyle w:val="Hyperlink"/>
          <w:noProof/>
        </w:rPr>
        <w:fldChar w:fldCharType="begin"/>
      </w:r>
      <w:r>
        <w:rPr>
          <w:rStyle w:val="Hyperlink"/>
          <w:noProof/>
        </w:rPr>
        <w:instrText xml:space="preserve"> TOC \o "3-3" \h \z \u </w:instrText>
      </w:r>
      <w:r>
        <w:rPr>
          <w:rStyle w:val="Hyperlink"/>
          <w:noProof/>
        </w:rPr>
        <w:fldChar w:fldCharType="separate"/>
      </w:r>
      <w:hyperlink w:anchor="_Toc213243393" w:history="1">
        <w:r w:rsidRPr="00A75C7D">
          <w:rPr>
            <w:rStyle w:val="Hyperlink"/>
            <w:noProof/>
          </w:rPr>
          <w:t>Purpose</w:t>
        </w:r>
        <w:r>
          <w:rPr>
            <w:noProof/>
            <w:webHidden/>
          </w:rPr>
          <w:tab/>
        </w:r>
        <w:r>
          <w:rPr>
            <w:noProof/>
            <w:webHidden/>
          </w:rPr>
          <w:fldChar w:fldCharType="begin"/>
        </w:r>
        <w:r>
          <w:rPr>
            <w:noProof/>
            <w:webHidden/>
          </w:rPr>
          <w:instrText xml:space="preserve"> PAGEREF _Toc213243393 \h </w:instrText>
        </w:r>
        <w:r>
          <w:rPr>
            <w:noProof/>
            <w:webHidden/>
          </w:rPr>
        </w:r>
        <w:r>
          <w:rPr>
            <w:noProof/>
            <w:webHidden/>
          </w:rPr>
          <w:fldChar w:fldCharType="separate"/>
        </w:r>
        <w:r>
          <w:rPr>
            <w:noProof/>
            <w:webHidden/>
          </w:rPr>
          <w:t>2</w:t>
        </w:r>
        <w:r>
          <w:rPr>
            <w:noProof/>
            <w:webHidden/>
          </w:rPr>
          <w:fldChar w:fldCharType="end"/>
        </w:r>
      </w:hyperlink>
    </w:p>
    <w:p w14:paraId="75227E63" w14:textId="5D5D31FF" w:rsidR="00602AE6" w:rsidRDefault="00602AE6">
      <w:pPr>
        <w:pStyle w:val="TOC3"/>
        <w:tabs>
          <w:tab w:val="right" w:leader="dot" w:pos="9016"/>
        </w:tabs>
        <w:rPr>
          <w:rFonts w:asciiTheme="minorHAnsi" w:eastAsiaTheme="minorEastAsia" w:hAnsiTheme="minorHAnsi"/>
          <w:noProof/>
          <w:szCs w:val="24"/>
          <w:lang w:eastAsia="en-AU"/>
        </w:rPr>
      </w:pPr>
      <w:hyperlink w:anchor="_Toc213243394" w:history="1">
        <w:r w:rsidRPr="00A75C7D">
          <w:rPr>
            <w:rStyle w:val="Hyperlink"/>
            <w:noProof/>
          </w:rPr>
          <w:t>Scope</w:t>
        </w:r>
        <w:r>
          <w:rPr>
            <w:noProof/>
            <w:webHidden/>
          </w:rPr>
          <w:tab/>
        </w:r>
        <w:r>
          <w:rPr>
            <w:noProof/>
            <w:webHidden/>
          </w:rPr>
          <w:fldChar w:fldCharType="begin"/>
        </w:r>
        <w:r>
          <w:rPr>
            <w:noProof/>
            <w:webHidden/>
          </w:rPr>
          <w:instrText xml:space="preserve"> PAGEREF _Toc213243394 \h </w:instrText>
        </w:r>
        <w:r>
          <w:rPr>
            <w:noProof/>
            <w:webHidden/>
          </w:rPr>
        </w:r>
        <w:r>
          <w:rPr>
            <w:noProof/>
            <w:webHidden/>
          </w:rPr>
          <w:fldChar w:fldCharType="separate"/>
        </w:r>
        <w:r>
          <w:rPr>
            <w:noProof/>
            <w:webHidden/>
          </w:rPr>
          <w:t>2</w:t>
        </w:r>
        <w:r>
          <w:rPr>
            <w:noProof/>
            <w:webHidden/>
          </w:rPr>
          <w:fldChar w:fldCharType="end"/>
        </w:r>
      </w:hyperlink>
    </w:p>
    <w:p w14:paraId="47578431" w14:textId="3C36398D" w:rsidR="00602AE6" w:rsidRDefault="00602AE6">
      <w:pPr>
        <w:pStyle w:val="TOC3"/>
        <w:tabs>
          <w:tab w:val="right" w:leader="dot" w:pos="9016"/>
        </w:tabs>
        <w:rPr>
          <w:rFonts w:asciiTheme="minorHAnsi" w:eastAsiaTheme="minorEastAsia" w:hAnsiTheme="minorHAnsi"/>
          <w:noProof/>
          <w:szCs w:val="24"/>
          <w:lang w:eastAsia="en-AU"/>
        </w:rPr>
      </w:pPr>
      <w:hyperlink w:anchor="_Toc213243395" w:history="1">
        <w:r w:rsidRPr="00A75C7D">
          <w:rPr>
            <w:rStyle w:val="Hyperlink"/>
            <w:noProof/>
          </w:rPr>
          <w:t>Background</w:t>
        </w:r>
        <w:r>
          <w:rPr>
            <w:noProof/>
            <w:webHidden/>
          </w:rPr>
          <w:tab/>
        </w:r>
        <w:r>
          <w:rPr>
            <w:noProof/>
            <w:webHidden/>
          </w:rPr>
          <w:fldChar w:fldCharType="begin"/>
        </w:r>
        <w:r>
          <w:rPr>
            <w:noProof/>
            <w:webHidden/>
          </w:rPr>
          <w:instrText xml:space="preserve"> PAGEREF _Toc213243395 \h </w:instrText>
        </w:r>
        <w:r>
          <w:rPr>
            <w:noProof/>
            <w:webHidden/>
          </w:rPr>
        </w:r>
        <w:r>
          <w:rPr>
            <w:noProof/>
            <w:webHidden/>
          </w:rPr>
          <w:fldChar w:fldCharType="separate"/>
        </w:r>
        <w:r>
          <w:rPr>
            <w:noProof/>
            <w:webHidden/>
          </w:rPr>
          <w:t>2</w:t>
        </w:r>
        <w:r>
          <w:rPr>
            <w:noProof/>
            <w:webHidden/>
          </w:rPr>
          <w:fldChar w:fldCharType="end"/>
        </w:r>
      </w:hyperlink>
    </w:p>
    <w:p w14:paraId="037718C2" w14:textId="5828BDC9" w:rsidR="00602AE6" w:rsidRDefault="00602AE6">
      <w:pPr>
        <w:pStyle w:val="TOC3"/>
        <w:tabs>
          <w:tab w:val="right" w:leader="dot" w:pos="9016"/>
        </w:tabs>
        <w:rPr>
          <w:rFonts w:asciiTheme="minorHAnsi" w:eastAsiaTheme="minorEastAsia" w:hAnsiTheme="minorHAnsi"/>
          <w:noProof/>
          <w:szCs w:val="24"/>
          <w:lang w:eastAsia="en-AU"/>
        </w:rPr>
      </w:pPr>
      <w:hyperlink w:anchor="_Toc213243396" w:history="1">
        <w:r w:rsidRPr="00A75C7D">
          <w:rPr>
            <w:rStyle w:val="Hyperlink"/>
            <w:noProof/>
          </w:rPr>
          <w:t>Guiding Principles</w:t>
        </w:r>
        <w:r>
          <w:rPr>
            <w:noProof/>
            <w:webHidden/>
          </w:rPr>
          <w:tab/>
        </w:r>
        <w:r>
          <w:rPr>
            <w:noProof/>
            <w:webHidden/>
          </w:rPr>
          <w:fldChar w:fldCharType="begin"/>
        </w:r>
        <w:r>
          <w:rPr>
            <w:noProof/>
            <w:webHidden/>
          </w:rPr>
          <w:instrText xml:space="preserve"> PAGEREF _Toc213243396 \h </w:instrText>
        </w:r>
        <w:r>
          <w:rPr>
            <w:noProof/>
            <w:webHidden/>
          </w:rPr>
        </w:r>
        <w:r>
          <w:rPr>
            <w:noProof/>
            <w:webHidden/>
          </w:rPr>
          <w:fldChar w:fldCharType="separate"/>
        </w:r>
        <w:r>
          <w:rPr>
            <w:noProof/>
            <w:webHidden/>
          </w:rPr>
          <w:t>3</w:t>
        </w:r>
        <w:r>
          <w:rPr>
            <w:noProof/>
            <w:webHidden/>
          </w:rPr>
          <w:fldChar w:fldCharType="end"/>
        </w:r>
      </w:hyperlink>
    </w:p>
    <w:p w14:paraId="0AFD6C7F" w14:textId="28BAAB1F" w:rsidR="00602AE6" w:rsidRDefault="00602AE6">
      <w:pPr>
        <w:pStyle w:val="TOC3"/>
        <w:tabs>
          <w:tab w:val="right" w:leader="dot" w:pos="9016"/>
        </w:tabs>
        <w:rPr>
          <w:rFonts w:asciiTheme="minorHAnsi" w:eastAsiaTheme="minorEastAsia" w:hAnsiTheme="minorHAnsi"/>
          <w:noProof/>
          <w:szCs w:val="24"/>
          <w:lang w:eastAsia="en-AU"/>
        </w:rPr>
      </w:pPr>
      <w:hyperlink w:anchor="_Toc213243397" w:history="1">
        <w:r w:rsidRPr="00A75C7D">
          <w:rPr>
            <w:rStyle w:val="Hyperlink"/>
            <w:noProof/>
          </w:rPr>
          <w:t>Aid and Development Activities</w:t>
        </w:r>
        <w:r>
          <w:rPr>
            <w:noProof/>
            <w:webHidden/>
          </w:rPr>
          <w:tab/>
        </w:r>
        <w:r>
          <w:rPr>
            <w:noProof/>
            <w:webHidden/>
          </w:rPr>
          <w:fldChar w:fldCharType="begin"/>
        </w:r>
        <w:r>
          <w:rPr>
            <w:noProof/>
            <w:webHidden/>
          </w:rPr>
          <w:instrText xml:space="preserve"> PAGEREF _Toc213243397 \h </w:instrText>
        </w:r>
        <w:r>
          <w:rPr>
            <w:noProof/>
            <w:webHidden/>
          </w:rPr>
        </w:r>
        <w:r>
          <w:rPr>
            <w:noProof/>
            <w:webHidden/>
          </w:rPr>
          <w:fldChar w:fldCharType="separate"/>
        </w:r>
        <w:r>
          <w:rPr>
            <w:noProof/>
            <w:webHidden/>
          </w:rPr>
          <w:t>3</w:t>
        </w:r>
        <w:r>
          <w:rPr>
            <w:noProof/>
            <w:webHidden/>
          </w:rPr>
          <w:fldChar w:fldCharType="end"/>
        </w:r>
      </w:hyperlink>
    </w:p>
    <w:p w14:paraId="37380972" w14:textId="67A24DCC" w:rsidR="00602AE6" w:rsidRDefault="00602AE6">
      <w:pPr>
        <w:pStyle w:val="TOC3"/>
        <w:tabs>
          <w:tab w:val="right" w:leader="dot" w:pos="9016"/>
        </w:tabs>
        <w:rPr>
          <w:rFonts w:asciiTheme="minorHAnsi" w:eastAsiaTheme="minorEastAsia" w:hAnsiTheme="minorHAnsi"/>
          <w:noProof/>
          <w:szCs w:val="24"/>
          <w:lang w:eastAsia="en-AU"/>
        </w:rPr>
      </w:pPr>
      <w:hyperlink w:anchor="_Toc213243398" w:history="1">
        <w:r w:rsidRPr="00A75C7D">
          <w:rPr>
            <w:rStyle w:val="Hyperlink"/>
            <w:noProof/>
          </w:rPr>
          <w:t>Non-aid and Development</w:t>
        </w:r>
        <w:r w:rsidRPr="00A75C7D">
          <w:rPr>
            <w:rStyle w:val="Hyperlink"/>
            <w:noProof/>
            <w:spacing w:val="3"/>
          </w:rPr>
          <w:t xml:space="preserve"> </w:t>
        </w:r>
        <w:r w:rsidRPr="00A75C7D">
          <w:rPr>
            <w:rStyle w:val="Hyperlink"/>
            <w:noProof/>
          </w:rPr>
          <w:t>Activities</w:t>
        </w:r>
        <w:r>
          <w:rPr>
            <w:noProof/>
            <w:webHidden/>
          </w:rPr>
          <w:tab/>
        </w:r>
        <w:r>
          <w:rPr>
            <w:noProof/>
            <w:webHidden/>
          </w:rPr>
          <w:fldChar w:fldCharType="begin"/>
        </w:r>
        <w:r>
          <w:rPr>
            <w:noProof/>
            <w:webHidden/>
          </w:rPr>
          <w:instrText xml:space="preserve"> PAGEREF _Toc213243398 \h </w:instrText>
        </w:r>
        <w:r>
          <w:rPr>
            <w:noProof/>
            <w:webHidden/>
          </w:rPr>
        </w:r>
        <w:r>
          <w:rPr>
            <w:noProof/>
            <w:webHidden/>
          </w:rPr>
          <w:fldChar w:fldCharType="separate"/>
        </w:r>
        <w:r>
          <w:rPr>
            <w:noProof/>
            <w:webHidden/>
          </w:rPr>
          <w:t>4</w:t>
        </w:r>
        <w:r>
          <w:rPr>
            <w:noProof/>
            <w:webHidden/>
          </w:rPr>
          <w:fldChar w:fldCharType="end"/>
        </w:r>
      </w:hyperlink>
    </w:p>
    <w:p w14:paraId="7BCF34ED" w14:textId="14FD37F4" w:rsidR="00602AE6" w:rsidRDefault="00602AE6">
      <w:pPr>
        <w:pStyle w:val="TOC3"/>
        <w:tabs>
          <w:tab w:val="right" w:leader="dot" w:pos="9016"/>
        </w:tabs>
        <w:rPr>
          <w:rFonts w:asciiTheme="minorHAnsi" w:eastAsiaTheme="minorEastAsia" w:hAnsiTheme="minorHAnsi"/>
          <w:noProof/>
          <w:szCs w:val="24"/>
          <w:lang w:eastAsia="en-AU"/>
        </w:rPr>
      </w:pPr>
      <w:hyperlink w:anchor="_Toc213243399" w:history="1">
        <w:r w:rsidRPr="00A75C7D">
          <w:rPr>
            <w:rStyle w:val="Hyperlink"/>
            <w:noProof/>
          </w:rPr>
          <w:t>Definitions</w:t>
        </w:r>
        <w:r>
          <w:rPr>
            <w:noProof/>
            <w:webHidden/>
          </w:rPr>
          <w:tab/>
        </w:r>
        <w:r>
          <w:rPr>
            <w:noProof/>
            <w:webHidden/>
          </w:rPr>
          <w:fldChar w:fldCharType="begin"/>
        </w:r>
        <w:r>
          <w:rPr>
            <w:noProof/>
            <w:webHidden/>
          </w:rPr>
          <w:instrText xml:space="preserve"> PAGEREF _Toc213243399 \h </w:instrText>
        </w:r>
        <w:r>
          <w:rPr>
            <w:noProof/>
            <w:webHidden/>
          </w:rPr>
        </w:r>
        <w:r>
          <w:rPr>
            <w:noProof/>
            <w:webHidden/>
          </w:rPr>
          <w:fldChar w:fldCharType="separate"/>
        </w:r>
        <w:r>
          <w:rPr>
            <w:noProof/>
            <w:webHidden/>
          </w:rPr>
          <w:t>5</w:t>
        </w:r>
        <w:r>
          <w:rPr>
            <w:noProof/>
            <w:webHidden/>
          </w:rPr>
          <w:fldChar w:fldCharType="end"/>
        </w:r>
      </w:hyperlink>
    </w:p>
    <w:p w14:paraId="572E521F" w14:textId="4434B425" w:rsidR="00602AE6" w:rsidRDefault="00602AE6">
      <w:pPr>
        <w:pStyle w:val="TOC3"/>
        <w:tabs>
          <w:tab w:val="right" w:leader="dot" w:pos="9016"/>
        </w:tabs>
        <w:rPr>
          <w:rFonts w:asciiTheme="minorHAnsi" w:eastAsiaTheme="minorEastAsia" w:hAnsiTheme="minorHAnsi"/>
          <w:noProof/>
          <w:szCs w:val="24"/>
          <w:lang w:eastAsia="en-AU"/>
        </w:rPr>
      </w:pPr>
      <w:hyperlink w:anchor="_Toc213243400" w:history="1">
        <w:r w:rsidRPr="00A75C7D">
          <w:rPr>
            <w:rStyle w:val="Hyperlink"/>
            <w:noProof/>
          </w:rPr>
          <w:t>Compliance</w:t>
        </w:r>
        <w:r>
          <w:rPr>
            <w:noProof/>
            <w:webHidden/>
          </w:rPr>
          <w:tab/>
        </w:r>
        <w:r>
          <w:rPr>
            <w:noProof/>
            <w:webHidden/>
          </w:rPr>
          <w:fldChar w:fldCharType="begin"/>
        </w:r>
        <w:r>
          <w:rPr>
            <w:noProof/>
            <w:webHidden/>
          </w:rPr>
          <w:instrText xml:space="preserve"> PAGEREF _Toc213243400 \h </w:instrText>
        </w:r>
        <w:r>
          <w:rPr>
            <w:noProof/>
            <w:webHidden/>
          </w:rPr>
        </w:r>
        <w:r>
          <w:rPr>
            <w:noProof/>
            <w:webHidden/>
          </w:rPr>
          <w:fldChar w:fldCharType="separate"/>
        </w:r>
        <w:r>
          <w:rPr>
            <w:noProof/>
            <w:webHidden/>
          </w:rPr>
          <w:t>5</w:t>
        </w:r>
        <w:r>
          <w:rPr>
            <w:noProof/>
            <w:webHidden/>
          </w:rPr>
          <w:fldChar w:fldCharType="end"/>
        </w:r>
      </w:hyperlink>
    </w:p>
    <w:p w14:paraId="27114A00" w14:textId="6D600875" w:rsidR="00602AE6" w:rsidRDefault="00602AE6">
      <w:pPr>
        <w:pStyle w:val="TOC3"/>
        <w:tabs>
          <w:tab w:val="right" w:leader="dot" w:pos="9016"/>
        </w:tabs>
        <w:rPr>
          <w:rFonts w:asciiTheme="minorHAnsi" w:eastAsiaTheme="minorEastAsia" w:hAnsiTheme="minorHAnsi"/>
          <w:noProof/>
          <w:szCs w:val="24"/>
          <w:lang w:eastAsia="en-AU"/>
        </w:rPr>
      </w:pPr>
      <w:hyperlink w:anchor="_Toc213243401" w:history="1">
        <w:r w:rsidRPr="00A75C7D">
          <w:rPr>
            <w:rStyle w:val="Hyperlink"/>
            <w:noProof/>
          </w:rPr>
          <w:t>Procedure</w:t>
        </w:r>
        <w:r>
          <w:rPr>
            <w:noProof/>
            <w:webHidden/>
          </w:rPr>
          <w:tab/>
        </w:r>
        <w:r>
          <w:rPr>
            <w:noProof/>
            <w:webHidden/>
          </w:rPr>
          <w:fldChar w:fldCharType="begin"/>
        </w:r>
        <w:r>
          <w:rPr>
            <w:noProof/>
            <w:webHidden/>
          </w:rPr>
          <w:instrText xml:space="preserve"> PAGEREF _Toc213243401 \h </w:instrText>
        </w:r>
        <w:r>
          <w:rPr>
            <w:noProof/>
            <w:webHidden/>
          </w:rPr>
        </w:r>
        <w:r>
          <w:rPr>
            <w:noProof/>
            <w:webHidden/>
          </w:rPr>
          <w:fldChar w:fldCharType="separate"/>
        </w:r>
        <w:r>
          <w:rPr>
            <w:noProof/>
            <w:webHidden/>
          </w:rPr>
          <w:t>5</w:t>
        </w:r>
        <w:r>
          <w:rPr>
            <w:noProof/>
            <w:webHidden/>
          </w:rPr>
          <w:fldChar w:fldCharType="end"/>
        </w:r>
      </w:hyperlink>
    </w:p>
    <w:p w14:paraId="5D50BA90" w14:textId="37DDEE32" w:rsidR="00602AE6" w:rsidRDefault="00602AE6">
      <w:pPr>
        <w:pStyle w:val="TOC3"/>
        <w:tabs>
          <w:tab w:val="right" w:leader="dot" w:pos="9016"/>
        </w:tabs>
        <w:rPr>
          <w:rFonts w:asciiTheme="minorHAnsi" w:eastAsiaTheme="minorEastAsia" w:hAnsiTheme="minorHAnsi"/>
          <w:noProof/>
          <w:szCs w:val="24"/>
          <w:lang w:eastAsia="en-AU"/>
        </w:rPr>
      </w:pPr>
      <w:hyperlink w:anchor="_Toc213243402" w:history="1">
        <w:r w:rsidRPr="00A75C7D">
          <w:rPr>
            <w:rStyle w:val="Hyperlink"/>
            <w:noProof/>
          </w:rPr>
          <w:t>Related Documents</w:t>
        </w:r>
        <w:r>
          <w:rPr>
            <w:noProof/>
            <w:webHidden/>
          </w:rPr>
          <w:tab/>
        </w:r>
        <w:r>
          <w:rPr>
            <w:noProof/>
            <w:webHidden/>
          </w:rPr>
          <w:fldChar w:fldCharType="begin"/>
        </w:r>
        <w:r>
          <w:rPr>
            <w:noProof/>
            <w:webHidden/>
          </w:rPr>
          <w:instrText xml:space="preserve"> PAGEREF _Toc213243402 \h </w:instrText>
        </w:r>
        <w:r>
          <w:rPr>
            <w:noProof/>
            <w:webHidden/>
          </w:rPr>
        </w:r>
        <w:r>
          <w:rPr>
            <w:noProof/>
            <w:webHidden/>
          </w:rPr>
          <w:fldChar w:fldCharType="separate"/>
        </w:r>
        <w:r>
          <w:rPr>
            <w:noProof/>
            <w:webHidden/>
          </w:rPr>
          <w:t>6</w:t>
        </w:r>
        <w:r>
          <w:rPr>
            <w:noProof/>
            <w:webHidden/>
          </w:rPr>
          <w:fldChar w:fldCharType="end"/>
        </w:r>
      </w:hyperlink>
    </w:p>
    <w:p w14:paraId="4BF0D210" w14:textId="7D121AF9" w:rsidR="002A309E" w:rsidRDefault="00602AE6">
      <w:pPr>
        <w:pStyle w:val="TOC3"/>
        <w:tabs>
          <w:tab w:val="right" w:leader="dot" w:pos="9016"/>
        </w:tabs>
        <w:rPr>
          <w:rFonts w:asciiTheme="minorHAnsi" w:eastAsiaTheme="minorEastAsia" w:hAnsiTheme="minorHAnsi"/>
          <w:noProof/>
          <w:szCs w:val="24"/>
          <w:lang w:eastAsia="en-AU"/>
        </w:rPr>
      </w:pPr>
      <w:r>
        <w:rPr>
          <w:rStyle w:val="Hyperlink"/>
          <w:noProof/>
        </w:rPr>
        <w:fldChar w:fldCharType="end"/>
      </w:r>
    </w:p>
    <w:p w14:paraId="45B1A412" w14:textId="6C87789C" w:rsidR="00B8617C" w:rsidRDefault="002A309E" w:rsidP="002A309E">
      <w:pPr>
        <w:pStyle w:val="Heading2"/>
        <w:spacing w:before="480"/>
      </w:pPr>
      <w:r>
        <w:fldChar w:fldCharType="end"/>
      </w:r>
    </w:p>
    <w:p w14:paraId="4AF01DAE" w14:textId="77777777" w:rsidR="00B8617C" w:rsidRDefault="00B8617C">
      <w:pPr>
        <w:spacing w:line="259" w:lineRule="auto"/>
      </w:pPr>
      <w:r>
        <w:br w:type="page"/>
      </w:r>
    </w:p>
    <w:p w14:paraId="0EB376CE" w14:textId="7560F487" w:rsidR="006826A0" w:rsidRPr="006826A0" w:rsidRDefault="000E5BB1" w:rsidP="002A309E">
      <w:pPr>
        <w:pStyle w:val="Heading3"/>
      </w:pPr>
      <w:bookmarkStart w:id="2" w:name="_Toc213241622"/>
      <w:bookmarkStart w:id="3" w:name="_Toc213243393"/>
      <w:r>
        <w:lastRenderedPageBreak/>
        <w:t>Purpose</w:t>
      </w:r>
      <w:bookmarkEnd w:id="2"/>
      <w:bookmarkEnd w:id="3"/>
    </w:p>
    <w:p w14:paraId="170D158B" w14:textId="400149E4" w:rsidR="00C109F3" w:rsidRDefault="00C109F3" w:rsidP="009571BD">
      <w:pPr>
        <w:pStyle w:val="BodyText"/>
        <w:numPr>
          <w:ilvl w:val="0"/>
          <w:numId w:val="20"/>
        </w:numPr>
        <w:ind w:right="172"/>
      </w:pPr>
      <w:r>
        <w:t>To</w:t>
      </w:r>
      <w:r w:rsidR="00676481">
        <w:t xml:space="preserve"> guide PWDA and our partners to make a clear separation between development</w:t>
      </w:r>
      <w:r w:rsidR="009632A9">
        <w:t xml:space="preserve"> and humanitarian</w:t>
      </w:r>
      <w:r w:rsidR="00676481">
        <w:t xml:space="preserve"> and non-development objectives and activities.  </w:t>
      </w:r>
    </w:p>
    <w:p w14:paraId="7DDE26C5" w14:textId="77777777" w:rsidR="00172C9F" w:rsidRDefault="00C109F3" w:rsidP="009571BD">
      <w:pPr>
        <w:pStyle w:val="BodyText"/>
        <w:numPr>
          <w:ilvl w:val="0"/>
          <w:numId w:val="20"/>
        </w:numPr>
        <w:ind w:right="172"/>
      </w:pPr>
      <w:r>
        <w:t xml:space="preserve">To </w:t>
      </w:r>
      <w:r w:rsidR="00676481">
        <w:t xml:space="preserve">address </w:t>
      </w:r>
      <w:r w:rsidR="00F130F4">
        <w:t>PWDA’s</w:t>
      </w:r>
      <w:r w:rsidR="00676481">
        <w:t xml:space="preserve"> obligations </w:t>
      </w:r>
      <w:r w:rsidR="00D031DD">
        <w:t>to</w:t>
      </w:r>
      <w:r w:rsidR="00172C9F">
        <w:t xml:space="preserve"> </w:t>
      </w:r>
      <w:r w:rsidR="00D031DD">
        <w:t xml:space="preserve">accurately represent our activities within our programs and </w:t>
      </w:r>
      <w:r w:rsidR="007F2678">
        <w:t>expenditure</w:t>
      </w:r>
      <w:r w:rsidR="00D031DD">
        <w:t xml:space="preserve"> reporting</w:t>
      </w:r>
      <w:r w:rsidR="00172C9F">
        <w:t>:</w:t>
      </w:r>
    </w:p>
    <w:p w14:paraId="2A279316" w14:textId="77777777" w:rsidR="00172C9F" w:rsidRDefault="00D031DD" w:rsidP="009571BD">
      <w:pPr>
        <w:pStyle w:val="BodyText"/>
        <w:numPr>
          <w:ilvl w:val="0"/>
          <w:numId w:val="21"/>
        </w:numPr>
        <w:ind w:right="172"/>
      </w:pPr>
      <w:r>
        <w:t xml:space="preserve">to the people we work with </w:t>
      </w:r>
    </w:p>
    <w:p w14:paraId="2FD9191D" w14:textId="0E0EF390" w:rsidR="00676481" w:rsidRPr="00B35DF4" w:rsidRDefault="00676481" w:rsidP="00676481">
      <w:pPr>
        <w:pStyle w:val="BodyText"/>
        <w:numPr>
          <w:ilvl w:val="0"/>
          <w:numId w:val="21"/>
        </w:numPr>
        <w:ind w:right="172"/>
      </w:pPr>
      <w:r>
        <w:t>when</w:t>
      </w:r>
      <w:r>
        <w:rPr>
          <w:spacing w:val="-36"/>
        </w:rPr>
        <w:t xml:space="preserve"> </w:t>
      </w:r>
      <w:r>
        <w:t>communicating with or soliciting donations from private donors and the public, including fundraising for restricted and unrestricted purposes from aid agencies, sponsors and supporters, and fundraising from the general</w:t>
      </w:r>
      <w:r>
        <w:rPr>
          <w:spacing w:val="-9"/>
        </w:rPr>
        <w:t xml:space="preserve"> </w:t>
      </w:r>
      <w:r>
        <w:t>public.</w:t>
      </w:r>
    </w:p>
    <w:p w14:paraId="36A5425B" w14:textId="629C693C" w:rsidR="00676481" w:rsidRPr="00B35DF4" w:rsidRDefault="00C15819" w:rsidP="00DC0BAC">
      <w:pPr>
        <w:pStyle w:val="BodyText"/>
        <w:numPr>
          <w:ilvl w:val="0"/>
          <w:numId w:val="22"/>
        </w:numPr>
      </w:pPr>
      <w:r>
        <w:t xml:space="preserve">To </w:t>
      </w:r>
      <w:r w:rsidR="003E588A">
        <w:t>address our</w:t>
      </w:r>
      <w:r w:rsidR="00676481" w:rsidRPr="00B35DF4">
        <w:t xml:space="preserve"> </w:t>
      </w:r>
      <w:r w:rsidR="00907762">
        <w:t>Australian Council for International Development (ACFID) Code of Conduct</w:t>
      </w:r>
      <w:r w:rsidR="00907762" w:rsidRPr="00B35DF4">
        <w:t xml:space="preserve"> </w:t>
      </w:r>
      <w:r w:rsidR="00676481" w:rsidRPr="00B35DF4">
        <w:t xml:space="preserve">compliance </w:t>
      </w:r>
      <w:r w:rsidR="00907762">
        <w:t>obligations</w:t>
      </w:r>
      <w:r w:rsidR="00D1279C">
        <w:t xml:space="preserve"> when communicating with or soliciting donations from private donors and the public, including fundraising for restricted and unrestricted purposes from aid agencies, sponsors and supporters</w:t>
      </w:r>
      <w:r w:rsidR="00AF6DD6">
        <w:t xml:space="preserve"> and the </w:t>
      </w:r>
      <w:r w:rsidR="00194731">
        <w:t xml:space="preserve">general </w:t>
      </w:r>
      <w:r w:rsidR="00AF6DD6">
        <w:t>public</w:t>
      </w:r>
      <w:r w:rsidR="001D1429">
        <w:t>.</w:t>
      </w:r>
    </w:p>
    <w:p w14:paraId="7FE51231" w14:textId="77777777" w:rsidR="009B6694" w:rsidRPr="00667E15" w:rsidRDefault="009B6694" w:rsidP="002A309E">
      <w:pPr>
        <w:pStyle w:val="Heading3"/>
      </w:pPr>
      <w:bookmarkStart w:id="4" w:name="_Toc213241623"/>
      <w:bookmarkStart w:id="5" w:name="_Toc213243394"/>
      <w:r>
        <w:t>Scope</w:t>
      </w:r>
      <w:bookmarkEnd w:id="4"/>
      <w:bookmarkEnd w:id="5"/>
    </w:p>
    <w:p w14:paraId="78F014F8" w14:textId="77777777" w:rsidR="00A75352" w:rsidRDefault="009B6694" w:rsidP="009B6694">
      <w:pPr>
        <w:pStyle w:val="BodyText"/>
        <w:ind w:right="707"/>
      </w:pPr>
      <w:r>
        <w:t>This policy applies to all PWDA operations and activities and</w:t>
      </w:r>
      <w:r>
        <w:rPr>
          <w:spacing w:val="-36"/>
        </w:rPr>
        <w:t xml:space="preserve"> </w:t>
      </w:r>
      <w:r>
        <w:t xml:space="preserve">all PWDA </w:t>
      </w:r>
      <w:r w:rsidR="001D1429">
        <w:t xml:space="preserve">workers </w:t>
      </w:r>
      <w:r>
        <w:t>and volunteers</w:t>
      </w:r>
      <w:r w:rsidR="00A75352">
        <w:t>:</w:t>
      </w:r>
    </w:p>
    <w:p w14:paraId="2D61732B" w14:textId="77777777" w:rsidR="00A75352" w:rsidRPr="00F40F9D" w:rsidRDefault="00A75352" w:rsidP="00A75352">
      <w:pPr>
        <w:pStyle w:val="ListParagraph"/>
        <w:numPr>
          <w:ilvl w:val="0"/>
          <w:numId w:val="26"/>
        </w:numPr>
        <w:rPr>
          <w:color w:val="000000" w:themeColor="text1"/>
          <w:lang w:val="en-US"/>
        </w:rPr>
      </w:pPr>
      <w:r w:rsidRPr="12BC9C33">
        <w:t xml:space="preserve">all Board Directors, employees, independent contractors, subcontractors and consultants (collectively “workers”) </w:t>
      </w:r>
    </w:p>
    <w:p w14:paraId="0E8C02E1" w14:textId="77777777" w:rsidR="00A75352" w:rsidRPr="00F40F9D" w:rsidRDefault="00A75352" w:rsidP="00A75352">
      <w:pPr>
        <w:pStyle w:val="ListParagraph"/>
        <w:numPr>
          <w:ilvl w:val="0"/>
          <w:numId w:val="26"/>
        </w:numPr>
        <w:rPr>
          <w:color w:val="000000" w:themeColor="text1"/>
          <w:lang w:val="en-US"/>
        </w:rPr>
      </w:pPr>
      <w:r w:rsidRPr="12BC9C33">
        <w:t>all volunteers and students (collectively “volunteers”)</w:t>
      </w:r>
      <w:r>
        <w:t>.</w:t>
      </w:r>
    </w:p>
    <w:p w14:paraId="11F7EB86" w14:textId="196A11E8" w:rsidR="009B6694" w:rsidRDefault="009B6694" w:rsidP="009B6694">
      <w:pPr>
        <w:pStyle w:val="BodyText"/>
        <w:ind w:right="707"/>
      </w:pPr>
      <w:r>
        <w:t>It also extends to PWDA partners and associated implementing</w:t>
      </w:r>
      <w:r>
        <w:rPr>
          <w:spacing w:val="-5"/>
        </w:rPr>
        <w:t xml:space="preserve"> </w:t>
      </w:r>
      <w:r>
        <w:t>organisations.</w:t>
      </w:r>
    </w:p>
    <w:p w14:paraId="3EFB005D" w14:textId="46333F8F" w:rsidR="00382963" w:rsidRPr="00382963" w:rsidRDefault="001E692A" w:rsidP="002A309E">
      <w:pPr>
        <w:pStyle w:val="Heading3"/>
      </w:pPr>
      <w:bookmarkStart w:id="6" w:name="_Toc213241624"/>
      <w:bookmarkStart w:id="7" w:name="_Toc213243395"/>
      <w:r>
        <w:t>Background</w:t>
      </w:r>
      <w:bookmarkEnd w:id="6"/>
      <w:bookmarkEnd w:id="7"/>
    </w:p>
    <w:p w14:paraId="02F2AA96" w14:textId="115B9374" w:rsidR="00142EE4" w:rsidRDefault="00676481" w:rsidP="0091511D">
      <w:pPr>
        <w:pStyle w:val="BodyText"/>
        <w:spacing w:before="1"/>
        <w:ind w:right="41"/>
      </w:pPr>
      <w:r w:rsidRPr="00B35DF4">
        <w:t>PWDA is a national disability rights and advocacy organi</w:t>
      </w:r>
      <w:r>
        <w:t>s</w:t>
      </w:r>
      <w:r w:rsidRPr="00B35DF4">
        <w:t>ation</w:t>
      </w:r>
      <w:r w:rsidR="0091511D">
        <w:t xml:space="preserve"> and operates</w:t>
      </w:r>
      <w:r w:rsidR="008D2A44">
        <w:t xml:space="preserve"> within the human rights framework</w:t>
      </w:r>
      <w:r w:rsidR="0091511D">
        <w:t xml:space="preserve">. </w:t>
      </w:r>
    </w:p>
    <w:p w14:paraId="32A2F86B" w14:textId="167E3637" w:rsidR="008D2A44" w:rsidRDefault="0091511D" w:rsidP="0091511D">
      <w:pPr>
        <w:pStyle w:val="BodyText"/>
        <w:spacing w:before="1"/>
        <w:ind w:right="41"/>
      </w:pPr>
      <w:r>
        <w:lastRenderedPageBreak/>
        <w:t>We</w:t>
      </w:r>
      <w:r w:rsidR="008D2A44">
        <w:t xml:space="preserve"> provide advice and information; individual, group and systemic advocacy; training and education; and a representative voice of people with disability nationally and internationally.</w:t>
      </w:r>
    </w:p>
    <w:p w14:paraId="7EF5F494" w14:textId="246CCA35" w:rsidR="000D032D" w:rsidRDefault="000D032D" w:rsidP="000C540A">
      <w:pPr>
        <w:pStyle w:val="BodyText"/>
        <w:ind w:right="41"/>
      </w:pPr>
      <w:r>
        <w:t>PWDA is apolitical, non-denominational and does not engage in or support any evangelical activities.</w:t>
      </w:r>
      <w:r w:rsidR="000C540A">
        <w:t xml:space="preserve"> </w:t>
      </w:r>
      <w:r w:rsidR="000C540A" w:rsidRPr="00B35DF4">
        <w:t>We are</w:t>
      </w:r>
      <w:r w:rsidR="000C540A">
        <w:t xml:space="preserve"> also</w:t>
      </w:r>
      <w:r w:rsidR="000C540A" w:rsidRPr="00B35DF4">
        <w:t xml:space="preserve"> a no</w:t>
      </w:r>
      <w:r w:rsidR="00DD2F7D">
        <w:t>t-for</w:t>
      </w:r>
      <w:r w:rsidR="000C540A" w:rsidRPr="00B35DF4">
        <w:t>-profit, no</w:t>
      </w:r>
      <w:r w:rsidR="000C540A">
        <w:t>n</w:t>
      </w:r>
      <w:r w:rsidR="000C540A" w:rsidRPr="00B35DF4">
        <w:t>-govern</w:t>
      </w:r>
      <w:r w:rsidR="000C540A">
        <w:t>ment organisation.</w:t>
      </w:r>
    </w:p>
    <w:p w14:paraId="40CBCE40" w14:textId="0F23C252" w:rsidR="001E46B6" w:rsidRDefault="00676481" w:rsidP="00676481">
      <w:pPr>
        <w:pStyle w:val="BodyText"/>
      </w:pPr>
      <w:r>
        <w:t>PWDA</w:t>
      </w:r>
      <w:r w:rsidR="001E46B6">
        <w:t xml:space="preserve"> may</w:t>
      </w:r>
      <w:r>
        <w:t xml:space="preserve"> partner with local faith-based organisations </w:t>
      </w:r>
      <w:r w:rsidR="001E46B6">
        <w:t>providing</w:t>
      </w:r>
      <w:r>
        <w:t xml:space="preserve"> </w:t>
      </w:r>
      <w:r w:rsidR="00E559C4">
        <w:t xml:space="preserve">that participation in their programs is not </w:t>
      </w:r>
      <w:r>
        <w:t>conditional on conversion or adherence to a particular religious denomination.</w:t>
      </w:r>
    </w:p>
    <w:p w14:paraId="5469DDC4" w14:textId="71F8314C" w:rsidR="009370A0" w:rsidRPr="00403616" w:rsidRDefault="002526E3" w:rsidP="003711C5">
      <w:r>
        <w:t xml:space="preserve">From time to time </w:t>
      </w:r>
      <w:r w:rsidR="00676481">
        <w:t xml:space="preserve">PWDA also partners with </w:t>
      </w:r>
      <w:r w:rsidR="00CF3820">
        <w:t xml:space="preserve">other </w:t>
      </w:r>
      <w:r w:rsidR="00676481">
        <w:t>advocacy organisations on the basis that their activities are not in support of a political party or candidate.</w:t>
      </w:r>
    </w:p>
    <w:p w14:paraId="182F49F8" w14:textId="47F3AEBD" w:rsidR="00676481" w:rsidRDefault="00676481" w:rsidP="003711C5">
      <w:r>
        <w:t xml:space="preserve">PWDA’s activities are funded primarily by </w:t>
      </w:r>
      <w:r w:rsidR="00E46133">
        <w:t>State</w:t>
      </w:r>
      <w:r>
        <w:t xml:space="preserve"> and Commonwealth Governments for specific activities and projects within Australia, including advocacy for disability inclusive development within Australia’s aid program.</w:t>
      </w:r>
    </w:p>
    <w:p w14:paraId="693568B6" w14:textId="787723F3" w:rsidR="00676481" w:rsidRPr="00A4115B" w:rsidRDefault="008C0292" w:rsidP="002A309E">
      <w:pPr>
        <w:pStyle w:val="Heading3"/>
        <w:rPr>
          <w:rFonts w:cs="Arial"/>
        </w:rPr>
      </w:pPr>
      <w:bookmarkStart w:id="8" w:name="_Toc213241625"/>
      <w:bookmarkStart w:id="9" w:name="_Toc213243396"/>
      <w:r>
        <w:t xml:space="preserve">Guiding </w:t>
      </w:r>
      <w:r w:rsidR="004E5F1F">
        <w:t>P</w:t>
      </w:r>
      <w:r w:rsidR="00676481">
        <w:t>rinciples</w:t>
      </w:r>
      <w:bookmarkStart w:id="10" w:name="_Hlk8552989"/>
      <w:bookmarkEnd w:id="8"/>
      <w:bookmarkEnd w:id="9"/>
    </w:p>
    <w:p w14:paraId="0F68F324" w14:textId="77777777" w:rsidR="00A5077F" w:rsidRDefault="00676481" w:rsidP="00A5077F">
      <w:pPr>
        <w:pStyle w:val="BodyText"/>
        <w:spacing w:before="92"/>
      </w:pPr>
      <w:r>
        <w:t xml:space="preserve">PWDA supports and is committed to </w:t>
      </w:r>
      <w:r w:rsidR="00A5077F">
        <w:t>ensuring:</w:t>
      </w:r>
      <w:r>
        <w:t xml:space="preserve"> </w:t>
      </w:r>
    </w:p>
    <w:p w14:paraId="45A7B997" w14:textId="77777777" w:rsidR="00A5077F" w:rsidRDefault="00676481" w:rsidP="000356CB">
      <w:pPr>
        <w:pStyle w:val="BodyText"/>
        <w:numPr>
          <w:ilvl w:val="0"/>
          <w:numId w:val="22"/>
        </w:numPr>
        <w:spacing w:before="92"/>
      </w:pPr>
      <w:r>
        <w:t xml:space="preserve">accurate representation of our activities to the people </w:t>
      </w:r>
      <w:r>
        <w:rPr>
          <w:spacing w:val="-3"/>
        </w:rPr>
        <w:t xml:space="preserve">we </w:t>
      </w:r>
      <w:r>
        <w:t>work with, collaborative partners, donors and the</w:t>
      </w:r>
      <w:r>
        <w:rPr>
          <w:spacing w:val="-10"/>
        </w:rPr>
        <w:t xml:space="preserve"> </w:t>
      </w:r>
      <w:r>
        <w:t>public</w:t>
      </w:r>
    </w:p>
    <w:p w14:paraId="14543D50" w14:textId="77777777" w:rsidR="002C10DA" w:rsidRDefault="00676481" w:rsidP="000356CB">
      <w:pPr>
        <w:pStyle w:val="BodyText"/>
        <w:numPr>
          <w:ilvl w:val="0"/>
          <w:numId w:val="22"/>
        </w:numPr>
        <w:spacing w:before="92"/>
      </w:pPr>
      <w:r>
        <w:t xml:space="preserve">funds raised for aid and development purposes are not </w:t>
      </w:r>
      <w:r w:rsidRPr="00A5077F">
        <w:rPr>
          <w:spacing w:val="2"/>
        </w:rPr>
        <w:t xml:space="preserve">used </w:t>
      </w:r>
      <w:r>
        <w:t>to</w:t>
      </w:r>
      <w:r w:rsidRPr="00A5077F">
        <w:rPr>
          <w:spacing w:val="-38"/>
        </w:rPr>
        <w:t xml:space="preserve"> </w:t>
      </w:r>
      <w:r>
        <w:t xml:space="preserve">exploit people and communities who are vulnerable </w:t>
      </w:r>
    </w:p>
    <w:p w14:paraId="4C9FD52B" w14:textId="713B16A5" w:rsidR="00676481" w:rsidRPr="000356CB" w:rsidRDefault="002C10DA" w:rsidP="000356CB">
      <w:pPr>
        <w:pStyle w:val="BodyText"/>
        <w:numPr>
          <w:ilvl w:val="0"/>
          <w:numId w:val="22"/>
        </w:numPr>
        <w:spacing w:before="92"/>
      </w:pPr>
      <w:r>
        <w:t xml:space="preserve">no </w:t>
      </w:r>
      <w:r w:rsidR="00676481">
        <w:t xml:space="preserve">conditions or obligations </w:t>
      </w:r>
      <w:r>
        <w:t xml:space="preserve">are placed </w:t>
      </w:r>
      <w:r w:rsidR="00676481">
        <w:t xml:space="preserve">on recipients in </w:t>
      </w:r>
      <w:r w:rsidR="00676481" w:rsidRPr="00A5077F">
        <w:rPr>
          <w:spacing w:val="-3"/>
        </w:rPr>
        <w:t xml:space="preserve">terms </w:t>
      </w:r>
      <w:r w:rsidR="00676481">
        <w:t>of non-development, religious or political outcomes that would affect their access to services being</w:t>
      </w:r>
      <w:r w:rsidR="00676481" w:rsidRPr="00A5077F">
        <w:rPr>
          <w:spacing w:val="-6"/>
        </w:rPr>
        <w:t xml:space="preserve"> </w:t>
      </w:r>
      <w:r w:rsidR="00676481">
        <w:t>offered</w:t>
      </w:r>
      <w:r w:rsidR="003277EC">
        <w:t>.</w:t>
      </w:r>
    </w:p>
    <w:p w14:paraId="2AC1B514" w14:textId="77777777" w:rsidR="00676481" w:rsidRDefault="00676481" w:rsidP="00676481">
      <w:pPr>
        <w:pStyle w:val="BodyText"/>
      </w:pPr>
      <w:r>
        <w:t>Where there are components of partner programs which involve evangelical or partisan political activities, these will be promoted and accounted for separately.</w:t>
      </w:r>
    </w:p>
    <w:p w14:paraId="1BFFDA76" w14:textId="77777777" w:rsidR="009459D8" w:rsidRPr="002A309E" w:rsidRDefault="00676481" w:rsidP="002A309E">
      <w:pPr>
        <w:pStyle w:val="Heading3"/>
      </w:pPr>
      <w:bookmarkStart w:id="11" w:name="_Toc213241626"/>
      <w:bookmarkStart w:id="12" w:name="_Toc213243397"/>
      <w:bookmarkEnd w:id="10"/>
      <w:r w:rsidRPr="002A309E">
        <w:t>Aid and Development Activities</w:t>
      </w:r>
      <w:bookmarkEnd w:id="11"/>
      <w:bookmarkEnd w:id="12"/>
    </w:p>
    <w:p w14:paraId="207D1189" w14:textId="3E4C3E93" w:rsidR="00676481" w:rsidRPr="00431435" w:rsidRDefault="009459D8" w:rsidP="00027FB1">
      <w:pPr>
        <w:pStyle w:val="BodyText"/>
        <w:spacing w:before="1"/>
      </w:pPr>
      <w:r>
        <w:t xml:space="preserve">Aid </w:t>
      </w:r>
      <w:r w:rsidR="00676481" w:rsidRPr="00431435">
        <w:t>and development refers to the activities undertaken in order to reduce poverty and address global justice issues via direct engagement through community projects, emergency management, community education, advocacy, volunteer sending, provision of technical and professional services and resources, environmental protection and restoration, and promotion and protection of human rights.</w:t>
      </w:r>
    </w:p>
    <w:p w14:paraId="6C1D0562" w14:textId="5E1E6DBF" w:rsidR="00676481" w:rsidRDefault="00676481" w:rsidP="00676481">
      <w:pPr>
        <w:pStyle w:val="BodyText"/>
      </w:pPr>
      <w:r>
        <w:t>The concept of aid and development activities can be distinguished by the following principles:</w:t>
      </w:r>
    </w:p>
    <w:p w14:paraId="3064751E" w14:textId="5176015C" w:rsidR="00676481" w:rsidRDefault="00B64284" w:rsidP="00B64284">
      <w:pPr>
        <w:pStyle w:val="ListParagraph"/>
        <w:numPr>
          <w:ilvl w:val="0"/>
          <w:numId w:val="24"/>
        </w:numPr>
      </w:pPr>
      <w:r>
        <w:t>s</w:t>
      </w:r>
      <w:r w:rsidR="00676481">
        <w:t>trengths based approaches which encourage people and communities to create solutions for themselves</w:t>
      </w:r>
    </w:p>
    <w:p w14:paraId="18EDC4C3" w14:textId="3E6D7894" w:rsidR="00676481" w:rsidRDefault="00B64284" w:rsidP="00B64284">
      <w:pPr>
        <w:pStyle w:val="ListParagraph"/>
        <w:numPr>
          <w:ilvl w:val="0"/>
          <w:numId w:val="24"/>
        </w:numPr>
      </w:pPr>
      <w:r>
        <w:t>p</w:t>
      </w:r>
      <w:r w:rsidR="00676481">
        <w:t>rocesses that seek to address the causes of poverty</w:t>
      </w:r>
    </w:p>
    <w:p w14:paraId="74A21D8A" w14:textId="04E36C78" w:rsidR="00676481" w:rsidRDefault="00B64284" w:rsidP="00B64284">
      <w:pPr>
        <w:pStyle w:val="ListParagraph"/>
        <w:numPr>
          <w:ilvl w:val="0"/>
          <w:numId w:val="24"/>
        </w:numPr>
      </w:pPr>
      <w:r>
        <w:t>p</w:t>
      </w:r>
      <w:r w:rsidR="00676481">
        <w:t>rocesses that seek to empower rights holders to claim their rights and ensure duty bearers exercise their duties</w:t>
      </w:r>
    </w:p>
    <w:p w14:paraId="6AFA6781" w14:textId="77777777" w:rsidR="00072A25" w:rsidRDefault="00B64284" w:rsidP="00B64284">
      <w:pPr>
        <w:pStyle w:val="ListParagraph"/>
        <w:numPr>
          <w:ilvl w:val="0"/>
          <w:numId w:val="24"/>
        </w:numPr>
      </w:pPr>
      <w:r>
        <w:t>s</w:t>
      </w:r>
      <w:r w:rsidR="00676481">
        <w:t>upporting systems and structure</w:t>
      </w:r>
      <w:r w:rsidR="00072A25">
        <w:t>s</w:t>
      </w:r>
      <w:r w:rsidR="00676481">
        <w:t xml:space="preserve"> which enable people to move out of poverty </w:t>
      </w:r>
    </w:p>
    <w:p w14:paraId="0A5439E3" w14:textId="2361A23F" w:rsidR="00676481" w:rsidRDefault="00072A25" w:rsidP="00B64284">
      <w:pPr>
        <w:pStyle w:val="ListParagraph"/>
        <w:numPr>
          <w:ilvl w:val="0"/>
          <w:numId w:val="24"/>
        </w:numPr>
      </w:pPr>
      <w:r>
        <w:t>e</w:t>
      </w:r>
      <w:r w:rsidR="00676481">
        <w:t>mergency relief, disaster recovery and meeting the immediate needs of refugees</w:t>
      </w:r>
    </w:p>
    <w:p w14:paraId="5B4A0F51" w14:textId="5A6398CB" w:rsidR="00F51725" w:rsidRDefault="00676481" w:rsidP="00F51725">
      <w:pPr>
        <w:pStyle w:val="ListParagraph"/>
        <w:numPr>
          <w:ilvl w:val="0"/>
          <w:numId w:val="24"/>
        </w:numPr>
      </w:pPr>
      <w:r>
        <w:t>and internally displace</w:t>
      </w:r>
      <w:r w:rsidR="00B64284">
        <w:t>d</w:t>
      </w:r>
      <w:r>
        <w:t xml:space="preserve"> peoples</w:t>
      </w:r>
      <w:r w:rsidR="00B64284">
        <w:t>.</w:t>
      </w:r>
    </w:p>
    <w:p w14:paraId="68915E6C" w14:textId="32584DE9" w:rsidR="009202B0" w:rsidRDefault="009202B0" w:rsidP="009202B0">
      <w:pPr>
        <w:pStyle w:val="BodyText"/>
        <w:spacing w:before="1"/>
      </w:pPr>
      <w:r>
        <w:t>Development activities seek to address the root causes of the need identified and in doing so, make a contribution to reducing that need in the long term.</w:t>
      </w:r>
    </w:p>
    <w:p w14:paraId="5CA011CF" w14:textId="697A7A4C" w:rsidR="00676481" w:rsidRPr="00196BC4" w:rsidRDefault="00676481" w:rsidP="002A309E">
      <w:pPr>
        <w:pStyle w:val="Heading3"/>
      </w:pPr>
      <w:bookmarkStart w:id="13" w:name="_TOC_250004"/>
      <w:bookmarkStart w:id="14" w:name="_Toc213241627"/>
      <w:bookmarkStart w:id="15" w:name="_Toc213243398"/>
      <w:r w:rsidRPr="00196BC4">
        <w:t>Non-</w:t>
      </w:r>
      <w:r w:rsidR="00245347">
        <w:t xml:space="preserve">aid and </w:t>
      </w:r>
      <w:r w:rsidRPr="00196BC4">
        <w:t>Development</w:t>
      </w:r>
      <w:r w:rsidRPr="00196BC4">
        <w:rPr>
          <w:spacing w:val="3"/>
        </w:rPr>
        <w:t xml:space="preserve"> </w:t>
      </w:r>
      <w:bookmarkEnd w:id="13"/>
      <w:r w:rsidRPr="00196BC4">
        <w:t>Activities</w:t>
      </w:r>
      <w:bookmarkEnd w:id="14"/>
      <w:bookmarkEnd w:id="15"/>
    </w:p>
    <w:p w14:paraId="1418D8E0" w14:textId="5B400ECF" w:rsidR="00676481" w:rsidRPr="00760B3F" w:rsidRDefault="00676481" w:rsidP="00760B3F">
      <w:pPr>
        <w:pStyle w:val="BodyText"/>
        <w:spacing w:before="1"/>
        <w:ind w:right="172"/>
      </w:pPr>
      <w:r w:rsidRPr="007B2DDE">
        <w:rPr>
          <w:b/>
          <w:bCs/>
        </w:rPr>
        <w:t>Partisan politic</w:t>
      </w:r>
      <w:r w:rsidR="00A16D3E">
        <w:rPr>
          <w:b/>
          <w:bCs/>
        </w:rPr>
        <w:t>s</w:t>
      </w:r>
      <w:r w:rsidR="00760B3F">
        <w:t xml:space="preserve"> – </w:t>
      </w:r>
      <w:r w:rsidRPr="00B11700">
        <w:t xml:space="preserve">are </w:t>
      </w:r>
      <w:r w:rsidR="00A16D3E">
        <w:t xml:space="preserve">activities </w:t>
      </w:r>
      <w:r w:rsidRPr="00B11700">
        <w:t>that are associated with facilitating or supporting specific political activities to gain power.</w:t>
      </w:r>
      <w:r>
        <w:t xml:space="preserve"> </w:t>
      </w:r>
      <w:r w:rsidRPr="00B11700">
        <w:t xml:space="preserve">This does not include advocacy which is aimed at persuading and influencing decision makers and opinion </w:t>
      </w:r>
      <w:r w:rsidR="003471E8" w:rsidRPr="00B11700">
        <w:t>leaders and</w:t>
      </w:r>
      <w:r w:rsidRPr="00B11700">
        <w:t xml:space="preserve"> is not aimed at promoting partisan political objectives</w:t>
      </w:r>
      <w:r w:rsidR="00760B3F">
        <w:t>.</w:t>
      </w:r>
    </w:p>
    <w:p w14:paraId="1844BD74" w14:textId="7FEB2B5E" w:rsidR="00676481" w:rsidRPr="00B11700" w:rsidRDefault="00676481" w:rsidP="00676481">
      <w:pPr>
        <w:pStyle w:val="BodyText"/>
        <w:ind w:right="145"/>
      </w:pPr>
      <w:r w:rsidRPr="00760B3F">
        <w:rPr>
          <w:b/>
          <w:bCs/>
        </w:rPr>
        <w:t>Evangelical</w:t>
      </w:r>
      <w:r w:rsidR="00516B88">
        <w:rPr>
          <w:b/>
          <w:bCs/>
        </w:rPr>
        <w:t xml:space="preserve"> or </w:t>
      </w:r>
      <w:r w:rsidR="000B7FC0">
        <w:rPr>
          <w:b/>
          <w:bCs/>
        </w:rPr>
        <w:t>proselytising</w:t>
      </w:r>
      <w:r w:rsidRPr="00760B3F">
        <w:rPr>
          <w:b/>
          <w:bCs/>
        </w:rPr>
        <w:t xml:space="preserve"> activities</w:t>
      </w:r>
      <w:r w:rsidR="003471E8">
        <w:rPr>
          <w:b/>
          <w:bCs/>
        </w:rPr>
        <w:t xml:space="preserve"> </w:t>
      </w:r>
      <w:r w:rsidR="003471E8" w:rsidRPr="003471E8">
        <w:t>– are</w:t>
      </w:r>
      <w:r w:rsidRPr="00B11700">
        <w:t xml:space="preserve"> those activities that promote a particular religious adherence or are undertaken with the intention of converting individuals or groups </w:t>
      </w:r>
      <w:r>
        <w:t>from</w:t>
      </w:r>
      <w:r w:rsidRPr="00B11700">
        <w:t xml:space="preserve"> one faith and/or denominational affiliation to another.</w:t>
      </w:r>
    </w:p>
    <w:p w14:paraId="7D1FBD7A" w14:textId="43D53115" w:rsidR="00676481" w:rsidRDefault="00676481" w:rsidP="00193A49">
      <w:pPr>
        <w:pStyle w:val="BodyText"/>
        <w:ind w:right="107"/>
      </w:pPr>
      <w:r w:rsidRPr="00B11700">
        <w:t>For the purposes of making a distinction between aid and development and non-aid development activities as required by the ACFID Code of Conduct, any activity whose objectives include the promotion of religious adherence will be considered as a non-aid and development activity and will be managed and accounted for separately.</w:t>
      </w:r>
    </w:p>
    <w:p w14:paraId="1B4505E4" w14:textId="3F1AAB2E" w:rsidR="00551130" w:rsidRDefault="00551130" w:rsidP="002A309E">
      <w:pPr>
        <w:pStyle w:val="Heading3"/>
      </w:pPr>
      <w:bookmarkStart w:id="16" w:name="_Toc213241628"/>
      <w:bookmarkStart w:id="17" w:name="_Toc213243399"/>
      <w:r>
        <w:t>Definitions</w:t>
      </w:r>
      <w:bookmarkEnd w:id="16"/>
      <w:bookmarkEnd w:id="17"/>
    </w:p>
    <w:p w14:paraId="2F21BA0D" w14:textId="50629E1A" w:rsidR="00FD524E" w:rsidRDefault="00551130" w:rsidP="009202B0">
      <w:pPr>
        <w:pStyle w:val="BodyText"/>
        <w:spacing w:before="1"/>
      </w:pPr>
      <w:r w:rsidRPr="00A6130E">
        <w:rPr>
          <w:b/>
          <w:bCs/>
        </w:rPr>
        <w:t>Development</w:t>
      </w:r>
      <w:r>
        <w:t xml:space="preserve"> - seeks to improve the conditions of communities in a sustainable way. It is based on working with communities, rather than on behalf of communities. Development is a process where a community of people work together to break the cycle of poverty and dependence so that their fundamental needs are met and the quality of their lives is enhanced. </w:t>
      </w:r>
    </w:p>
    <w:p w14:paraId="0725F43F" w14:textId="4766D739" w:rsidR="00964F32" w:rsidRPr="00964F32" w:rsidRDefault="00574DCB" w:rsidP="00B107BB">
      <w:pPr>
        <w:pStyle w:val="BodyText"/>
        <w:ind w:right="107"/>
      </w:pPr>
      <w:r>
        <w:rPr>
          <w:b/>
          <w:bCs/>
        </w:rPr>
        <w:t xml:space="preserve">Evangelical </w:t>
      </w:r>
      <w:r w:rsidR="00964F32" w:rsidRPr="00964F32">
        <w:t>–</w:t>
      </w:r>
      <w:r w:rsidRPr="00964F32">
        <w:t xml:space="preserve"> </w:t>
      </w:r>
      <w:r w:rsidR="007202C5">
        <w:t xml:space="preserve">belonging to </w:t>
      </w:r>
      <w:r w:rsidR="00D24A92">
        <w:t xml:space="preserve">a church </w:t>
      </w:r>
      <w:r w:rsidR="00195E8D">
        <w:t xml:space="preserve">or Christian group </w:t>
      </w:r>
      <w:r w:rsidR="00436B7C">
        <w:t xml:space="preserve">that </w:t>
      </w:r>
      <w:r w:rsidR="00817031">
        <w:t>has</w:t>
      </w:r>
      <w:r w:rsidR="00436B7C">
        <w:t xml:space="preserve"> a high regard </w:t>
      </w:r>
      <w:r w:rsidR="00EB5624">
        <w:t>for the bible</w:t>
      </w:r>
      <w:r w:rsidR="00384D86">
        <w:t>,</w:t>
      </w:r>
      <w:r w:rsidR="00EB5624">
        <w:t xml:space="preserve"> and</w:t>
      </w:r>
      <w:r w:rsidR="00195E8D">
        <w:t xml:space="preserve"> </w:t>
      </w:r>
      <w:r w:rsidR="0013151D">
        <w:t>believing</w:t>
      </w:r>
      <w:r w:rsidR="00964F32" w:rsidRPr="00964F32">
        <w:t xml:space="preserve"> the teaching of </w:t>
      </w:r>
      <w:r w:rsidR="00D50C54">
        <w:t>the</w:t>
      </w:r>
      <w:r w:rsidR="00964F32" w:rsidRPr="00964F32">
        <w:t xml:space="preserve"> </w:t>
      </w:r>
      <w:r w:rsidR="00B641AE">
        <w:t>g</w:t>
      </w:r>
      <w:r w:rsidR="00964F32" w:rsidRPr="00964F32">
        <w:t xml:space="preserve">ospel </w:t>
      </w:r>
      <w:r w:rsidR="007A6770">
        <w:t xml:space="preserve">and encouraging others to join them </w:t>
      </w:r>
      <w:r w:rsidR="00195E8D">
        <w:t>is extremely important</w:t>
      </w:r>
      <w:r w:rsidR="00964F32" w:rsidRPr="00964F32">
        <w:t>.</w:t>
      </w:r>
    </w:p>
    <w:p w14:paraId="4B02C0C0" w14:textId="18CCE2D0" w:rsidR="00FD524E" w:rsidRPr="00193A49" w:rsidRDefault="00FD524E" w:rsidP="00B107BB">
      <w:pPr>
        <w:pStyle w:val="BodyText"/>
        <w:ind w:right="107"/>
      </w:pPr>
      <w:r w:rsidRPr="009202B0">
        <w:rPr>
          <w:b/>
          <w:bCs/>
        </w:rPr>
        <w:t>Proselytising</w:t>
      </w:r>
      <w:r w:rsidR="00B107BB">
        <w:t xml:space="preserve"> – are those activities that promote a particular religious adherence or are undertaken with the intention of converting individuals or groups from one faith and/or denominational affiliation to another.</w:t>
      </w:r>
    </w:p>
    <w:p w14:paraId="7F44FBBC" w14:textId="77777777" w:rsidR="0010077B" w:rsidRDefault="0010077B" w:rsidP="002A309E">
      <w:pPr>
        <w:pStyle w:val="Heading3"/>
      </w:pPr>
      <w:bookmarkStart w:id="18" w:name="_Toc213241629"/>
      <w:bookmarkStart w:id="19" w:name="_Toc213243400"/>
      <w:r>
        <w:t>Compliance</w:t>
      </w:r>
      <w:bookmarkEnd w:id="18"/>
      <w:bookmarkEnd w:id="19"/>
    </w:p>
    <w:p w14:paraId="06B996D4" w14:textId="77777777" w:rsidR="00074A89" w:rsidRDefault="007C5246" w:rsidP="00676481">
      <w:pPr>
        <w:pStyle w:val="BodyText"/>
        <w:ind w:right="234"/>
      </w:pPr>
      <w:r>
        <w:t>This</w:t>
      </w:r>
      <w:r w:rsidR="00FC1B37" w:rsidRPr="00AA2CF3">
        <w:rPr>
          <w:b/>
          <w:bCs/>
        </w:rPr>
        <w:t xml:space="preserve"> </w:t>
      </w:r>
      <w:r w:rsidRPr="007C5246">
        <w:t>Policy</w:t>
      </w:r>
      <w:r w:rsidR="00676481" w:rsidRPr="00952609">
        <w:t xml:space="preserve"> provides a framework for PWDA compliance with the ACFID Code of Conduct</w:t>
      </w:r>
      <w:r w:rsidR="00074A89">
        <w:t>:</w:t>
      </w:r>
    </w:p>
    <w:p w14:paraId="760898C1" w14:textId="62C342EC" w:rsidR="00074A89" w:rsidRDefault="006048A6" w:rsidP="00D2730E">
      <w:pPr>
        <w:pStyle w:val="BodyText"/>
        <w:ind w:left="720" w:right="234"/>
      </w:pPr>
      <w:r w:rsidRPr="00074A89">
        <w:rPr>
          <w:b/>
          <w:bCs/>
        </w:rPr>
        <w:t>Commitment 7.3</w:t>
      </w:r>
      <w:r w:rsidR="00076E51">
        <w:t xml:space="preserve"> – We are accountable to our stakeholders</w:t>
      </w:r>
      <w:r w:rsidR="00D2730E">
        <w:t>.</w:t>
      </w:r>
    </w:p>
    <w:p w14:paraId="2B9EC291" w14:textId="77EB5277" w:rsidR="00676481" w:rsidRDefault="00015E0F" w:rsidP="00D2730E">
      <w:pPr>
        <w:pStyle w:val="BodyText"/>
        <w:ind w:left="720" w:right="234"/>
      </w:pPr>
      <w:r w:rsidRPr="00426BDD">
        <w:rPr>
          <w:b/>
          <w:bCs/>
        </w:rPr>
        <w:t>Compliance Indicator 7.3.2</w:t>
      </w:r>
      <w:r w:rsidR="00074A89">
        <w:t xml:space="preserve"> – Member development initiatives consistently demonstrate the separation of development activities from non-development activities</w:t>
      </w:r>
      <w:r w:rsidR="00D2730E">
        <w:t>.</w:t>
      </w:r>
    </w:p>
    <w:p w14:paraId="297849C8" w14:textId="60B2F766" w:rsidR="00676481" w:rsidRPr="001F55AF" w:rsidRDefault="00676481" w:rsidP="00676481">
      <w:pPr>
        <w:pStyle w:val="BodyText"/>
        <w:rPr>
          <w:b/>
          <w:bCs/>
        </w:rPr>
      </w:pPr>
      <w:r w:rsidRPr="001F55AF">
        <w:rPr>
          <w:b/>
          <w:bCs/>
        </w:rPr>
        <w:t>For all funding, PWDA abide</w:t>
      </w:r>
      <w:r w:rsidR="00BB4502" w:rsidRPr="001F55AF">
        <w:rPr>
          <w:b/>
          <w:bCs/>
        </w:rPr>
        <w:t>s</w:t>
      </w:r>
      <w:r w:rsidRPr="001F55AF">
        <w:rPr>
          <w:b/>
          <w:bCs/>
        </w:rPr>
        <w:t xml:space="preserve"> by funding guidelines and reporting requirements and demonstrate</w:t>
      </w:r>
      <w:r w:rsidR="00BB4502" w:rsidRPr="001F55AF">
        <w:rPr>
          <w:b/>
          <w:bCs/>
        </w:rPr>
        <w:t>s</w:t>
      </w:r>
      <w:r w:rsidRPr="001F55AF">
        <w:rPr>
          <w:b/>
          <w:bCs/>
        </w:rPr>
        <w:t xml:space="preserve"> that we have achieved the stipulated outcomes for the </w:t>
      </w:r>
      <w:r w:rsidR="00BB4502" w:rsidRPr="001F55AF">
        <w:rPr>
          <w:b/>
          <w:bCs/>
        </w:rPr>
        <w:t xml:space="preserve">funded </w:t>
      </w:r>
      <w:r w:rsidRPr="001F55AF">
        <w:rPr>
          <w:b/>
          <w:bCs/>
        </w:rPr>
        <w:t>activity</w:t>
      </w:r>
      <w:r w:rsidR="00BB4502" w:rsidRPr="001F55AF">
        <w:rPr>
          <w:b/>
          <w:bCs/>
        </w:rPr>
        <w:t>/ies.</w:t>
      </w:r>
    </w:p>
    <w:p w14:paraId="06B34930" w14:textId="77777777" w:rsidR="00676481" w:rsidRDefault="00676481" w:rsidP="002A309E">
      <w:pPr>
        <w:pStyle w:val="Heading3"/>
      </w:pPr>
      <w:bookmarkStart w:id="20" w:name="_Toc213241630"/>
      <w:bookmarkStart w:id="21" w:name="_Toc213243401"/>
      <w:r>
        <w:t>Procedure</w:t>
      </w:r>
      <w:bookmarkEnd w:id="20"/>
      <w:bookmarkEnd w:id="21"/>
      <w:r w:rsidRPr="00667E15">
        <w:t xml:space="preserve"> </w:t>
      </w:r>
    </w:p>
    <w:p w14:paraId="7C750178" w14:textId="6972631C" w:rsidR="00676481" w:rsidRDefault="007D34C5" w:rsidP="00404585">
      <w:pPr>
        <w:pStyle w:val="BodyText"/>
        <w:spacing w:before="93"/>
        <w:ind w:right="129"/>
      </w:pPr>
      <w:r>
        <w:t>We</w:t>
      </w:r>
      <w:r w:rsidR="00676481">
        <w:t xml:space="preserve"> ensure that PWDA and our partners can differentiate between development and non-development activity and communicate this appropriately to stakeholders, donors and the public</w:t>
      </w:r>
      <w:r w:rsidR="00644459">
        <w:t>:</w:t>
      </w:r>
    </w:p>
    <w:p w14:paraId="665226FA" w14:textId="372EF1F9" w:rsidR="00676481" w:rsidRPr="00404585" w:rsidRDefault="00676481" w:rsidP="00361864">
      <w:pPr>
        <w:pStyle w:val="ListParagraph"/>
        <w:numPr>
          <w:ilvl w:val="0"/>
          <w:numId w:val="29"/>
        </w:numPr>
      </w:pPr>
      <w:r>
        <w:t>PWDA will appraise all project proposals to determine whether they include non-aid and development</w:t>
      </w:r>
      <w:r w:rsidRPr="00AB18F1">
        <w:rPr>
          <w:spacing w:val="-1"/>
        </w:rPr>
        <w:t xml:space="preserve"> </w:t>
      </w:r>
      <w:r>
        <w:t>components</w:t>
      </w:r>
    </w:p>
    <w:p w14:paraId="0C711C3E" w14:textId="3910B363" w:rsidR="002C257B" w:rsidRDefault="00644459" w:rsidP="00361864">
      <w:pPr>
        <w:pStyle w:val="ListParagraph"/>
        <w:numPr>
          <w:ilvl w:val="0"/>
          <w:numId w:val="29"/>
        </w:numPr>
      </w:pPr>
      <w:r>
        <w:t>a</w:t>
      </w:r>
      <w:r w:rsidR="00676481">
        <w:t>ppraisers will record any issues, which must then be followed up to ensure that</w:t>
      </w:r>
      <w:r w:rsidR="00676481" w:rsidRPr="00AB18F1">
        <w:rPr>
          <w:spacing w:val="-37"/>
        </w:rPr>
        <w:t xml:space="preserve"> </w:t>
      </w:r>
      <w:r w:rsidR="00676481">
        <w:t>the policy requirements are satisfied before the project is</w:t>
      </w:r>
      <w:r w:rsidR="00676481" w:rsidRPr="00AB18F1">
        <w:rPr>
          <w:spacing w:val="-14"/>
        </w:rPr>
        <w:t xml:space="preserve"> </w:t>
      </w:r>
      <w:r w:rsidR="00676481">
        <w:t>approved</w:t>
      </w:r>
    </w:p>
    <w:p w14:paraId="4D33D009" w14:textId="1F05B580" w:rsidR="00676481" w:rsidRDefault="00644459" w:rsidP="00361864">
      <w:pPr>
        <w:pStyle w:val="ListParagraph"/>
        <w:numPr>
          <w:ilvl w:val="0"/>
          <w:numId w:val="29"/>
        </w:numPr>
      </w:pPr>
      <w:r>
        <w:t>p</w:t>
      </w:r>
      <w:r w:rsidR="00676481">
        <w:t xml:space="preserve">artner capacity assessment processes require PWDA to identify whether </w:t>
      </w:r>
      <w:r w:rsidR="002C257B">
        <w:t>a</w:t>
      </w:r>
      <w:r w:rsidR="00676481">
        <w:t xml:space="preserve"> partner is engaged in non-development activities, and if so, how it is able to</w:t>
      </w:r>
      <w:r w:rsidR="00AB18F1">
        <w:t xml:space="preserve"> </w:t>
      </w:r>
      <w:r w:rsidR="00947CB3">
        <w:t>manage and account for these activities separately</w:t>
      </w:r>
    </w:p>
    <w:p w14:paraId="57C0D7CA" w14:textId="15913A21" w:rsidR="00676481" w:rsidRDefault="006B3239" w:rsidP="00361864">
      <w:pPr>
        <w:pStyle w:val="ListParagraph"/>
        <w:numPr>
          <w:ilvl w:val="0"/>
          <w:numId w:val="29"/>
        </w:numPr>
      </w:pPr>
      <w:r>
        <w:t>i</w:t>
      </w:r>
      <w:r w:rsidR="00676481">
        <w:t>n-country project monitoring will include, where relevant, monitoring of the</w:t>
      </w:r>
      <w:r w:rsidR="00676481" w:rsidRPr="00AB18F1">
        <w:rPr>
          <w:spacing w:val="-43"/>
        </w:rPr>
        <w:t xml:space="preserve"> </w:t>
      </w:r>
      <w:r w:rsidR="00676481">
        <w:t>separation of non-development activities from aid and development</w:t>
      </w:r>
      <w:r w:rsidR="00676481" w:rsidRPr="00AB18F1">
        <w:rPr>
          <w:spacing w:val="-12"/>
        </w:rPr>
        <w:t xml:space="preserve"> </w:t>
      </w:r>
      <w:r w:rsidR="00676481">
        <w:t>activities</w:t>
      </w:r>
    </w:p>
    <w:p w14:paraId="5819A9FD" w14:textId="32DACAEB" w:rsidR="007A1191" w:rsidRDefault="0071564D" w:rsidP="00361864">
      <w:pPr>
        <w:pStyle w:val="ListParagraph"/>
        <w:numPr>
          <w:ilvl w:val="0"/>
          <w:numId w:val="29"/>
        </w:numPr>
      </w:pPr>
      <w:r>
        <w:t>communications material</w:t>
      </w:r>
      <w:r w:rsidR="00F2453C">
        <w:t>s</w:t>
      </w:r>
      <w:r>
        <w:t xml:space="preserve"> are reviewed prior to publication to ensure separation </w:t>
      </w:r>
      <w:r w:rsidR="00666D16">
        <w:t xml:space="preserve">of reporting and fundraising for development and non-development activities, e.g. </w:t>
      </w:r>
      <w:r w:rsidR="00970F40">
        <w:t xml:space="preserve">statement </w:t>
      </w:r>
      <w:r w:rsidR="0064422B">
        <w:t xml:space="preserve">on </w:t>
      </w:r>
      <w:r w:rsidR="0064422B" w:rsidRPr="0064422B">
        <w:t>international aid and development</w:t>
      </w:r>
      <w:r w:rsidR="0064422B">
        <w:t xml:space="preserve"> </w:t>
      </w:r>
      <w:r w:rsidR="00831678">
        <w:t xml:space="preserve">in audited financial statements published in our </w:t>
      </w:r>
      <w:r w:rsidR="00666D16">
        <w:t>Annual Reports</w:t>
      </w:r>
    </w:p>
    <w:p w14:paraId="409E1003" w14:textId="57907E46" w:rsidR="00F364CC" w:rsidRDefault="00F364CC" w:rsidP="00361864">
      <w:pPr>
        <w:pStyle w:val="ListParagraph"/>
        <w:numPr>
          <w:ilvl w:val="0"/>
          <w:numId w:val="29"/>
        </w:numPr>
      </w:pPr>
      <w:r>
        <w:t xml:space="preserve">where fundraising </w:t>
      </w:r>
      <w:r w:rsidR="00E13185">
        <w:t>solicitations</w:t>
      </w:r>
      <w:r>
        <w:t xml:space="preserve"> include reference to both development and non-development</w:t>
      </w:r>
      <w:r w:rsidR="00E13185">
        <w:t xml:space="preserve"> activities, they will be reviewed to </w:t>
      </w:r>
      <w:r w:rsidR="00E94A1C">
        <w:t>ensure that donors are provided with the choice of contribution to development activities only</w:t>
      </w:r>
    </w:p>
    <w:p w14:paraId="1CAB1A56" w14:textId="77777777" w:rsidR="00A86CCE" w:rsidRDefault="00162C1A" w:rsidP="00361864">
      <w:pPr>
        <w:pStyle w:val="ListParagraph"/>
        <w:numPr>
          <w:ilvl w:val="0"/>
          <w:numId w:val="29"/>
        </w:numPr>
      </w:pPr>
      <w:r>
        <w:t xml:space="preserve">funds raised for non-development </w:t>
      </w:r>
      <w:r w:rsidR="00624AAE">
        <w:t>activities</w:t>
      </w:r>
      <w:r>
        <w:t xml:space="preserve"> will be tracked, managed, reported and accounted for separately to those raised for </w:t>
      </w:r>
      <w:r w:rsidR="00624AAE">
        <w:t>development activities</w:t>
      </w:r>
    </w:p>
    <w:p w14:paraId="5A1144EF" w14:textId="12965189" w:rsidR="00E94A1C" w:rsidRDefault="00A86CCE" w:rsidP="00361864">
      <w:pPr>
        <w:pStyle w:val="ListParagraph"/>
        <w:numPr>
          <w:ilvl w:val="0"/>
          <w:numId w:val="29"/>
        </w:numPr>
      </w:pPr>
      <w:r>
        <w:t>ongoing communications with PWDA partners will reinforce the definitions of development non-development activities</w:t>
      </w:r>
      <w:r w:rsidR="00624AAE">
        <w:t>.</w:t>
      </w:r>
    </w:p>
    <w:p w14:paraId="2ACC8C3A" w14:textId="0FDC1A4A" w:rsidR="005B1BC6" w:rsidRPr="00E166AA" w:rsidRDefault="005B1BC6" w:rsidP="00F31C71">
      <w:pPr>
        <w:rPr>
          <w:b/>
          <w:bCs/>
        </w:rPr>
      </w:pPr>
      <w:r w:rsidRPr="00E166AA">
        <w:rPr>
          <w:b/>
          <w:bCs/>
        </w:rPr>
        <w:t xml:space="preserve">PWDA is committed to ensuring that funds and other resources designated for the purpose of </w:t>
      </w:r>
      <w:r w:rsidR="00092C13">
        <w:rPr>
          <w:b/>
          <w:bCs/>
        </w:rPr>
        <w:t xml:space="preserve">aid and </w:t>
      </w:r>
      <w:r w:rsidRPr="00E166AA">
        <w:rPr>
          <w:b/>
          <w:bCs/>
        </w:rPr>
        <w:t>development are used only for those purposes.</w:t>
      </w:r>
    </w:p>
    <w:p w14:paraId="0509DBEF" w14:textId="77777777" w:rsidR="00E26E66" w:rsidRDefault="00E26E66" w:rsidP="002A309E">
      <w:pPr>
        <w:pStyle w:val="Heading3"/>
      </w:pPr>
      <w:bookmarkStart w:id="22" w:name="_Toc213241631"/>
      <w:bookmarkStart w:id="23" w:name="_Toc213243402"/>
      <w:r>
        <w:t>Related Documents</w:t>
      </w:r>
      <w:bookmarkEnd w:id="22"/>
      <w:bookmarkEnd w:id="23"/>
    </w:p>
    <w:p w14:paraId="42E8900D" w14:textId="77777777" w:rsidR="002A39AA" w:rsidRDefault="002A39AA" w:rsidP="002A39AA">
      <w:pPr>
        <w:pStyle w:val="Heading4"/>
      </w:pPr>
      <w:r>
        <w:t>Legislation, regulations and standards</w:t>
      </w:r>
    </w:p>
    <w:p w14:paraId="0A1C0E67" w14:textId="097E6DF9" w:rsidR="00676481" w:rsidRPr="002A39AA" w:rsidRDefault="00C56AF9" w:rsidP="00092C13">
      <w:pPr>
        <w:pStyle w:val="ListParagraph"/>
        <w:numPr>
          <w:ilvl w:val="0"/>
          <w:numId w:val="30"/>
        </w:numPr>
      </w:pPr>
      <w:r>
        <w:t>Australian Council for International Development (ACFID)</w:t>
      </w:r>
      <w:r w:rsidR="00676481">
        <w:t xml:space="preserve"> Code of Conduct </w:t>
      </w:r>
    </w:p>
    <w:p w14:paraId="3C18009C" w14:textId="77E6C5F4" w:rsidR="00676481" w:rsidRDefault="002A39AA" w:rsidP="002A39AA">
      <w:pPr>
        <w:pStyle w:val="Heading4"/>
      </w:pPr>
      <w:r>
        <w:t>PWDA Policies</w:t>
      </w:r>
    </w:p>
    <w:p w14:paraId="461E6947" w14:textId="31B989E7" w:rsidR="005D6890" w:rsidRPr="00B8617C" w:rsidRDefault="00E26E66" w:rsidP="00092C13">
      <w:pPr>
        <w:pStyle w:val="ListParagraph"/>
        <w:numPr>
          <w:ilvl w:val="0"/>
          <w:numId w:val="31"/>
        </w:numPr>
      </w:pPr>
      <w:r>
        <w:t xml:space="preserve">Partner Engagement </w:t>
      </w:r>
      <w:r w:rsidR="00CB3C76">
        <w:t xml:space="preserve">and </w:t>
      </w:r>
      <w:r>
        <w:t>Collaboration Policy</w:t>
      </w:r>
      <w:r w:rsidR="00092C13">
        <w:t>.</w:t>
      </w:r>
    </w:p>
    <w:sectPr w:rsidR="005D6890" w:rsidRPr="00B8617C" w:rsidSect="00A339BE">
      <w:headerReference w:type="default" r:id="rId11"/>
      <w:footerReference w:type="default" r:id="rId12"/>
      <w:headerReference w:type="first" r:id="rId13"/>
      <w:footerReference w:type="first" r:id="rId14"/>
      <w:pgSz w:w="11906" w:h="16838"/>
      <w:pgMar w:top="1440" w:right="1440" w:bottom="1440" w:left="1440" w:header="107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BA2ED" w14:textId="77777777" w:rsidR="00C8471F" w:rsidRDefault="00C8471F" w:rsidP="00B8617C">
      <w:pPr>
        <w:spacing w:after="0" w:line="240" w:lineRule="auto"/>
      </w:pPr>
      <w:r>
        <w:separator/>
      </w:r>
    </w:p>
  </w:endnote>
  <w:endnote w:type="continuationSeparator" w:id="0">
    <w:p w14:paraId="1E3E2E99" w14:textId="77777777" w:rsidR="00C8471F" w:rsidRDefault="00C8471F" w:rsidP="00B8617C">
      <w:pPr>
        <w:spacing w:after="0" w:line="240" w:lineRule="auto"/>
      </w:pPr>
      <w:r>
        <w:continuationSeparator/>
      </w:r>
    </w:p>
  </w:endnote>
  <w:endnote w:type="continuationNotice" w:id="1">
    <w:p w14:paraId="3924B254" w14:textId="77777777" w:rsidR="00C8471F" w:rsidRDefault="00C84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B7FA" w14:textId="2C93DCDF" w:rsidR="00B8617C" w:rsidRPr="00B8617C" w:rsidRDefault="00B8617C" w:rsidP="00B8617C">
    <w:pPr>
      <w:pStyle w:val="Footer"/>
      <w:jc w:val="right"/>
      <w:rPr>
        <w:b/>
        <w:bCs/>
        <w:caps/>
        <w:noProof/>
        <w:color w:val="005496"/>
      </w:rPr>
    </w:pPr>
    <w:r w:rsidRPr="4D6E0607">
      <w:rPr>
        <w:b/>
        <w:bCs/>
        <w:caps/>
        <w:noProof/>
        <w:color w:val="005496"/>
      </w:rPr>
      <w:fldChar w:fldCharType="begin"/>
    </w:r>
    <w:r w:rsidRPr="4D6E0607">
      <w:rPr>
        <w:b/>
        <w:bCs/>
        <w:caps/>
        <w:color w:val="005496"/>
      </w:rPr>
      <w:instrText xml:space="preserve"> PAGE   \* MERGEFORMAT </w:instrText>
    </w:r>
    <w:r w:rsidRPr="4D6E0607">
      <w:rPr>
        <w:b/>
        <w:bCs/>
        <w:caps/>
        <w:color w:val="005496"/>
      </w:rPr>
      <w:fldChar w:fldCharType="separate"/>
    </w:r>
    <w:r w:rsidR="4D6E0607" w:rsidRPr="4D6E0607">
      <w:rPr>
        <w:b/>
        <w:bCs/>
        <w:caps/>
        <w:noProof/>
        <w:color w:val="005496"/>
      </w:rPr>
      <w:t>2</w:t>
    </w:r>
    <w:r w:rsidRPr="4D6E0607">
      <w:rPr>
        <w:b/>
        <w:bCs/>
        <w:caps/>
        <w:noProof/>
        <w:color w:val="005496"/>
      </w:rPr>
      <w:fldChar w:fldCharType="end"/>
    </w:r>
  </w:p>
  <w:p w14:paraId="76149FE6" w14:textId="5E0B1650" w:rsidR="00B8617C" w:rsidRPr="00B8617C" w:rsidRDefault="00676481" w:rsidP="4D6E0607">
    <w:pPr>
      <w:rPr>
        <w:b/>
        <w:bCs/>
        <w:noProof/>
        <w:color w:val="005496"/>
      </w:rPr>
    </w:pPr>
    <w:r>
      <w:rPr>
        <w:b/>
        <w:bCs/>
        <w:color w:val="005496"/>
      </w:rPr>
      <w:t>OPS-004 Non-development Activity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16F5" w14:textId="75448E93" w:rsidR="00B8617C" w:rsidRPr="00B8617C" w:rsidRDefault="00B8617C">
    <w:pPr>
      <w:pStyle w:val="Footer"/>
      <w:jc w:val="center"/>
      <w:rPr>
        <w:b/>
        <w:bCs/>
        <w:caps/>
        <w:noProof/>
        <w:color w:val="005496"/>
      </w:rPr>
    </w:pPr>
    <w:r w:rsidRPr="00B8617C">
      <w:rPr>
        <w:b/>
        <w:bCs/>
        <w:noProof/>
        <w:color w:val="005496"/>
      </w:rPr>
      <w:drawing>
        <wp:anchor distT="0" distB="0" distL="114300" distR="114300" simplePos="0" relativeHeight="251658240" behindDoc="1" locked="0" layoutInCell="1" allowOverlap="1" wp14:anchorId="076AFE2A" wp14:editId="2EA55572">
          <wp:simplePos x="0" y="0"/>
          <wp:positionH relativeFrom="page">
            <wp:posOffset>5934075</wp:posOffset>
          </wp:positionH>
          <wp:positionV relativeFrom="paragraph">
            <wp:posOffset>-786765</wp:posOffset>
          </wp:positionV>
          <wp:extent cx="1618500" cy="1446279"/>
          <wp:effectExtent l="0" t="0" r="127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18500" cy="1446279"/>
                  </a:xfrm>
                  <a:prstGeom prst="rect">
                    <a:avLst/>
                  </a:prstGeom>
                </pic:spPr>
              </pic:pic>
            </a:graphicData>
          </a:graphic>
          <wp14:sizeRelH relativeFrom="page">
            <wp14:pctWidth>0</wp14:pctWidth>
          </wp14:sizeRelH>
          <wp14:sizeRelV relativeFrom="page">
            <wp14:pctHeight>0</wp14:pctHeight>
          </wp14:sizeRelV>
        </wp:anchor>
      </w:drawing>
    </w:r>
  </w:p>
  <w:p w14:paraId="275A9B82" w14:textId="77777777" w:rsidR="00B8617C" w:rsidRDefault="00B86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9295" w14:textId="77777777" w:rsidR="00C8471F" w:rsidRDefault="00C8471F" w:rsidP="00B8617C">
      <w:pPr>
        <w:spacing w:after="0" w:line="240" w:lineRule="auto"/>
      </w:pPr>
      <w:r>
        <w:separator/>
      </w:r>
    </w:p>
  </w:footnote>
  <w:footnote w:type="continuationSeparator" w:id="0">
    <w:p w14:paraId="787F2246" w14:textId="77777777" w:rsidR="00C8471F" w:rsidRDefault="00C8471F" w:rsidP="00B8617C">
      <w:pPr>
        <w:spacing w:after="0" w:line="240" w:lineRule="auto"/>
      </w:pPr>
      <w:r>
        <w:continuationSeparator/>
      </w:r>
    </w:p>
  </w:footnote>
  <w:footnote w:type="continuationNotice" w:id="1">
    <w:p w14:paraId="428F3166" w14:textId="77777777" w:rsidR="00C8471F" w:rsidRDefault="00C847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2D3A" w14:textId="77777777" w:rsidR="00B8617C" w:rsidRDefault="00B8617C" w:rsidP="00B8617C">
    <w:pPr>
      <w:pStyle w:val="Header"/>
      <w:tabs>
        <w:tab w:val="clear" w:pos="2268"/>
        <w:tab w:val="left" w:pos="7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A992" w14:textId="77777777" w:rsidR="00B8617C" w:rsidRDefault="00B8617C">
    <w:pPr>
      <w:pStyle w:val="Header"/>
    </w:pPr>
    <w:r w:rsidRPr="006C757B">
      <w:rPr>
        <w:noProof/>
      </w:rPr>
      <w:drawing>
        <wp:anchor distT="0" distB="0" distL="114300" distR="114300" simplePos="0" relativeHeight="251658241" behindDoc="1" locked="0" layoutInCell="1" allowOverlap="1" wp14:anchorId="63F3B816" wp14:editId="17EA0268">
          <wp:simplePos x="0" y="0"/>
          <wp:positionH relativeFrom="column">
            <wp:posOffset>3571875</wp:posOffset>
          </wp:positionH>
          <wp:positionV relativeFrom="paragraph">
            <wp:posOffset>-257810</wp:posOffset>
          </wp:positionV>
          <wp:extent cx="2927350" cy="1080135"/>
          <wp:effectExtent l="0" t="0" r="0" b="0"/>
          <wp:wrapNone/>
          <wp:docPr id="2135109292" name="Picture 2135109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2457" t="16396" r="5305" b="-6727"/>
                  <a:stretch/>
                </pic:blipFill>
                <pic:spPr bwMode="auto">
                  <a:xfrm>
                    <a:off x="0" y="0"/>
                    <a:ext cx="2927350" cy="108013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CC7"/>
    <w:multiLevelType w:val="hybridMultilevel"/>
    <w:tmpl w:val="6E844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D2DD6"/>
    <w:multiLevelType w:val="hybridMultilevel"/>
    <w:tmpl w:val="52AC02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5C26C1"/>
    <w:multiLevelType w:val="hybridMultilevel"/>
    <w:tmpl w:val="D7D83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6173A"/>
    <w:multiLevelType w:val="hybridMultilevel"/>
    <w:tmpl w:val="92788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B96B31"/>
    <w:multiLevelType w:val="hybridMultilevel"/>
    <w:tmpl w:val="FAFAD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CD434F"/>
    <w:multiLevelType w:val="hybridMultilevel"/>
    <w:tmpl w:val="C3B46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4A7E95"/>
    <w:multiLevelType w:val="hybridMultilevel"/>
    <w:tmpl w:val="C0E4A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166C58"/>
    <w:multiLevelType w:val="hybridMultilevel"/>
    <w:tmpl w:val="86A4E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B824F5"/>
    <w:multiLevelType w:val="hybridMultilevel"/>
    <w:tmpl w:val="08CE1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BC4477"/>
    <w:multiLevelType w:val="multilevel"/>
    <w:tmpl w:val="9DECD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7473A"/>
    <w:multiLevelType w:val="hybridMultilevel"/>
    <w:tmpl w:val="76A86A4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053D52"/>
    <w:multiLevelType w:val="hybridMultilevel"/>
    <w:tmpl w:val="7564DBC0"/>
    <w:lvl w:ilvl="0" w:tplc="655E217C">
      <w:start w:val="1"/>
      <w:numFmt w:val="bullet"/>
      <w:lvlText w:val=""/>
      <w:lvlJc w:val="left"/>
      <w:pPr>
        <w:ind w:left="360" w:hanging="360"/>
      </w:pPr>
      <w:rPr>
        <w:rFonts w:ascii="Symbol" w:hAnsi="Symbol" w:hint="default"/>
      </w:rPr>
    </w:lvl>
    <w:lvl w:ilvl="1" w:tplc="F1AABA7C" w:tentative="1">
      <w:start w:val="1"/>
      <w:numFmt w:val="bullet"/>
      <w:lvlText w:val="o"/>
      <w:lvlJc w:val="left"/>
      <w:pPr>
        <w:ind w:left="1440" w:hanging="360"/>
      </w:pPr>
      <w:rPr>
        <w:rFonts w:ascii="Courier New" w:hAnsi="Courier New" w:cs="Courier New" w:hint="default"/>
      </w:rPr>
    </w:lvl>
    <w:lvl w:ilvl="2" w:tplc="B15A79B0" w:tentative="1">
      <w:start w:val="1"/>
      <w:numFmt w:val="bullet"/>
      <w:lvlText w:val=""/>
      <w:lvlJc w:val="left"/>
      <w:pPr>
        <w:ind w:left="2160" w:hanging="360"/>
      </w:pPr>
      <w:rPr>
        <w:rFonts w:ascii="Wingdings" w:hAnsi="Wingdings" w:hint="default"/>
      </w:rPr>
    </w:lvl>
    <w:lvl w:ilvl="3" w:tplc="DEE809A8" w:tentative="1">
      <w:start w:val="1"/>
      <w:numFmt w:val="bullet"/>
      <w:lvlText w:val=""/>
      <w:lvlJc w:val="left"/>
      <w:pPr>
        <w:ind w:left="2880" w:hanging="360"/>
      </w:pPr>
      <w:rPr>
        <w:rFonts w:ascii="Symbol" w:hAnsi="Symbol" w:hint="default"/>
      </w:rPr>
    </w:lvl>
    <w:lvl w:ilvl="4" w:tplc="C97E8C26" w:tentative="1">
      <w:start w:val="1"/>
      <w:numFmt w:val="bullet"/>
      <w:lvlText w:val="o"/>
      <w:lvlJc w:val="left"/>
      <w:pPr>
        <w:ind w:left="3600" w:hanging="360"/>
      </w:pPr>
      <w:rPr>
        <w:rFonts w:ascii="Courier New" w:hAnsi="Courier New" w:cs="Courier New" w:hint="default"/>
      </w:rPr>
    </w:lvl>
    <w:lvl w:ilvl="5" w:tplc="F2AC4CF6" w:tentative="1">
      <w:start w:val="1"/>
      <w:numFmt w:val="bullet"/>
      <w:lvlText w:val=""/>
      <w:lvlJc w:val="left"/>
      <w:pPr>
        <w:ind w:left="4320" w:hanging="360"/>
      </w:pPr>
      <w:rPr>
        <w:rFonts w:ascii="Wingdings" w:hAnsi="Wingdings" w:hint="default"/>
      </w:rPr>
    </w:lvl>
    <w:lvl w:ilvl="6" w:tplc="E924C642" w:tentative="1">
      <w:start w:val="1"/>
      <w:numFmt w:val="bullet"/>
      <w:lvlText w:val=""/>
      <w:lvlJc w:val="left"/>
      <w:pPr>
        <w:ind w:left="5040" w:hanging="360"/>
      </w:pPr>
      <w:rPr>
        <w:rFonts w:ascii="Symbol" w:hAnsi="Symbol" w:hint="default"/>
      </w:rPr>
    </w:lvl>
    <w:lvl w:ilvl="7" w:tplc="6BC0FE72" w:tentative="1">
      <w:start w:val="1"/>
      <w:numFmt w:val="bullet"/>
      <w:lvlText w:val="o"/>
      <w:lvlJc w:val="left"/>
      <w:pPr>
        <w:ind w:left="5760" w:hanging="360"/>
      </w:pPr>
      <w:rPr>
        <w:rFonts w:ascii="Courier New" w:hAnsi="Courier New" w:cs="Courier New" w:hint="default"/>
      </w:rPr>
    </w:lvl>
    <w:lvl w:ilvl="8" w:tplc="F64E97BC" w:tentative="1">
      <w:start w:val="1"/>
      <w:numFmt w:val="bullet"/>
      <w:lvlText w:val=""/>
      <w:lvlJc w:val="left"/>
      <w:pPr>
        <w:ind w:left="6480" w:hanging="360"/>
      </w:pPr>
      <w:rPr>
        <w:rFonts w:ascii="Wingdings" w:hAnsi="Wingdings" w:hint="default"/>
      </w:rPr>
    </w:lvl>
  </w:abstractNum>
  <w:abstractNum w:abstractNumId="12" w15:restartNumberingAfterBreak="0">
    <w:nsid w:val="33B261B8"/>
    <w:multiLevelType w:val="hybridMultilevel"/>
    <w:tmpl w:val="38CC4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646E68"/>
    <w:multiLevelType w:val="hybridMultilevel"/>
    <w:tmpl w:val="A14081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9A76D1"/>
    <w:multiLevelType w:val="hybridMultilevel"/>
    <w:tmpl w:val="0B1CA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226302"/>
    <w:multiLevelType w:val="multilevel"/>
    <w:tmpl w:val="35EA985A"/>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6" w15:restartNumberingAfterBreak="0">
    <w:nsid w:val="3BA20482"/>
    <w:multiLevelType w:val="hybridMultilevel"/>
    <w:tmpl w:val="30D6D2E2"/>
    <w:lvl w:ilvl="0" w:tplc="ACF26314">
      <w:numFmt w:val="bullet"/>
      <w:lvlText w:val=""/>
      <w:lvlJc w:val="left"/>
      <w:pPr>
        <w:ind w:left="419" w:hanging="284"/>
      </w:pPr>
      <w:rPr>
        <w:rFonts w:ascii="Symbol" w:eastAsia="Symbol" w:hAnsi="Symbol" w:cs="Symbol" w:hint="default"/>
        <w:w w:val="100"/>
        <w:sz w:val="24"/>
        <w:szCs w:val="24"/>
        <w:lang w:val="en-US" w:eastAsia="en-US" w:bidi="en-US"/>
      </w:rPr>
    </w:lvl>
    <w:lvl w:ilvl="1" w:tplc="6430DF04">
      <w:numFmt w:val="bullet"/>
      <w:lvlText w:val="•"/>
      <w:lvlJc w:val="left"/>
      <w:pPr>
        <w:ind w:left="1346" w:hanging="284"/>
      </w:pPr>
      <w:rPr>
        <w:rFonts w:hint="default"/>
        <w:lang w:val="en-US" w:eastAsia="en-US" w:bidi="en-US"/>
      </w:rPr>
    </w:lvl>
    <w:lvl w:ilvl="2" w:tplc="2EDC0D94">
      <w:numFmt w:val="bullet"/>
      <w:lvlText w:val="•"/>
      <w:lvlJc w:val="left"/>
      <w:pPr>
        <w:ind w:left="2272" w:hanging="284"/>
      </w:pPr>
      <w:rPr>
        <w:rFonts w:hint="default"/>
        <w:lang w:val="en-US" w:eastAsia="en-US" w:bidi="en-US"/>
      </w:rPr>
    </w:lvl>
    <w:lvl w:ilvl="3" w:tplc="3CF61E82">
      <w:numFmt w:val="bullet"/>
      <w:lvlText w:val="•"/>
      <w:lvlJc w:val="left"/>
      <w:pPr>
        <w:ind w:left="3198" w:hanging="284"/>
      </w:pPr>
      <w:rPr>
        <w:rFonts w:hint="default"/>
        <w:lang w:val="en-US" w:eastAsia="en-US" w:bidi="en-US"/>
      </w:rPr>
    </w:lvl>
    <w:lvl w:ilvl="4" w:tplc="DEBEB130">
      <w:numFmt w:val="bullet"/>
      <w:lvlText w:val="•"/>
      <w:lvlJc w:val="left"/>
      <w:pPr>
        <w:ind w:left="4124" w:hanging="284"/>
      </w:pPr>
      <w:rPr>
        <w:rFonts w:hint="default"/>
        <w:lang w:val="en-US" w:eastAsia="en-US" w:bidi="en-US"/>
      </w:rPr>
    </w:lvl>
    <w:lvl w:ilvl="5" w:tplc="08701496">
      <w:numFmt w:val="bullet"/>
      <w:lvlText w:val="•"/>
      <w:lvlJc w:val="left"/>
      <w:pPr>
        <w:ind w:left="5050" w:hanging="284"/>
      </w:pPr>
      <w:rPr>
        <w:rFonts w:hint="default"/>
        <w:lang w:val="en-US" w:eastAsia="en-US" w:bidi="en-US"/>
      </w:rPr>
    </w:lvl>
    <w:lvl w:ilvl="6" w:tplc="2412408E">
      <w:numFmt w:val="bullet"/>
      <w:lvlText w:val="•"/>
      <w:lvlJc w:val="left"/>
      <w:pPr>
        <w:ind w:left="5976" w:hanging="284"/>
      </w:pPr>
      <w:rPr>
        <w:rFonts w:hint="default"/>
        <w:lang w:val="en-US" w:eastAsia="en-US" w:bidi="en-US"/>
      </w:rPr>
    </w:lvl>
    <w:lvl w:ilvl="7" w:tplc="E116BAEC">
      <w:numFmt w:val="bullet"/>
      <w:lvlText w:val="•"/>
      <w:lvlJc w:val="left"/>
      <w:pPr>
        <w:ind w:left="6902" w:hanging="284"/>
      </w:pPr>
      <w:rPr>
        <w:rFonts w:hint="default"/>
        <w:lang w:val="en-US" w:eastAsia="en-US" w:bidi="en-US"/>
      </w:rPr>
    </w:lvl>
    <w:lvl w:ilvl="8" w:tplc="8CD2CF1E">
      <w:numFmt w:val="bullet"/>
      <w:lvlText w:val="•"/>
      <w:lvlJc w:val="left"/>
      <w:pPr>
        <w:ind w:left="7828" w:hanging="284"/>
      </w:pPr>
      <w:rPr>
        <w:rFonts w:hint="default"/>
        <w:lang w:val="en-US" w:eastAsia="en-US" w:bidi="en-US"/>
      </w:rPr>
    </w:lvl>
  </w:abstractNum>
  <w:abstractNum w:abstractNumId="17" w15:restartNumberingAfterBreak="0">
    <w:nsid w:val="3BB009C7"/>
    <w:multiLevelType w:val="hybridMultilevel"/>
    <w:tmpl w:val="6FB6F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490589"/>
    <w:multiLevelType w:val="hybridMultilevel"/>
    <w:tmpl w:val="7C2040AE"/>
    <w:lvl w:ilvl="0" w:tplc="0C09000F">
      <w:start w:val="1"/>
      <w:numFmt w:val="decimal"/>
      <w:lvlText w:val="%1."/>
      <w:lvlJc w:val="left"/>
      <w:pPr>
        <w:ind w:left="856" w:hanging="360"/>
      </w:pPr>
    </w:lvl>
    <w:lvl w:ilvl="1" w:tplc="0C090019" w:tentative="1">
      <w:start w:val="1"/>
      <w:numFmt w:val="lowerLetter"/>
      <w:lvlText w:val="%2."/>
      <w:lvlJc w:val="left"/>
      <w:pPr>
        <w:ind w:left="1576" w:hanging="360"/>
      </w:pPr>
    </w:lvl>
    <w:lvl w:ilvl="2" w:tplc="0C09001B" w:tentative="1">
      <w:start w:val="1"/>
      <w:numFmt w:val="lowerRoman"/>
      <w:lvlText w:val="%3."/>
      <w:lvlJc w:val="right"/>
      <w:pPr>
        <w:ind w:left="2296" w:hanging="180"/>
      </w:pPr>
    </w:lvl>
    <w:lvl w:ilvl="3" w:tplc="0C09000F" w:tentative="1">
      <w:start w:val="1"/>
      <w:numFmt w:val="decimal"/>
      <w:lvlText w:val="%4."/>
      <w:lvlJc w:val="left"/>
      <w:pPr>
        <w:ind w:left="3016" w:hanging="360"/>
      </w:pPr>
    </w:lvl>
    <w:lvl w:ilvl="4" w:tplc="0C090019" w:tentative="1">
      <w:start w:val="1"/>
      <w:numFmt w:val="lowerLetter"/>
      <w:lvlText w:val="%5."/>
      <w:lvlJc w:val="left"/>
      <w:pPr>
        <w:ind w:left="3736" w:hanging="360"/>
      </w:pPr>
    </w:lvl>
    <w:lvl w:ilvl="5" w:tplc="0C09001B" w:tentative="1">
      <w:start w:val="1"/>
      <w:numFmt w:val="lowerRoman"/>
      <w:lvlText w:val="%6."/>
      <w:lvlJc w:val="right"/>
      <w:pPr>
        <w:ind w:left="4456" w:hanging="180"/>
      </w:pPr>
    </w:lvl>
    <w:lvl w:ilvl="6" w:tplc="0C09000F" w:tentative="1">
      <w:start w:val="1"/>
      <w:numFmt w:val="decimal"/>
      <w:lvlText w:val="%7."/>
      <w:lvlJc w:val="left"/>
      <w:pPr>
        <w:ind w:left="5176" w:hanging="360"/>
      </w:pPr>
    </w:lvl>
    <w:lvl w:ilvl="7" w:tplc="0C090019" w:tentative="1">
      <w:start w:val="1"/>
      <w:numFmt w:val="lowerLetter"/>
      <w:lvlText w:val="%8."/>
      <w:lvlJc w:val="left"/>
      <w:pPr>
        <w:ind w:left="5896" w:hanging="360"/>
      </w:pPr>
    </w:lvl>
    <w:lvl w:ilvl="8" w:tplc="0C09001B" w:tentative="1">
      <w:start w:val="1"/>
      <w:numFmt w:val="lowerRoman"/>
      <w:lvlText w:val="%9."/>
      <w:lvlJc w:val="right"/>
      <w:pPr>
        <w:ind w:left="6616" w:hanging="180"/>
      </w:pPr>
    </w:lvl>
  </w:abstractNum>
  <w:abstractNum w:abstractNumId="19" w15:restartNumberingAfterBreak="0">
    <w:nsid w:val="3FE27B9A"/>
    <w:multiLevelType w:val="hybridMultilevel"/>
    <w:tmpl w:val="12F0D2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1FA68A8"/>
    <w:multiLevelType w:val="hybridMultilevel"/>
    <w:tmpl w:val="E4123DE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33167D"/>
    <w:multiLevelType w:val="hybridMultilevel"/>
    <w:tmpl w:val="DF6CD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B369FE"/>
    <w:multiLevelType w:val="multilevel"/>
    <w:tmpl w:val="10620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1E65ED"/>
    <w:multiLevelType w:val="hybridMultilevel"/>
    <w:tmpl w:val="E02C9AC6"/>
    <w:lvl w:ilvl="0" w:tplc="D7BE47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418491B"/>
    <w:multiLevelType w:val="hybridMultilevel"/>
    <w:tmpl w:val="B15217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B531784"/>
    <w:multiLevelType w:val="multilevel"/>
    <w:tmpl w:val="72BAB264"/>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26" w15:restartNumberingAfterBreak="0">
    <w:nsid w:val="6D147776"/>
    <w:multiLevelType w:val="hybridMultilevel"/>
    <w:tmpl w:val="7632ED5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38B6D25"/>
    <w:multiLevelType w:val="multilevel"/>
    <w:tmpl w:val="B9D49814"/>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28" w15:restartNumberingAfterBreak="0">
    <w:nsid w:val="79075663"/>
    <w:multiLevelType w:val="hybridMultilevel"/>
    <w:tmpl w:val="8092063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0007B0"/>
    <w:multiLevelType w:val="hybridMultilevel"/>
    <w:tmpl w:val="21924C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414C7A"/>
    <w:multiLevelType w:val="multilevel"/>
    <w:tmpl w:val="703AE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1650249">
    <w:abstractNumId w:val="22"/>
  </w:num>
  <w:num w:numId="2" w16cid:durableId="467936780">
    <w:abstractNumId w:val="30"/>
  </w:num>
  <w:num w:numId="3" w16cid:durableId="1745253764">
    <w:abstractNumId w:val="9"/>
  </w:num>
  <w:num w:numId="4" w16cid:durableId="379716337">
    <w:abstractNumId w:val="15"/>
  </w:num>
  <w:num w:numId="5" w16cid:durableId="2038044511">
    <w:abstractNumId w:val="27"/>
  </w:num>
  <w:num w:numId="6" w16cid:durableId="142742583">
    <w:abstractNumId w:val="19"/>
  </w:num>
  <w:num w:numId="7" w16cid:durableId="588464397">
    <w:abstractNumId w:val="24"/>
  </w:num>
  <w:num w:numId="8" w16cid:durableId="889878483">
    <w:abstractNumId w:val="6"/>
  </w:num>
  <w:num w:numId="9" w16cid:durableId="1531064230">
    <w:abstractNumId w:val="25"/>
  </w:num>
  <w:num w:numId="10" w16cid:durableId="591008365">
    <w:abstractNumId w:val="4"/>
  </w:num>
  <w:num w:numId="11" w16cid:durableId="984623794">
    <w:abstractNumId w:val="5"/>
  </w:num>
  <w:num w:numId="12" w16cid:durableId="277761013">
    <w:abstractNumId w:val="21"/>
  </w:num>
  <w:num w:numId="13" w16cid:durableId="556669923">
    <w:abstractNumId w:val="3"/>
  </w:num>
  <w:num w:numId="14" w16cid:durableId="1416852838">
    <w:abstractNumId w:val="2"/>
  </w:num>
  <w:num w:numId="15" w16cid:durableId="2102723220">
    <w:abstractNumId w:val="7"/>
  </w:num>
  <w:num w:numId="16" w16cid:durableId="2031836657">
    <w:abstractNumId w:val="16"/>
  </w:num>
  <w:num w:numId="17" w16cid:durableId="236139345">
    <w:abstractNumId w:val="29"/>
  </w:num>
  <w:num w:numId="18" w16cid:durableId="153646114">
    <w:abstractNumId w:val="1"/>
  </w:num>
  <w:num w:numId="19" w16cid:durableId="509488591">
    <w:abstractNumId w:val="18"/>
  </w:num>
  <w:num w:numId="20" w16cid:durableId="1202323887">
    <w:abstractNumId w:val="17"/>
  </w:num>
  <w:num w:numId="21" w16cid:durableId="1764456034">
    <w:abstractNumId w:val="26"/>
  </w:num>
  <w:num w:numId="22" w16cid:durableId="1029917513">
    <w:abstractNumId w:val="0"/>
  </w:num>
  <w:num w:numId="23" w16cid:durableId="102504359">
    <w:abstractNumId w:val="10"/>
  </w:num>
  <w:num w:numId="24" w16cid:durableId="1077897859">
    <w:abstractNumId w:val="20"/>
  </w:num>
  <w:num w:numId="25" w16cid:durableId="1086926349">
    <w:abstractNumId w:val="23"/>
  </w:num>
  <w:num w:numId="26" w16cid:durableId="1210874201">
    <w:abstractNumId w:val="11"/>
  </w:num>
  <w:num w:numId="27" w16cid:durableId="1665425602">
    <w:abstractNumId w:val="13"/>
  </w:num>
  <w:num w:numId="28" w16cid:durableId="1260606206">
    <w:abstractNumId w:val="12"/>
  </w:num>
  <w:num w:numId="29" w16cid:durableId="1760101297">
    <w:abstractNumId w:val="28"/>
  </w:num>
  <w:num w:numId="30" w16cid:durableId="572010026">
    <w:abstractNumId w:val="14"/>
  </w:num>
  <w:num w:numId="31" w16cid:durableId="20576997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D4"/>
    <w:rsid w:val="000042D0"/>
    <w:rsid w:val="00015E0F"/>
    <w:rsid w:val="00016DB9"/>
    <w:rsid w:val="00027FB1"/>
    <w:rsid w:val="000356CB"/>
    <w:rsid w:val="00061192"/>
    <w:rsid w:val="00067404"/>
    <w:rsid w:val="00072A25"/>
    <w:rsid w:val="00074A89"/>
    <w:rsid w:val="00076E51"/>
    <w:rsid w:val="0008587B"/>
    <w:rsid w:val="00087D65"/>
    <w:rsid w:val="00090B0C"/>
    <w:rsid w:val="00092C13"/>
    <w:rsid w:val="000A06C3"/>
    <w:rsid w:val="000A25D8"/>
    <w:rsid w:val="000A2F67"/>
    <w:rsid w:val="000B6734"/>
    <w:rsid w:val="000B7FC0"/>
    <w:rsid w:val="000B7FC5"/>
    <w:rsid w:val="000C540A"/>
    <w:rsid w:val="000D032D"/>
    <w:rsid w:val="000D6834"/>
    <w:rsid w:val="000E27E2"/>
    <w:rsid w:val="000E5BB1"/>
    <w:rsid w:val="000F38E1"/>
    <w:rsid w:val="0010077B"/>
    <w:rsid w:val="00103C51"/>
    <w:rsid w:val="001051F4"/>
    <w:rsid w:val="0010719A"/>
    <w:rsid w:val="0011148F"/>
    <w:rsid w:val="00120948"/>
    <w:rsid w:val="0013151D"/>
    <w:rsid w:val="00142EE4"/>
    <w:rsid w:val="0015342A"/>
    <w:rsid w:val="0015442A"/>
    <w:rsid w:val="00162C1A"/>
    <w:rsid w:val="00162DE0"/>
    <w:rsid w:val="00163914"/>
    <w:rsid w:val="00172C9F"/>
    <w:rsid w:val="00174A58"/>
    <w:rsid w:val="001841CC"/>
    <w:rsid w:val="00184C01"/>
    <w:rsid w:val="0019232E"/>
    <w:rsid w:val="00193A49"/>
    <w:rsid w:val="00194731"/>
    <w:rsid w:val="00195E8D"/>
    <w:rsid w:val="001963A6"/>
    <w:rsid w:val="00196BC4"/>
    <w:rsid w:val="00197C3D"/>
    <w:rsid w:val="001A348C"/>
    <w:rsid w:val="001B7C7E"/>
    <w:rsid w:val="001D1429"/>
    <w:rsid w:val="001E090F"/>
    <w:rsid w:val="001E46B6"/>
    <w:rsid w:val="001E61A4"/>
    <w:rsid w:val="001E692A"/>
    <w:rsid w:val="001F55AF"/>
    <w:rsid w:val="002012F5"/>
    <w:rsid w:val="0020756C"/>
    <w:rsid w:val="0021307A"/>
    <w:rsid w:val="00215A34"/>
    <w:rsid w:val="00220B15"/>
    <w:rsid w:val="002413B9"/>
    <w:rsid w:val="002440BC"/>
    <w:rsid w:val="00245347"/>
    <w:rsid w:val="002526E3"/>
    <w:rsid w:val="0025306F"/>
    <w:rsid w:val="0025602A"/>
    <w:rsid w:val="00264951"/>
    <w:rsid w:val="00272292"/>
    <w:rsid w:val="002833FE"/>
    <w:rsid w:val="00287170"/>
    <w:rsid w:val="00290758"/>
    <w:rsid w:val="002A309E"/>
    <w:rsid w:val="002A39AA"/>
    <w:rsid w:val="002B5981"/>
    <w:rsid w:val="002C10DA"/>
    <w:rsid w:val="002C257B"/>
    <w:rsid w:val="002D0029"/>
    <w:rsid w:val="002F1BE7"/>
    <w:rsid w:val="00300C0D"/>
    <w:rsid w:val="00301559"/>
    <w:rsid w:val="00302EF8"/>
    <w:rsid w:val="00303F24"/>
    <w:rsid w:val="00306708"/>
    <w:rsid w:val="00317F27"/>
    <w:rsid w:val="00321864"/>
    <w:rsid w:val="003277EC"/>
    <w:rsid w:val="0034242A"/>
    <w:rsid w:val="003471E8"/>
    <w:rsid w:val="00360C00"/>
    <w:rsid w:val="00361864"/>
    <w:rsid w:val="00364FC4"/>
    <w:rsid w:val="0037082F"/>
    <w:rsid w:val="003711C5"/>
    <w:rsid w:val="003713BF"/>
    <w:rsid w:val="003804CE"/>
    <w:rsid w:val="00382963"/>
    <w:rsid w:val="00384D86"/>
    <w:rsid w:val="00385748"/>
    <w:rsid w:val="003933E4"/>
    <w:rsid w:val="003974CF"/>
    <w:rsid w:val="003A669C"/>
    <w:rsid w:val="003B05D5"/>
    <w:rsid w:val="003D1660"/>
    <w:rsid w:val="003D71D4"/>
    <w:rsid w:val="003D71F8"/>
    <w:rsid w:val="003D7A23"/>
    <w:rsid w:val="003E2EFA"/>
    <w:rsid w:val="003E588A"/>
    <w:rsid w:val="003E733E"/>
    <w:rsid w:val="003F5737"/>
    <w:rsid w:val="003F7743"/>
    <w:rsid w:val="003F7A5D"/>
    <w:rsid w:val="00400C66"/>
    <w:rsid w:val="00402FFC"/>
    <w:rsid w:val="00403616"/>
    <w:rsid w:val="00404585"/>
    <w:rsid w:val="00405D20"/>
    <w:rsid w:val="00413820"/>
    <w:rsid w:val="00426BDD"/>
    <w:rsid w:val="00431435"/>
    <w:rsid w:val="00432881"/>
    <w:rsid w:val="00436B7C"/>
    <w:rsid w:val="00453344"/>
    <w:rsid w:val="00462FFB"/>
    <w:rsid w:val="00465729"/>
    <w:rsid w:val="00470BA2"/>
    <w:rsid w:val="00497E42"/>
    <w:rsid w:val="004B480E"/>
    <w:rsid w:val="004C16CA"/>
    <w:rsid w:val="004C3320"/>
    <w:rsid w:val="004D2A9C"/>
    <w:rsid w:val="004E2EEC"/>
    <w:rsid w:val="004E4F1B"/>
    <w:rsid w:val="004E5F1F"/>
    <w:rsid w:val="004F2B2C"/>
    <w:rsid w:val="004F7BAC"/>
    <w:rsid w:val="0050344F"/>
    <w:rsid w:val="00504F9E"/>
    <w:rsid w:val="005066E2"/>
    <w:rsid w:val="00516B88"/>
    <w:rsid w:val="00520D7C"/>
    <w:rsid w:val="0052168A"/>
    <w:rsid w:val="00546A0E"/>
    <w:rsid w:val="00551130"/>
    <w:rsid w:val="0057480A"/>
    <w:rsid w:val="00574DCB"/>
    <w:rsid w:val="00575F83"/>
    <w:rsid w:val="005860D3"/>
    <w:rsid w:val="00587EDA"/>
    <w:rsid w:val="005956B9"/>
    <w:rsid w:val="005B1BC6"/>
    <w:rsid w:val="005B4316"/>
    <w:rsid w:val="005D57A6"/>
    <w:rsid w:val="005D6890"/>
    <w:rsid w:val="00602AE6"/>
    <w:rsid w:val="006048A6"/>
    <w:rsid w:val="00606340"/>
    <w:rsid w:val="0060665C"/>
    <w:rsid w:val="00617E00"/>
    <w:rsid w:val="00624AAE"/>
    <w:rsid w:val="00625083"/>
    <w:rsid w:val="0064422B"/>
    <w:rsid w:val="00644459"/>
    <w:rsid w:val="00645714"/>
    <w:rsid w:val="00666D16"/>
    <w:rsid w:val="00670A63"/>
    <w:rsid w:val="00676481"/>
    <w:rsid w:val="00676686"/>
    <w:rsid w:val="006826A0"/>
    <w:rsid w:val="006871A2"/>
    <w:rsid w:val="00694E2E"/>
    <w:rsid w:val="006B3239"/>
    <w:rsid w:val="006B5260"/>
    <w:rsid w:val="006B6FC8"/>
    <w:rsid w:val="00701E7E"/>
    <w:rsid w:val="0070655A"/>
    <w:rsid w:val="0071564D"/>
    <w:rsid w:val="00717E62"/>
    <w:rsid w:val="007202C5"/>
    <w:rsid w:val="00727582"/>
    <w:rsid w:val="00742A06"/>
    <w:rsid w:val="007448D1"/>
    <w:rsid w:val="00751350"/>
    <w:rsid w:val="00760B3F"/>
    <w:rsid w:val="00766332"/>
    <w:rsid w:val="00784A8E"/>
    <w:rsid w:val="00786A86"/>
    <w:rsid w:val="00795539"/>
    <w:rsid w:val="007A1191"/>
    <w:rsid w:val="007A1334"/>
    <w:rsid w:val="007A21A5"/>
    <w:rsid w:val="007A6770"/>
    <w:rsid w:val="007A72DB"/>
    <w:rsid w:val="007B282A"/>
    <w:rsid w:val="007B2968"/>
    <w:rsid w:val="007B2DDE"/>
    <w:rsid w:val="007C5246"/>
    <w:rsid w:val="007D00DB"/>
    <w:rsid w:val="007D2CA5"/>
    <w:rsid w:val="007D34C5"/>
    <w:rsid w:val="007D6703"/>
    <w:rsid w:val="007F00E2"/>
    <w:rsid w:val="007F2678"/>
    <w:rsid w:val="00800768"/>
    <w:rsid w:val="0080324D"/>
    <w:rsid w:val="008037B4"/>
    <w:rsid w:val="0081068E"/>
    <w:rsid w:val="00817031"/>
    <w:rsid w:val="00823B8B"/>
    <w:rsid w:val="00831678"/>
    <w:rsid w:val="00836975"/>
    <w:rsid w:val="00844227"/>
    <w:rsid w:val="00844C64"/>
    <w:rsid w:val="008712B6"/>
    <w:rsid w:val="00885DF4"/>
    <w:rsid w:val="00896B04"/>
    <w:rsid w:val="008A2F0E"/>
    <w:rsid w:val="008A644D"/>
    <w:rsid w:val="008C0292"/>
    <w:rsid w:val="008D2A44"/>
    <w:rsid w:val="008F1D83"/>
    <w:rsid w:val="008F30A0"/>
    <w:rsid w:val="008F58E3"/>
    <w:rsid w:val="00905FBE"/>
    <w:rsid w:val="00907762"/>
    <w:rsid w:val="00910DFF"/>
    <w:rsid w:val="0091511D"/>
    <w:rsid w:val="009202B0"/>
    <w:rsid w:val="00923320"/>
    <w:rsid w:val="00925E8C"/>
    <w:rsid w:val="009370A0"/>
    <w:rsid w:val="00944CEA"/>
    <w:rsid w:val="009459D8"/>
    <w:rsid w:val="00947CB3"/>
    <w:rsid w:val="00950F89"/>
    <w:rsid w:val="009571BD"/>
    <w:rsid w:val="009579C9"/>
    <w:rsid w:val="009632A9"/>
    <w:rsid w:val="00964F32"/>
    <w:rsid w:val="00970F40"/>
    <w:rsid w:val="009714B6"/>
    <w:rsid w:val="009734BE"/>
    <w:rsid w:val="00974065"/>
    <w:rsid w:val="00987742"/>
    <w:rsid w:val="0099207C"/>
    <w:rsid w:val="009B272D"/>
    <w:rsid w:val="009B441B"/>
    <w:rsid w:val="009B5FD5"/>
    <w:rsid w:val="009B6694"/>
    <w:rsid w:val="009C731C"/>
    <w:rsid w:val="009D6EA3"/>
    <w:rsid w:val="00A038E0"/>
    <w:rsid w:val="00A123CC"/>
    <w:rsid w:val="00A16D3E"/>
    <w:rsid w:val="00A3092B"/>
    <w:rsid w:val="00A339BE"/>
    <w:rsid w:val="00A41FAD"/>
    <w:rsid w:val="00A43369"/>
    <w:rsid w:val="00A5077F"/>
    <w:rsid w:val="00A52C7A"/>
    <w:rsid w:val="00A56070"/>
    <w:rsid w:val="00A6130E"/>
    <w:rsid w:val="00A75352"/>
    <w:rsid w:val="00A86CCE"/>
    <w:rsid w:val="00A91D51"/>
    <w:rsid w:val="00A97F59"/>
    <w:rsid w:val="00AA12BD"/>
    <w:rsid w:val="00AA2CF3"/>
    <w:rsid w:val="00AA532F"/>
    <w:rsid w:val="00AB18F1"/>
    <w:rsid w:val="00AB38FD"/>
    <w:rsid w:val="00AC0856"/>
    <w:rsid w:val="00AC21C9"/>
    <w:rsid w:val="00AC2498"/>
    <w:rsid w:val="00AC2D5C"/>
    <w:rsid w:val="00AD5D0B"/>
    <w:rsid w:val="00AE17C1"/>
    <w:rsid w:val="00AE488B"/>
    <w:rsid w:val="00AF3C7A"/>
    <w:rsid w:val="00AF477F"/>
    <w:rsid w:val="00AF54A5"/>
    <w:rsid w:val="00AF6DD6"/>
    <w:rsid w:val="00B07920"/>
    <w:rsid w:val="00B107BB"/>
    <w:rsid w:val="00B463AA"/>
    <w:rsid w:val="00B5000C"/>
    <w:rsid w:val="00B53C33"/>
    <w:rsid w:val="00B62099"/>
    <w:rsid w:val="00B62472"/>
    <w:rsid w:val="00B641AE"/>
    <w:rsid w:val="00B64284"/>
    <w:rsid w:val="00B758DF"/>
    <w:rsid w:val="00B839F2"/>
    <w:rsid w:val="00B8617C"/>
    <w:rsid w:val="00BA046B"/>
    <w:rsid w:val="00BB18AC"/>
    <w:rsid w:val="00BB3CBC"/>
    <w:rsid w:val="00BB4502"/>
    <w:rsid w:val="00BB59D4"/>
    <w:rsid w:val="00BC1091"/>
    <w:rsid w:val="00BC31BE"/>
    <w:rsid w:val="00BD3CF2"/>
    <w:rsid w:val="00BF004A"/>
    <w:rsid w:val="00BF495A"/>
    <w:rsid w:val="00C0574F"/>
    <w:rsid w:val="00C109F3"/>
    <w:rsid w:val="00C15819"/>
    <w:rsid w:val="00C16D19"/>
    <w:rsid w:val="00C16E60"/>
    <w:rsid w:val="00C25D5E"/>
    <w:rsid w:val="00C44A88"/>
    <w:rsid w:val="00C47051"/>
    <w:rsid w:val="00C56AF9"/>
    <w:rsid w:val="00C80CC2"/>
    <w:rsid w:val="00C8471F"/>
    <w:rsid w:val="00C91433"/>
    <w:rsid w:val="00CA0E24"/>
    <w:rsid w:val="00CB3C76"/>
    <w:rsid w:val="00CC10D1"/>
    <w:rsid w:val="00CC61FD"/>
    <w:rsid w:val="00CE599E"/>
    <w:rsid w:val="00CE7921"/>
    <w:rsid w:val="00CF3820"/>
    <w:rsid w:val="00CF5932"/>
    <w:rsid w:val="00D031DD"/>
    <w:rsid w:val="00D07249"/>
    <w:rsid w:val="00D1279C"/>
    <w:rsid w:val="00D130E0"/>
    <w:rsid w:val="00D14319"/>
    <w:rsid w:val="00D23E77"/>
    <w:rsid w:val="00D24974"/>
    <w:rsid w:val="00D24A92"/>
    <w:rsid w:val="00D2730E"/>
    <w:rsid w:val="00D27F39"/>
    <w:rsid w:val="00D35B2C"/>
    <w:rsid w:val="00D50C54"/>
    <w:rsid w:val="00D57AED"/>
    <w:rsid w:val="00D670E4"/>
    <w:rsid w:val="00D6765D"/>
    <w:rsid w:val="00D73E5E"/>
    <w:rsid w:val="00D74B31"/>
    <w:rsid w:val="00D81439"/>
    <w:rsid w:val="00D82C20"/>
    <w:rsid w:val="00D83E95"/>
    <w:rsid w:val="00D9416E"/>
    <w:rsid w:val="00DA37D8"/>
    <w:rsid w:val="00DA79B7"/>
    <w:rsid w:val="00DB76D1"/>
    <w:rsid w:val="00DC0BAC"/>
    <w:rsid w:val="00DC6BFB"/>
    <w:rsid w:val="00DC7A3E"/>
    <w:rsid w:val="00DD2F7D"/>
    <w:rsid w:val="00DD4CA2"/>
    <w:rsid w:val="00DE6D71"/>
    <w:rsid w:val="00DF0D88"/>
    <w:rsid w:val="00E069A3"/>
    <w:rsid w:val="00E1099C"/>
    <w:rsid w:val="00E13185"/>
    <w:rsid w:val="00E1664A"/>
    <w:rsid w:val="00E166AA"/>
    <w:rsid w:val="00E24EFD"/>
    <w:rsid w:val="00E26E66"/>
    <w:rsid w:val="00E31478"/>
    <w:rsid w:val="00E43701"/>
    <w:rsid w:val="00E46133"/>
    <w:rsid w:val="00E559C4"/>
    <w:rsid w:val="00E561D1"/>
    <w:rsid w:val="00E73AF8"/>
    <w:rsid w:val="00E805D6"/>
    <w:rsid w:val="00E82BCA"/>
    <w:rsid w:val="00E85DE5"/>
    <w:rsid w:val="00E94A1C"/>
    <w:rsid w:val="00EA09D3"/>
    <w:rsid w:val="00EB338B"/>
    <w:rsid w:val="00EB5624"/>
    <w:rsid w:val="00EC366C"/>
    <w:rsid w:val="00EC5793"/>
    <w:rsid w:val="00EC5B93"/>
    <w:rsid w:val="00ED041C"/>
    <w:rsid w:val="00ED2F2B"/>
    <w:rsid w:val="00EE2C87"/>
    <w:rsid w:val="00EF3E2B"/>
    <w:rsid w:val="00F062C8"/>
    <w:rsid w:val="00F130F4"/>
    <w:rsid w:val="00F23220"/>
    <w:rsid w:val="00F2453C"/>
    <w:rsid w:val="00F31C71"/>
    <w:rsid w:val="00F364CC"/>
    <w:rsid w:val="00F51725"/>
    <w:rsid w:val="00F90595"/>
    <w:rsid w:val="00FA2637"/>
    <w:rsid w:val="00FA46A7"/>
    <w:rsid w:val="00FC1B37"/>
    <w:rsid w:val="00FC1D96"/>
    <w:rsid w:val="00FC53CF"/>
    <w:rsid w:val="00FC6101"/>
    <w:rsid w:val="00FD524E"/>
    <w:rsid w:val="00FE3A92"/>
    <w:rsid w:val="00FF0E9E"/>
    <w:rsid w:val="01CBAC37"/>
    <w:rsid w:val="02507564"/>
    <w:rsid w:val="026BFD05"/>
    <w:rsid w:val="04CCF323"/>
    <w:rsid w:val="05E7DC45"/>
    <w:rsid w:val="0A6EF022"/>
    <w:rsid w:val="0A7D6F77"/>
    <w:rsid w:val="0B297090"/>
    <w:rsid w:val="0C8D9DD1"/>
    <w:rsid w:val="0DA5BE3B"/>
    <w:rsid w:val="0DB9E566"/>
    <w:rsid w:val="0F048BE8"/>
    <w:rsid w:val="11BE2E45"/>
    <w:rsid w:val="12201CF0"/>
    <w:rsid w:val="12A75FF4"/>
    <w:rsid w:val="135A0CE2"/>
    <w:rsid w:val="19DCB5FB"/>
    <w:rsid w:val="1A3C6503"/>
    <w:rsid w:val="1ACE84A5"/>
    <w:rsid w:val="1AD5B566"/>
    <w:rsid w:val="1EA57D2B"/>
    <w:rsid w:val="1F3C6482"/>
    <w:rsid w:val="21ACD36F"/>
    <w:rsid w:val="21E5216A"/>
    <w:rsid w:val="24B674DF"/>
    <w:rsid w:val="24E39FAE"/>
    <w:rsid w:val="25EAD1F4"/>
    <w:rsid w:val="261E3E91"/>
    <w:rsid w:val="26264A8D"/>
    <w:rsid w:val="273E88F2"/>
    <w:rsid w:val="280E265B"/>
    <w:rsid w:val="2868EE7E"/>
    <w:rsid w:val="291652F4"/>
    <w:rsid w:val="2A4F35A6"/>
    <w:rsid w:val="2B0C994C"/>
    <w:rsid w:val="2FB91824"/>
    <w:rsid w:val="32BCADA8"/>
    <w:rsid w:val="364CDCBD"/>
    <w:rsid w:val="36E8443D"/>
    <w:rsid w:val="37850868"/>
    <w:rsid w:val="391EFEB7"/>
    <w:rsid w:val="3A40950E"/>
    <w:rsid w:val="3B8B1150"/>
    <w:rsid w:val="3C1EB9FC"/>
    <w:rsid w:val="3C90EAC8"/>
    <w:rsid w:val="3DFC4D66"/>
    <w:rsid w:val="3E6786E3"/>
    <w:rsid w:val="3F6A94BD"/>
    <w:rsid w:val="3F831476"/>
    <w:rsid w:val="40AFF1A9"/>
    <w:rsid w:val="4135AC43"/>
    <w:rsid w:val="41B9B2F4"/>
    <w:rsid w:val="425E7A45"/>
    <w:rsid w:val="42C5CB81"/>
    <w:rsid w:val="437897FD"/>
    <w:rsid w:val="44CE81EB"/>
    <w:rsid w:val="478112EF"/>
    <w:rsid w:val="4924D99C"/>
    <w:rsid w:val="4A469C15"/>
    <w:rsid w:val="4B315246"/>
    <w:rsid w:val="4B4A6682"/>
    <w:rsid w:val="4B4DF6AD"/>
    <w:rsid w:val="4D6E0607"/>
    <w:rsid w:val="4F5FFEF1"/>
    <w:rsid w:val="51E8FE19"/>
    <w:rsid w:val="52F6B0A5"/>
    <w:rsid w:val="55C5DF7A"/>
    <w:rsid w:val="597B1232"/>
    <w:rsid w:val="5992E918"/>
    <w:rsid w:val="5BF374B9"/>
    <w:rsid w:val="5D4B7AC7"/>
    <w:rsid w:val="5F2FAA69"/>
    <w:rsid w:val="60823C97"/>
    <w:rsid w:val="626EFB7B"/>
    <w:rsid w:val="6304AF0F"/>
    <w:rsid w:val="6377EB79"/>
    <w:rsid w:val="6601E5BB"/>
    <w:rsid w:val="6673DC45"/>
    <w:rsid w:val="68E1DD20"/>
    <w:rsid w:val="69293476"/>
    <w:rsid w:val="6BEAFF4F"/>
    <w:rsid w:val="6BEF9DDF"/>
    <w:rsid w:val="6C00BDB3"/>
    <w:rsid w:val="6F0E504B"/>
    <w:rsid w:val="71689D7C"/>
    <w:rsid w:val="72888F33"/>
    <w:rsid w:val="738209E4"/>
    <w:rsid w:val="74A87385"/>
    <w:rsid w:val="7889FB82"/>
    <w:rsid w:val="79A3B04C"/>
    <w:rsid w:val="79E36B48"/>
    <w:rsid w:val="7D97B870"/>
    <w:rsid w:val="7DD02BD7"/>
    <w:rsid w:val="7FBAB99A"/>
    <w:rsid w:val="7FF339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08E19"/>
  <w15:chartTrackingRefBased/>
  <w15:docId w15:val="{DBEF08F0-1DB3-4059-9310-1EACBA32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7C"/>
    <w:pPr>
      <w:spacing w:line="360" w:lineRule="auto"/>
    </w:pPr>
    <w:rPr>
      <w:rFonts w:ascii="Arial" w:hAnsi="Arial"/>
      <w:sz w:val="24"/>
    </w:rPr>
  </w:style>
  <w:style w:type="paragraph" w:styleId="Heading1">
    <w:name w:val="heading 1"/>
    <w:basedOn w:val="Normal"/>
    <w:next w:val="BodyText"/>
    <w:link w:val="Heading1Char"/>
    <w:autoRedefine/>
    <w:uiPriority w:val="1"/>
    <w:qFormat/>
    <w:rsid w:val="003804CE"/>
    <w:pPr>
      <w:keepNext/>
      <w:keepLines/>
      <w:spacing w:after="240" w:line="240" w:lineRule="auto"/>
      <w:outlineLvl w:val="0"/>
    </w:pPr>
    <w:rPr>
      <w:rFonts w:ascii="VAG Rounded" w:eastAsiaTheme="majorEastAsia" w:hAnsi="VAG Rounded" w:cstheme="majorBidi"/>
      <w:bCs/>
      <w:color w:val="000000" w:themeColor="text1"/>
      <w:spacing w:val="14"/>
      <w:kern w:val="0"/>
      <w:sz w:val="40"/>
      <w:szCs w:val="40"/>
    </w:rPr>
  </w:style>
  <w:style w:type="paragraph" w:styleId="Heading2">
    <w:name w:val="heading 2"/>
    <w:basedOn w:val="Normal"/>
    <w:next w:val="Normal"/>
    <w:link w:val="Heading2Char"/>
    <w:uiPriority w:val="9"/>
    <w:unhideWhenUsed/>
    <w:qFormat/>
    <w:rsid w:val="00AC21C9"/>
    <w:pPr>
      <w:keepNext/>
      <w:keepLines/>
      <w:spacing w:before="40" w:after="0"/>
      <w:outlineLvl w:val="1"/>
    </w:pPr>
    <w:rPr>
      <w:rFonts w:ascii="VAG Rounded" w:eastAsiaTheme="majorEastAsia" w:hAnsi="VAG Rounded" w:cstheme="majorBidi"/>
      <w:b/>
      <w:color w:val="005496"/>
      <w:sz w:val="40"/>
      <w:szCs w:val="26"/>
    </w:rPr>
  </w:style>
  <w:style w:type="paragraph" w:styleId="Heading3">
    <w:name w:val="heading 3"/>
    <w:basedOn w:val="Normal"/>
    <w:next w:val="Normal"/>
    <w:link w:val="Heading3Char"/>
    <w:autoRedefine/>
    <w:uiPriority w:val="9"/>
    <w:unhideWhenUsed/>
    <w:qFormat/>
    <w:rsid w:val="002A309E"/>
    <w:pPr>
      <w:keepNext/>
      <w:keepLines/>
      <w:spacing w:before="40" w:after="0"/>
      <w:outlineLvl w:val="2"/>
    </w:pPr>
    <w:rPr>
      <w:rFonts w:ascii="VAG Rounded" w:eastAsiaTheme="majorEastAsia" w:hAnsi="VAG Rounded" w:cstheme="majorBidi"/>
      <w:sz w:val="40"/>
      <w:szCs w:val="24"/>
    </w:rPr>
  </w:style>
  <w:style w:type="paragraph" w:styleId="Heading4">
    <w:name w:val="heading 4"/>
    <w:basedOn w:val="Normal"/>
    <w:next w:val="Normal"/>
    <w:link w:val="Heading4Char"/>
    <w:autoRedefine/>
    <w:uiPriority w:val="9"/>
    <w:unhideWhenUsed/>
    <w:qFormat/>
    <w:rsid w:val="003713BF"/>
    <w:pPr>
      <w:keepNext/>
      <w:keepLines/>
      <w:spacing w:before="40" w:after="0"/>
      <w:outlineLvl w:val="3"/>
    </w:pPr>
    <w:rPr>
      <w:rFonts w:eastAsia="Calibri" w:cstheme="majorBidi"/>
      <w:b/>
      <w:iCs/>
      <w:color w:val="000000" w:themeColor="text1"/>
      <w:sz w:val="28"/>
      <w:szCs w:val="28"/>
    </w:rPr>
  </w:style>
  <w:style w:type="paragraph" w:styleId="Heading5">
    <w:name w:val="heading 5"/>
    <w:basedOn w:val="Normal"/>
    <w:next w:val="Normal"/>
    <w:link w:val="Heading5Char"/>
    <w:autoRedefine/>
    <w:uiPriority w:val="9"/>
    <w:unhideWhenUsed/>
    <w:qFormat/>
    <w:rsid w:val="00AC21C9"/>
    <w:pPr>
      <w:keepNext/>
      <w:keepLines/>
      <w:spacing w:before="40" w:after="0"/>
      <w:outlineLvl w:val="4"/>
    </w:pPr>
    <w:rPr>
      <w:rFonts w:eastAsiaTheme="majorEastAsia" w:cstheme="majorBidi"/>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8E1"/>
    <w:pPr>
      <w:spacing w:before="100" w:beforeAutospacing="1" w:after="100" w:afterAutospacing="1" w:line="240" w:lineRule="auto"/>
    </w:pPr>
    <w:rPr>
      <w:rFonts w:ascii="Calibri" w:hAnsi="Calibri" w:cs="Calibri"/>
      <w:color w:val="FFFFFF"/>
      <w:kern w:val="0"/>
      <w:lang w:eastAsia="en-AU"/>
    </w:rPr>
  </w:style>
  <w:style w:type="character" w:styleId="Hyperlink">
    <w:name w:val="Hyperlink"/>
    <w:basedOn w:val="DefaultParagraphFont"/>
    <w:uiPriority w:val="99"/>
    <w:unhideWhenUsed/>
    <w:rsid w:val="000F38E1"/>
    <w:rPr>
      <w:color w:val="0000FF"/>
      <w:u w:val="single"/>
    </w:rPr>
  </w:style>
  <w:style w:type="character" w:styleId="Strong">
    <w:name w:val="Strong"/>
    <w:basedOn w:val="DefaultParagraphFont"/>
    <w:uiPriority w:val="22"/>
    <w:rsid w:val="000F38E1"/>
    <w:rPr>
      <w:b/>
      <w:bCs/>
    </w:rPr>
  </w:style>
  <w:style w:type="character" w:styleId="FollowedHyperlink">
    <w:name w:val="FollowedHyperlink"/>
    <w:basedOn w:val="DefaultParagraphFont"/>
    <w:uiPriority w:val="99"/>
    <w:semiHidden/>
    <w:unhideWhenUsed/>
    <w:rsid w:val="00B8617C"/>
    <w:rPr>
      <w:color w:val="954F72" w:themeColor="followedHyperlink"/>
      <w:u w:val="single"/>
    </w:rPr>
  </w:style>
  <w:style w:type="character" w:customStyle="1" w:styleId="Heading1Char">
    <w:name w:val="Heading 1 Char"/>
    <w:basedOn w:val="DefaultParagraphFont"/>
    <w:link w:val="Heading1"/>
    <w:uiPriority w:val="1"/>
    <w:rsid w:val="003804CE"/>
    <w:rPr>
      <w:rFonts w:ascii="VAG Rounded" w:eastAsiaTheme="majorEastAsia" w:hAnsi="VAG Rounded" w:cstheme="majorBidi"/>
      <w:bCs/>
      <w:color w:val="000000" w:themeColor="text1"/>
      <w:spacing w:val="14"/>
      <w:kern w:val="0"/>
      <w:sz w:val="40"/>
      <w:szCs w:val="40"/>
    </w:rPr>
  </w:style>
  <w:style w:type="paragraph" w:styleId="Header">
    <w:name w:val="header"/>
    <w:basedOn w:val="Normal"/>
    <w:link w:val="HeaderChar"/>
    <w:uiPriority w:val="99"/>
    <w:unhideWhenUsed/>
    <w:rsid w:val="00B8617C"/>
    <w:pPr>
      <w:tabs>
        <w:tab w:val="left" w:pos="2268"/>
      </w:tabs>
      <w:spacing w:after="0"/>
    </w:pPr>
    <w:rPr>
      <w:rFonts w:cs="Arial"/>
      <w:b/>
      <w:bCs/>
      <w:color w:val="4472C4" w:themeColor="accent1"/>
      <w:kern w:val="0"/>
      <w:szCs w:val="48"/>
    </w:rPr>
  </w:style>
  <w:style w:type="character" w:customStyle="1" w:styleId="HeaderChar">
    <w:name w:val="Header Char"/>
    <w:basedOn w:val="DefaultParagraphFont"/>
    <w:link w:val="Header"/>
    <w:uiPriority w:val="99"/>
    <w:rsid w:val="00B8617C"/>
    <w:rPr>
      <w:rFonts w:cs="Arial"/>
      <w:b/>
      <w:bCs/>
      <w:color w:val="4472C4" w:themeColor="accent1"/>
      <w:kern w:val="0"/>
      <w:sz w:val="24"/>
      <w:szCs w:val="48"/>
    </w:rPr>
  </w:style>
  <w:style w:type="paragraph" w:styleId="BodyText">
    <w:name w:val="Body Text"/>
    <w:basedOn w:val="Normal"/>
    <w:link w:val="BodyTextChar"/>
    <w:uiPriority w:val="1"/>
    <w:unhideWhenUsed/>
    <w:qFormat/>
    <w:rsid w:val="00B8617C"/>
    <w:pPr>
      <w:spacing w:after="120"/>
    </w:pPr>
  </w:style>
  <w:style w:type="character" w:customStyle="1" w:styleId="BodyTextChar">
    <w:name w:val="Body Text Char"/>
    <w:basedOn w:val="DefaultParagraphFont"/>
    <w:link w:val="BodyText"/>
    <w:uiPriority w:val="1"/>
    <w:rsid w:val="00B8617C"/>
  </w:style>
  <w:style w:type="paragraph" w:styleId="Footer">
    <w:name w:val="footer"/>
    <w:basedOn w:val="Normal"/>
    <w:link w:val="FooterChar"/>
    <w:uiPriority w:val="99"/>
    <w:unhideWhenUsed/>
    <w:rsid w:val="00B86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7C"/>
  </w:style>
  <w:style w:type="character" w:customStyle="1" w:styleId="Heading2Char">
    <w:name w:val="Heading 2 Char"/>
    <w:basedOn w:val="DefaultParagraphFont"/>
    <w:link w:val="Heading2"/>
    <w:uiPriority w:val="9"/>
    <w:rsid w:val="00AC21C9"/>
    <w:rPr>
      <w:rFonts w:ascii="VAG Rounded" w:eastAsiaTheme="majorEastAsia" w:hAnsi="VAG Rounded" w:cstheme="majorBidi"/>
      <w:b/>
      <w:color w:val="005496"/>
      <w:sz w:val="40"/>
      <w:szCs w:val="26"/>
    </w:rPr>
  </w:style>
  <w:style w:type="paragraph" w:styleId="TOC2">
    <w:name w:val="toc 2"/>
    <w:basedOn w:val="Normal"/>
    <w:next w:val="Normal"/>
    <w:autoRedefine/>
    <w:uiPriority w:val="39"/>
    <w:unhideWhenUsed/>
    <w:rsid w:val="00B8617C"/>
    <w:pPr>
      <w:spacing w:after="100"/>
      <w:ind w:left="240"/>
    </w:pPr>
  </w:style>
  <w:style w:type="paragraph" w:styleId="TOC1">
    <w:name w:val="toc 1"/>
    <w:basedOn w:val="Normal"/>
    <w:next w:val="Normal"/>
    <w:autoRedefine/>
    <w:uiPriority w:val="39"/>
    <w:unhideWhenUsed/>
    <w:rsid w:val="00B8617C"/>
    <w:pPr>
      <w:spacing w:after="100"/>
    </w:pPr>
  </w:style>
  <w:style w:type="paragraph" w:styleId="TOCHeading">
    <w:name w:val="TOC Heading"/>
    <w:basedOn w:val="Heading1"/>
    <w:next w:val="Normal"/>
    <w:uiPriority w:val="39"/>
    <w:unhideWhenUsed/>
    <w:rsid w:val="00B8617C"/>
    <w:pPr>
      <w:spacing w:line="259" w:lineRule="auto"/>
      <w:outlineLvl w:val="9"/>
    </w:pPr>
    <w:rPr>
      <w:rFonts w:asciiTheme="majorHAnsi" w:hAnsiTheme="majorHAnsi"/>
      <w:b/>
      <w:color w:val="2F5496" w:themeColor="accent1" w:themeShade="BF"/>
      <w:spacing w:val="0"/>
      <w:sz w:val="32"/>
      <w:lang w:val="en-US"/>
    </w:rPr>
  </w:style>
  <w:style w:type="paragraph" w:styleId="NoSpacing">
    <w:name w:val="No Spacing"/>
    <w:uiPriority w:val="1"/>
    <w:rsid w:val="00B8617C"/>
    <w:pPr>
      <w:spacing w:after="0" w:line="240" w:lineRule="auto"/>
    </w:pPr>
    <w:rPr>
      <w:rFonts w:ascii="Arial" w:hAnsi="Arial"/>
      <w:sz w:val="24"/>
    </w:rPr>
  </w:style>
  <w:style w:type="character" w:customStyle="1" w:styleId="Heading3Char">
    <w:name w:val="Heading 3 Char"/>
    <w:basedOn w:val="DefaultParagraphFont"/>
    <w:link w:val="Heading3"/>
    <w:uiPriority w:val="9"/>
    <w:rsid w:val="002A309E"/>
    <w:rPr>
      <w:rFonts w:ascii="VAG Rounded" w:eastAsiaTheme="majorEastAsia" w:hAnsi="VAG Rounded" w:cstheme="majorBidi"/>
      <w:sz w:val="40"/>
      <w:szCs w:val="24"/>
    </w:rPr>
  </w:style>
  <w:style w:type="character" w:styleId="Emphasis">
    <w:name w:val="Emphasis"/>
    <w:basedOn w:val="DefaultParagraphFont"/>
    <w:uiPriority w:val="20"/>
    <w:rsid w:val="00694E2E"/>
    <w:rPr>
      <w:i/>
      <w:iCs/>
    </w:rPr>
  </w:style>
  <w:style w:type="character" w:styleId="IntenseEmphasis">
    <w:name w:val="Intense Emphasis"/>
    <w:basedOn w:val="DefaultParagraphFont"/>
    <w:uiPriority w:val="21"/>
    <w:rsid w:val="00694E2E"/>
    <w:rPr>
      <w:i/>
      <w:iCs/>
      <w:color w:val="4472C4" w:themeColor="accent1"/>
    </w:rPr>
  </w:style>
  <w:style w:type="paragraph" w:styleId="Quote">
    <w:name w:val="Quote"/>
    <w:basedOn w:val="Normal"/>
    <w:next w:val="Normal"/>
    <w:link w:val="QuoteChar"/>
    <w:uiPriority w:val="29"/>
    <w:rsid w:val="00694E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94E2E"/>
    <w:rPr>
      <w:rFonts w:ascii="Arial" w:hAnsi="Arial"/>
      <w:i/>
      <w:iCs/>
      <w:color w:val="404040" w:themeColor="text1" w:themeTint="BF"/>
      <w:sz w:val="24"/>
    </w:rPr>
  </w:style>
  <w:style w:type="paragraph" w:styleId="ListParagraph">
    <w:name w:val="List Paragraph"/>
    <w:basedOn w:val="Normal"/>
    <w:link w:val="ListParagraphChar"/>
    <w:uiPriority w:val="99"/>
    <w:qFormat/>
    <w:rsid w:val="00694E2E"/>
    <w:pPr>
      <w:ind w:left="720"/>
      <w:contextualSpacing/>
    </w:pPr>
  </w:style>
  <w:style w:type="paragraph" w:styleId="Title">
    <w:name w:val="Title"/>
    <w:basedOn w:val="Normal"/>
    <w:next w:val="Normal"/>
    <w:link w:val="TitleChar"/>
    <w:uiPriority w:val="10"/>
    <w:rsid w:val="00694E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E2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3713BF"/>
    <w:rPr>
      <w:rFonts w:ascii="Arial" w:eastAsia="Calibri" w:hAnsi="Arial" w:cstheme="majorBidi"/>
      <w:b/>
      <w:iCs/>
      <w:color w:val="000000" w:themeColor="text1"/>
      <w:sz w:val="28"/>
      <w:szCs w:val="28"/>
    </w:rPr>
  </w:style>
  <w:style w:type="character" w:customStyle="1" w:styleId="Heading5Char">
    <w:name w:val="Heading 5 Char"/>
    <w:basedOn w:val="DefaultParagraphFont"/>
    <w:link w:val="Heading5"/>
    <w:uiPriority w:val="9"/>
    <w:rsid w:val="00AC21C9"/>
    <w:rPr>
      <w:rFonts w:ascii="Arial" w:eastAsiaTheme="majorEastAsia" w:hAnsi="Arial" w:cstheme="majorBidi"/>
      <w:b/>
      <w:color w:val="000000" w:themeColor="text1"/>
      <w:sz w:val="28"/>
    </w:rPr>
  </w:style>
  <w:style w:type="paragraph" w:styleId="TOC3">
    <w:name w:val="toc 3"/>
    <w:basedOn w:val="Normal"/>
    <w:next w:val="Normal"/>
    <w:autoRedefine/>
    <w:uiPriority w:val="39"/>
    <w:unhideWhenUsed/>
    <w:rsid w:val="00BB59D4"/>
    <w:pPr>
      <w:spacing w:after="100"/>
      <w:ind w:left="480"/>
    </w:pPr>
  </w:style>
  <w:style w:type="character" w:styleId="CommentReference">
    <w:name w:val="annotation reference"/>
    <w:basedOn w:val="DefaultParagraphFont"/>
    <w:uiPriority w:val="99"/>
    <w:semiHidden/>
    <w:unhideWhenUsed/>
    <w:rsid w:val="00402FFC"/>
    <w:rPr>
      <w:sz w:val="16"/>
      <w:szCs w:val="16"/>
    </w:rPr>
  </w:style>
  <w:style w:type="paragraph" w:styleId="CommentText">
    <w:name w:val="annotation text"/>
    <w:basedOn w:val="Normal"/>
    <w:link w:val="CommentTextChar"/>
    <w:uiPriority w:val="99"/>
    <w:unhideWhenUsed/>
    <w:rsid w:val="00402FFC"/>
    <w:pPr>
      <w:spacing w:line="240" w:lineRule="auto"/>
    </w:pPr>
    <w:rPr>
      <w:sz w:val="20"/>
      <w:szCs w:val="20"/>
    </w:rPr>
  </w:style>
  <w:style w:type="character" w:customStyle="1" w:styleId="CommentTextChar">
    <w:name w:val="Comment Text Char"/>
    <w:basedOn w:val="DefaultParagraphFont"/>
    <w:link w:val="CommentText"/>
    <w:uiPriority w:val="99"/>
    <w:rsid w:val="00402F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02FFC"/>
    <w:rPr>
      <w:b/>
      <w:bCs/>
    </w:rPr>
  </w:style>
  <w:style w:type="character" w:customStyle="1" w:styleId="CommentSubjectChar">
    <w:name w:val="Comment Subject Char"/>
    <w:basedOn w:val="CommentTextChar"/>
    <w:link w:val="CommentSubject"/>
    <w:uiPriority w:val="99"/>
    <w:semiHidden/>
    <w:rsid w:val="00402FFC"/>
    <w:rPr>
      <w:rFonts w:ascii="Arial" w:hAnsi="Arial"/>
      <w:b/>
      <w:bCs/>
      <w:sz w:val="20"/>
      <w:szCs w:val="20"/>
    </w:rPr>
  </w:style>
  <w:style w:type="paragraph" w:styleId="Revision">
    <w:name w:val="Revision"/>
    <w:hidden/>
    <w:uiPriority w:val="99"/>
    <w:semiHidden/>
    <w:rsid w:val="00402FFC"/>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2413B9"/>
    <w:rPr>
      <w:color w:val="605E5C"/>
      <w:shd w:val="clear" w:color="auto" w:fill="E1DFDD"/>
    </w:rPr>
  </w:style>
  <w:style w:type="character" w:customStyle="1" w:styleId="ListParagraphChar">
    <w:name w:val="List Paragraph Char"/>
    <w:basedOn w:val="DefaultParagraphFont"/>
    <w:link w:val="ListParagraph"/>
    <w:uiPriority w:val="99"/>
    <w:locked/>
    <w:rsid w:val="00A7535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48168">
      <w:bodyDiv w:val="1"/>
      <w:marLeft w:val="0"/>
      <w:marRight w:val="0"/>
      <w:marTop w:val="0"/>
      <w:marBottom w:val="0"/>
      <w:divBdr>
        <w:top w:val="none" w:sz="0" w:space="0" w:color="auto"/>
        <w:left w:val="none" w:sz="0" w:space="0" w:color="auto"/>
        <w:bottom w:val="none" w:sz="0" w:space="0" w:color="auto"/>
        <w:right w:val="none" w:sz="0" w:space="0" w:color="auto"/>
      </w:divBdr>
    </w:div>
    <w:div w:id="687604372">
      <w:bodyDiv w:val="1"/>
      <w:marLeft w:val="0"/>
      <w:marRight w:val="0"/>
      <w:marTop w:val="0"/>
      <w:marBottom w:val="0"/>
      <w:divBdr>
        <w:top w:val="none" w:sz="0" w:space="0" w:color="auto"/>
        <w:left w:val="none" w:sz="0" w:space="0" w:color="auto"/>
        <w:bottom w:val="none" w:sz="0" w:space="0" w:color="auto"/>
        <w:right w:val="none" w:sz="0" w:space="0" w:color="auto"/>
      </w:divBdr>
    </w:div>
    <w:div w:id="714889667">
      <w:bodyDiv w:val="1"/>
      <w:marLeft w:val="0"/>
      <w:marRight w:val="0"/>
      <w:marTop w:val="0"/>
      <w:marBottom w:val="0"/>
      <w:divBdr>
        <w:top w:val="none" w:sz="0" w:space="0" w:color="auto"/>
        <w:left w:val="none" w:sz="0" w:space="0" w:color="auto"/>
        <w:bottom w:val="none" w:sz="0" w:space="0" w:color="auto"/>
        <w:right w:val="none" w:sz="0" w:space="0" w:color="auto"/>
      </w:divBdr>
    </w:div>
    <w:div w:id="9270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orahKirby-Parsons\People%20with%20Disability%20Australia\Shared%20Data%20-%20Documents\PWDA%20Brand%20and%20Style%20Resources\PWDA%20Templates\PWDA%20Policy%20Template%202024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55c1a5d58d2afaecc3c798d24efcbcf9">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9e7556bcb248e3f4d8f6985234c4a570"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2726c10-34f2-49b5-8ce6-b6efaf8f9534">
      <UserInfo>
        <DisplayName>Tracie Junghans</DisplayName>
        <AccountId>247</AccountId>
        <AccountType/>
      </UserInfo>
      <UserInfo>
        <DisplayName>Deborah Kirby-Parsons</DisplayName>
        <AccountId>458</AccountId>
        <AccountType/>
      </UserInfo>
    </SharedWithUsers>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FBE14-0400-410A-A738-4E4574A28F86}"/>
</file>

<file path=customXml/itemProps2.xml><?xml version="1.0" encoding="utf-8"?>
<ds:datastoreItem xmlns:ds="http://schemas.openxmlformats.org/officeDocument/2006/customXml" ds:itemID="{B25BA648-AFFB-4600-83EC-849893DF8E18}">
  <ds:schemaRefs>
    <ds:schemaRef ds:uri="http://schemas.microsoft.com/sharepoint/v3/contenttype/forms"/>
  </ds:schemaRefs>
</ds:datastoreItem>
</file>

<file path=customXml/itemProps3.xml><?xml version="1.0" encoding="utf-8"?>
<ds:datastoreItem xmlns:ds="http://schemas.openxmlformats.org/officeDocument/2006/customXml" ds:itemID="{A1449B65-0939-48F7-AB4E-C896E9D0299B}">
  <ds:schemaRefs>
    <ds:schemaRef ds:uri="http://schemas.microsoft.com/office/2006/metadata/properties"/>
    <ds:schemaRef ds:uri="http://schemas.microsoft.com/office/infopath/2007/PartnerControls"/>
    <ds:schemaRef ds:uri="f988417e-f012-4943-9531-df0205d3ef85"/>
    <ds:schemaRef ds:uri="b304538c-0b03-4051-bebb-12d56389529b"/>
  </ds:schemaRefs>
</ds:datastoreItem>
</file>

<file path=customXml/itemProps4.xml><?xml version="1.0" encoding="utf-8"?>
<ds:datastoreItem xmlns:ds="http://schemas.openxmlformats.org/officeDocument/2006/customXml" ds:itemID="{F5C6A34E-4F1B-45FB-8413-AE33E131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PWDA Policy Template 2024_Final</Template>
  <TotalTime>307</TotalTime>
  <Pages>6</Pages>
  <Words>1196</Words>
  <Characters>7367</Characters>
  <Application>Microsoft Office Word</Application>
  <DocSecurity>0</DocSecurity>
  <Lines>161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Kirby-Parsons</dc:creator>
  <cp:keywords/>
  <dc:description/>
  <cp:lastModifiedBy>Deborah Kirby-Parsons</cp:lastModifiedBy>
  <cp:revision>195</cp:revision>
  <dcterms:created xsi:type="dcterms:W3CDTF">2025-09-03T00:41:00Z</dcterms:created>
  <dcterms:modified xsi:type="dcterms:W3CDTF">2025-11-16T23:36:00Z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MediaServiceImageTags">
    <vt:lpwstr/>
  </property>
</Properties>
</file>