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6504" w14:textId="0554F10E" w:rsidR="00B8617C" w:rsidRPr="000B7FC5" w:rsidRDefault="008E26BA" w:rsidP="4D6E0607">
      <w:pPr>
        <w:pStyle w:val="Heading1"/>
        <w:spacing w:before="480" w:after="480"/>
        <w:rPr>
          <w:rStyle w:val="Heading1Char"/>
          <w:color w:val="000000" w:themeColor="text1"/>
        </w:rPr>
      </w:pPr>
      <w:bookmarkStart w:id="0" w:name="_Hlk83653413"/>
      <w:r>
        <w:rPr>
          <w:rStyle w:val="Heading1Char"/>
          <w:color w:val="000000" w:themeColor="text1"/>
        </w:rPr>
        <w:t>OPS-</w:t>
      </w:r>
      <w:r w:rsidR="00B36EB8">
        <w:rPr>
          <w:rStyle w:val="Heading1Char"/>
          <w:color w:val="000000" w:themeColor="text1"/>
        </w:rPr>
        <w:t xml:space="preserve">007 </w:t>
      </w:r>
      <w:r>
        <w:rPr>
          <w:rStyle w:val="Heading1Char"/>
          <w:color w:val="000000" w:themeColor="text1"/>
        </w:rPr>
        <w:t>Preventing Sexual Exploitation, Abuse and Harassment Policy</w:t>
      </w:r>
    </w:p>
    <w:bookmarkEnd w:id="0"/>
    <w:p w14:paraId="2F649F49" w14:textId="3C503E69" w:rsidR="00B8617C" w:rsidRPr="003E5158" w:rsidRDefault="50D583C2" w:rsidP="0007609D">
      <w:pPr>
        <w:pStyle w:val="Header"/>
        <w:ind w:left="2268" w:hanging="2268"/>
        <w:rPr>
          <w:color w:val="000000" w:themeColor="text1"/>
        </w:rPr>
      </w:pPr>
      <w:r w:rsidRPr="7AE4F818">
        <w:rPr>
          <w:color w:val="000000" w:themeColor="text1"/>
        </w:rPr>
        <w:t>Applies to:</w:t>
      </w:r>
      <w:r>
        <w:tab/>
      </w:r>
      <w:r w:rsidR="7595BF98" w:rsidRPr="7AE4F818">
        <w:rPr>
          <w:color w:val="000000" w:themeColor="text1"/>
        </w:rPr>
        <w:t>All staff, volunteers, contractors, partner organisations, consultants and any person representing or working with the organisation</w:t>
      </w:r>
    </w:p>
    <w:p w14:paraId="2ADD71D7" w14:textId="74A06982" w:rsidR="00B8617C" w:rsidRPr="003E5158" w:rsidRDefault="50D583C2" w:rsidP="261E3E91">
      <w:pPr>
        <w:pStyle w:val="Header"/>
        <w:rPr>
          <w:color w:val="000000" w:themeColor="text1"/>
        </w:rPr>
      </w:pPr>
      <w:r w:rsidRPr="7AE4F818">
        <w:rPr>
          <w:color w:val="000000" w:themeColor="text1"/>
        </w:rPr>
        <w:t>Effective from:</w:t>
      </w:r>
      <w:r>
        <w:tab/>
      </w:r>
      <w:r w:rsidR="53012452" w:rsidRPr="7AE4F818">
        <w:rPr>
          <w:color w:val="000000" w:themeColor="text1"/>
        </w:rPr>
        <w:t>07 November 2025</w:t>
      </w:r>
    </w:p>
    <w:p w14:paraId="0C65192E" w14:textId="50EF917C" w:rsidR="00B8617C" w:rsidRPr="003E5158" w:rsidRDefault="50D583C2" w:rsidP="261E3E91">
      <w:pPr>
        <w:pStyle w:val="Header"/>
        <w:rPr>
          <w:color w:val="000000" w:themeColor="text1"/>
        </w:rPr>
      </w:pPr>
      <w:r w:rsidRPr="7AE4F818">
        <w:rPr>
          <w:color w:val="000000" w:themeColor="text1"/>
        </w:rPr>
        <w:t>Review date:</w:t>
      </w:r>
      <w:r>
        <w:tab/>
      </w:r>
      <w:r w:rsidR="53012452" w:rsidRPr="7AE4F818">
        <w:rPr>
          <w:color w:val="000000" w:themeColor="text1"/>
        </w:rPr>
        <w:t>06 November 2027</w:t>
      </w:r>
    </w:p>
    <w:p w14:paraId="01A7EFDF" w14:textId="65952340" w:rsidR="12201CF0" w:rsidRPr="003E5158" w:rsidRDefault="281CDD5A" w:rsidP="261E3E91">
      <w:pPr>
        <w:pStyle w:val="Header"/>
        <w:rPr>
          <w:b w:val="0"/>
          <w:bCs w:val="0"/>
          <w:color w:val="000000" w:themeColor="text1"/>
        </w:rPr>
      </w:pPr>
      <w:r w:rsidRPr="7AE4F818">
        <w:rPr>
          <w:color w:val="000000" w:themeColor="text1"/>
        </w:rPr>
        <w:t>Version:</w:t>
      </w:r>
      <w:r>
        <w:tab/>
      </w:r>
      <w:r w:rsidR="53012452" w:rsidRPr="7AE4F818">
        <w:rPr>
          <w:color w:val="000000" w:themeColor="text1"/>
        </w:rPr>
        <w:t>v2.0</w:t>
      </w:r>
    </w:p>
    <w:p w14:paraId="2F417415" w14:textId="300248AF" w:rsidR="12A75FF4" w:rsidRDefault="711225A3" w:rsidP="261E3E91">
      <w:pPr>
        <w:pStyle w:val="Header"/>
        <w:rPr>
          <w:color w:val="000000" w:themeColor="text1"/>
        </w:rPr>
      </w:pPr>
      <w:r w:rsidRPr="7AE4F818">
        <w:rPr>
          <w:color w:val="000000" w:themeColor="text1"/>
        </w:rPr>
        <w:t>Last updated:</w:t>
      </w:r>
      <w:r>
        <w:tab/>
      </w:r>
      <w:r w:rsidR="0EA80040" w:rsidRPr="7AE4F818">
        <w:rPr>
          <w:color w:val="000000" w:themeColor="text1"/>
        </w:rPr>
        <w:t>06 November 2025</w:t>
      </w:r>
    </w:p>
    <w:p w14:paraId="0EEC9E06" w14:textId="46D42232" w:rsidR="00B8617C" w:rsidRPr="000B7FC5" w:rsidRDefault="711225A3" w:rsidP="261E3E91">
      <w:pPr>
        <w:pStyle w:val="Header"/>
        <w:rPr>
          <w:color w:val="000000" w:themeColor="text1"/>
        </w:rPr>
      </w:pPr>
      <w:r w:rsidRPr="7AE4F818">
        <w:rPr>
          <w:color w:val="000000" w:themeColor="text1"/>
        </w:rPr>
        <w:t>Policy approver:</w:t>
      </w:r>
      <w:r>
        <w:tab/>
      </w:r>
      <w:r w:rsidR="0EA80040" w:rsidRPr="7AE4F818">
        <w:rPr>
          <w:color w:val="000000" w:themeColor="text1"/>
        </w:rPr>
        <w:t>Chief Executive</w:t>
      </w:r>
      <w:r w:rsidR="4C5D8AE7" w:rsidRPr="7AE4F818">
        <w:rPr>
          <w:color w:val="000000" w:themeColor="text1"/>
        </w:rPr>
        <w:t xml:space="preserve"> Officer</w:t>
      </w:r>
    </w:p>
    <w:p w14:paraId="1D83A58C" w14:textId="6DAA5097" w:rsidR="00B8617C" w:rsidRPr="000B7FC5" w:rsidRDefault="50D583C2" w:rsidP="261E3E91">
      <w:pPr>
        <w:pStyle w:val="Header"/>
        <w:rPr>
          <w:color w:val="000000" w:themeColor="text1"/>
        </w:rPr>
      </w:pPr>
      <w:r w:rsidRPr="7AE4F818">
        <w:rPr>
          <w:color w:val="000000" w:themeColor="text1"/>
        </w:rPr>
        <w:t>Policy owner:</w:t>
      </w:r>
      <w:r>
        <w:tab/>
      </w:r>
      <w:r w:rsidR="4C5D8AE7" w:rsidRPr="7AE4F818">
        <w:rPr>
          <w:color w:val="000000" w:themeColor="text1"/>
        </w:rPr>
        <w:t>Director of People and Culture</w:t>
      </w:r>
    </w:p>
    <w:p w14:paraId="5E72A94D" w14:textId="77777777" w:rsidR="00B8617C" w:rsidRDefault="00B8617C">
      <w:pPr>
        <w:pStyle w:val="TOC2"/>
        <w:tabs>
          <w:tab w:val="right" w:leader="dot" w:pos="9016"/>
        </w:tabs>
      </w:pPr>
    </w:p>
    <w:p w14:paraId="58B0D608" w14:textId="77777777" w:rsidR="007D5FFF" w:rsidRDefault="00B8617C" w:rsidP="009B441B">
      <w:pPr>
        <w:pStyle w:val="Heading2"/>
        <w:rPr>
          <w:noProof/>
        </w:rPr>
      </w:pPr>
      <w:bookmarkStart w:id="1" w:name="_Toc190764031"/>
      <w:bookmarkStart w:id="2" w:name="_Toc208480212"/>
      <w:r w:rsidRPr="000B7FC5">
        <w:rPr>
          <w:color w:val="000000" w:themeColor="text1"/>
        </w:rPr>
        <w:t>Contents</w:t>
      </w:r>
      <w:bookmarkEnd w:id="1"/>
      <w:bookmarkEnd w:id="2"/>
      <w:r>
        <w:fldChar w:fldCharType="begin"/>
      </w:r>
      <w:r>
        <w:instrText xml:space="preserve"> TOC \o "2-3" \f \h \z \u </w:instrText>
      </w:r>
      <w:r>
        <w:fldChar w:fldCharType="separate"/>
      </w:r>
    </w:p>
    <w:p w14:paraId="1990F863" w14:textId="0B4932B8" w:rsidR="00662252" w:rsidRDefault="00662252">
      <w:pPr>
        <w:pStyle w:val="TOC3"/>
        <w:tabs>
          <w:tab w:val="right" w:leader="dot" w:pos="9016"/>
        </w:tabs>
        <w:rPr>
          <w:rFonts w:asciiTheme="minorHAnsi" w:eastAsiaTheme="minorEastAsia" w:hAnsiTheme="minorHAnsi"/>
          <w:noProof/>
          <w:szCs w:val="24"/>
          <w:lang w:eastAsia="en-AU"/>
        </w:rPr>
      </w:pPr>
      <w:r>
        <w:fldChar w:fldCharType="begin"/>
      </w:r>
      <w:r>
        <w:instrText xml:space="preserve"> TOC \o "3-3" \h \z \u </w:instrText>
      </w:r>
      <w:r>
        <w:fldChar w:fldCharType="separate"/>
      </w:r>
      <w:hyperlink w:anchor="_Toc213421784" w:history="1">
        <w:r w:rsidRPr="00724253">
          <w:rPr>
            <w:rStyle w:val="Hyperlink"/>
            <w:noProof/>
          </w:rPr>
          <w:t>Purpose</w:t>
        </w:r>
        <w:r>
          <w:rPr>
            <w:noProof/>
            <w:webHidden/>
          </w:rPr>
          <w:tab/>
        </w:r>
        <w:r>
          <w:rPr>
            <w:noProof/>
            <w:webHidden/>
          </w:rPr>
          <w:fldChar w:fldCharType="begin"/>
        </w:r>
        <w:r>
          <w:rPr>
            <w:noProof/>
            <w:webHidden/>
          </w:rPr>
          <w:instrText xml:space="preserve"> PAGEREF _Toc213421784 \h </w:instrText>
        </w:r>
        <w:r>
          <w:rPr>
            <w:noProof/>
            <w:webHidden/>
          </w:rPr>
        </w:r>
        <w:r>
          <w:rPr>
            <w:noProof/>
            <w:webHidden/>
          </w:rPr>
          <w:fldChar w:fldCharType="separate"/>
        </w:r>
        <w:r w:rsidR="00E531A6">
          <w:rPr>
            <w:noProof/>
            <w:webHidden/>
          </w:rPr>
          <w:t>2</w:t>
        </w:r>
        <w:r>
          <w:rPr>
            <w:noProof/>
            <w:webHidden/>
          </w:rPr>
          <w:fldChar w:fldCharType="end"/>
        </w:r>
      </w:hyperlink>
    </w:p>
    <w:p w14:paraId="6995C09C" w14:textId="3FD47CCD" w:rsidR="00662252" w:rsidRDefault="00662252">
      <w:pPr>
        <w:pStyle w:val="TOC3"/>
        <w:tabs>
          <w:tab w:val="right" w:leader="dot" w:pos="9016"/>
        </w:tabs>
        <w:rPr>
          <w:rFonts w:asciiTheme="minorHAnsi" w:eastAsiaTheme="minorEastAsia" w:hAnsiTheme="minorHAnsi"/>
          <w:noProof/>
          <w:szCs w:val="24"/>
          <w:lang w:eastAsia="en-AU"/>
        </w:rPr>
      </w:pPr>
      <w:hyperlink w:anchor="_Toc213421785" w:history="1">
        <w:r w:rsidRPr="00724253">
          <w:rPr>
            <w:rStyle w:val="Hyperlink"/>
            <w:noProof/>
          </w:rPr>
          <w:t>Scope</w:t>
        </w:r>
        <w:r>
          <w:rPr>
            <w:noProof/>
            <w:webHidden/>
          </w:rPr>
          <w:tab/>
        </w:r>
        <w:r>
          <w:rPr>
            <w:noProof/>
            <w:webHidden/>
          </w:rPr>
          <w:fldChar w:fldCharType="begin"/>
        </w:r>
        <w:r>
          <w:rPr>
            <w:noProof/>
            <w:webHidden/>
          </w:rPr>
          <w:instrText xml:space="preserve"> PAGEREF _Toc213421785 \h </w:instrText>
        </w:r>
        <w:r>
          <w:rPr>
            <w:noProof/>
            <w:webHidden/>
          </w:rPr>
        </w:r>
        <w:r>
          <w:rPr>
            <w:noProof/>
            <w:webHidden/>
          </w:rPr>
          <w:fldChar w:fldCharType="separate"/>
        </w:r>
        <w:r w:rsidR="00E531A6">
          <w:rPr>
            <w:noProof/>
            <w:webHidden/>
          </w:rPr>
          <w:t>2</w:t>
        </w:r>
        <w:r>
          <w:rPr>
            <w:noProof/>
            <w:webHidden/>
          </w:rPr>
          <w:fldChar w:fldCharType="end"/>
        </w:r>
      </w:hyperlink>
    </w:p>
    <w:p w14:paraId="310B07ED" w14:textId="7095F047" w:rsidR="00662252" w:rsidRDefault="00662252">
      <w:pPr>
        <w:pStyle w:val="TOC3"/>
        <w:tabs>
          <w:tab w:val="right" w:leader="dot" w:pos="9016"/>
        </w:tabs>
        <w:rPr>
          <w:rFonts w:asciiTheme="minorHAnsi" w:eastAsiaTheme="minorEastAsia" w:hAnsiTheme="minorHAnsi"/>
          <w:noProof/>
          <w:szCs w:val="24"/>
          <w:lang w:eastAsia="en-AU"/>
        </w:rPr>
      </w:pPr>
      <w:hyperlink w:anchor="_Toc213421786" w:history="1">
        <w:r w:rsidRPr="00724253">
          <w:rPr>
            <w:rStyle w:val="Hyperlink"/>
            <w:noProof/>
          </w:rPr>
          <w:t>Policy statement</w:t>
        </w:r>
        <w:r>
          <w:rPr>
            <w:noProof/>
            <w:webHidden/>
          </w:rPr>
          <w:tab/>
        </w:r>
        <w:r>
          <w:rPr>
            <w:noProof/>
            <w:webHidden/>
          </w:rPr>
          <w:fldChar w:fldCharType="begin"/>
        </w:r>
        <w:r>
          <w:rPr>
            <w:noProof/>
            <w:webHidden/>
          </w:rPr>
          <w:instrText xml:space="preserve"> PAGEREF _Toc213421786 \h </w:instrText>
        </w:r>
        <w:r>
          <w:rPr>
            <w:noProof/>
            <w:webHidden/>
          </w:rPr>
        </w:r>
        <w:r>
          <w:rPr>
            <w:noProof/>
            <w:webHidden/>
          </w:rPr>
          <w:fldChar w:fldCharType="separate"/>
        </w:r>
        <w:r w:rsidR="00E531A6">
          <w:rPr>
            <w:noProof/>
            <w:webHidden/>
          </w:rPr>
          <w:t>2</w:t>
        </w:r>
        <w:r>
          <w:rPr>
            <w:noProof/>
            <w:webHidden/>
          </w:rPr>
          <w:fldChar w:fldCharType="end"/>
        </w:r>
      </w:hyperlink>
    </w:p>
    <w:p w14:paraId="0F3BCE1E" w14:textId="1C2417FA" w:rsidR="00662252" w:rsidRDefault="00662252">
      <w:pPr>
        <w:pStyle w:val="TOC3"/>
        <w:tabs>
          <w:tab w:val="right" w:leader="dot" w:pos="9016"/>
        </w:tabs>
        <w:rPr>
          <w:rFonts w:asciiTheme="minorHAnsi" w:eastAsiaTheme="minorEastAsia" w:hAnsiTheme="minorHAnsi"/>
          <w:noProof/>
          <w:szCs w:val="24"/>
          <w:lang w:eastAsia="en-AU"/>
        </w:rPr>
      </w:pPr>
      <w:hyperlink w:anchor="_Toc213421787" w:history="1">
        <w:r w:rsidRPr="00724253">
          <w:rPr>
            <w:rStyle w:val="Hyperlink"/>
            <w:noProof/>
          </w:rPr>
          <w:t>Principles</w:t>
        </w:r>
        <w:r>
          <w:rPr>
            <w:noProof/>
            <w:webHidden/>
          </w:rPr>
          <w:tab/>
        </w:r>
        <w:r>
          <w:rPr>
            <w:noProof/>
            <w:webHidden/>
          </w:rPr>
          <w:fldChar w:fldCharType="begin"/>
        </w:r>
        <w:r>
          <w:rPr>
            <w:noProof/>
            <w:webHidden/>
          </w:rPr>
          <w:instrText xml:space="preserve"> PAGEREF _Toc213421787 \h </w:instrText>
        </w:r>
        <w:r>
          <w:rPr>
            <w:noProof/>
            <w:webHidden/>
          </w:rPr>
        </w:r>
        <w:r>
          <w:rPr>
            <w:noProof/>
            <w:webHidden/>
          </w:rPr>
          <w:fldChar w:fldCharType="separate"/>
        </w:r>
        <w:r w:rsidR="00E531A6">
          <w:rPr>
            <w:noProof/>
            <w:webHidden/>
          </w:rPr>
          <w:t>3</w:t>
        </w:r>
        <w:r>
          <w:rPr>
            <w:noProof/>
            <w:webHidden/>
          </w:rPr>
          <w:fldChar w:fldCharType="end"/>
        </w:r>
      </w:hyperlink>
    </w:p>
    <w:p w14:paraId="045EFF29" w14:textId="55EF99FF" w:rsidR="00662252" w:rsidRDefault="00662252">
      <w:pPr>
        <w:pStyle w:val="TOC3"/>
        <w:tabs>
          <w:tab w:val="right" w:leader="dot" w:pos="9016"/>
        </w:tabs>
        <w:rPr>
          <w:rFonts w:asciiTheme="minorHAnsi" w:eastAsiaTheme="minorEastAsia" w:hAnsiTheme="minorHAnsi"/>
          <w:noProof/>
          <w:szCs w:val="24"/>
          <w:lang w:eastAsia="en-AU"/>
        </w:rPr>
      </w:pPr>
      <w:hyperlink w:anchor="_Toc213421788" w:history="1">
        <w:r w:rsidRPr="00724253">
          <w:rPr>
            <w:rStyle w:val="Hyperlink"/>
            <w:noProof/>
          </w:rPr>
          <w:t>Definitions</w:t>
        </w:r>
        <w:r>
          <w:rPr>
            <w:noProof/>
            <w:webHidden/>
          </w:rPr>
          <w:tab/>
        </w:r>
        <w:r>
          <w:rPr>
            <w:noProof/>
            <w:webHidden/>
          </w:rPr>
          <w:fldChar w:fldCharType="begin"/>
        </w:r>
        <w:r>
          <w:rPr>
            <w:noProof/>
            <w:webHidden/>
          </w:rPr>
          <w:instrText xml:space="preserve"> PAGEREF _Toc213421788 \h </w:instrText>
        </w:r>
        <w:r>
          <w:rPr>
            <w:noProof/>
            <w:webHidden/>
          </w:rPr>
        </w:r>
        <w:r>
          <w:rPr>
            <w:noProof/>
            <w:webHidden/>
          </w:rPr>
          <w:fldChar w:fldCharType="separate"/>
        </w:r>
        <w:r w:rsidR="00E531A6">
          <w:rPr>
            <w:noProof/>
            <w:webHidden/>
          </w:rPr>
          <w:t>3</w:t>
        </w:r>
        <w:r>
          <w:rPr>
            <w:noProof/>
            <w:webHidden/>
          </w:rPr>
          <w:fldChar w:fldCharType="end"/>
        </w:r>
      </w:hyperlink>
    </w:p>
    <w:p w14:paraId="4B6F8C74" w14:textId="13E0F95A" w:rsidR="00662252" w:rsidRDefault="00662252">
      <w:pPr>
        <w:pStyle w:val="TOC3"/>
        <w:tabs>
          <w:tab w:val="right" w:leader="dot" w:pos="9016"/>
        </w:tabs>
        <w:rPr>
          <w:rFonts w:asciiTheme="minorHAnsi" w:eastAsiaTheme="minorEastAsia" w:hAnsiTheme="minorHAnsi"/>
          <w:noProof/>
          <w:szCs w:val="24"/>
          <w:lang w:eastAsia="en-AU"/>
        </w:rPr>
      </w:pPr>
      <w:hyperlink w:anchor="_Toc213421789" w:history="1">
        <w:r w:rsidRPr="00724253">
          <w:rPr>
            <w:rStyle w:val="Hyperlink"/>
            <w:noProof/>
          </w:rPr>
          <w:t>Standards of Behaviour</w:t>
        </w:r>
        <w:r>
          <w:rPr>
            <w:noProof/>
            <w:webHidden/>
          </w:rPr>
          <w:tab/>
        </w:r>
        <w:r>
          <w:rPr>
            <w:noProof/>
            <w:webHidden/>
          </w:rPr>
          <w:fldChar w:fldCharType="begin"/>
        </w:r>
        <w:r>
          <w:rPr>
            <w:noProof/>
            <w:webHidden/>
          </w:rPr>
          <w:instrText xml:space="preserve"> PAGEREF _Toc213421789 \h </w:instrText>
        </w:r>
        <w:r>
          <w:rPr>
            <w:noProof/>
            <w:webHidden/>
          </w:rPr>
        </w:r>
        <w:r>
          <w:rPr>
            <w:noProof/>
            <w:webHidden/>
          </w:rPr>
          <w:fldChar w:fldCharType="separate"/>
        </w:r>
        <w:r w:rsidR="00E531A6">
          <w:rPr>
            <w:noProof/>
            <w:webHidden/>
          </w:rPr>
          <w:t>4</w:t>
        </w:r>
        <w:r>
          <w:rPr>
            <w:noProof/>
            <w:webHidden/>
          </w:rPr>
          <w:fldChar w:fldCharType="end"/>
        </w:r>
      </w:hyperlink>
    </w:p>
    <w:p w14:paraId="116C1FB3" w14:textId="50AE007A" w:rsidR="00662252" w:rsidRDefault="00662252">
      <w:pPr>
        <w:pStyle w:val="TOC3"/>
        <w:tabs>
          <w:tab w:val="right" w:leader="dot" w:pos="9016"/>
        </w:tabs>
        <w:rPr>
          <w:rFonts w:asciiTheme="minorHAnsi" w:eastAsiaTheme="minorEastAsia" w:hAnsiTheme="minorHAnsi"/>
          <w:noProof/>
          <w:szCs w:val="24"/>
          <w:lang w:eastAsia="en-AU"/>
        </w:rPr>
      </w:pPr>
      <w:hyperlink w:anchor="_Toc213421790" w:history="1">
        <w:r w:rsidRPr="00724253">
          <w:rPr>
            <w:rStyle w:val="Hyperlink"/>
            <w:noProof/>
          </w:rPr>
          <w:t>Risk Management and Safeguarding Measures</w:t>
        </w:r>
        <w:r>
          <w:rPr>
            <w:noProof/>
            <w:webHidden/>
          </w:rPr>
          <w:tab/>
        </w:r>
        <w:r>
          <w:rPr>
            <w:noProof/>
            <w:webHidden/>
          </w:rPr>
          <w:fldChar w:fldCharType="begin"/>
        </w:r>
        <w:r>
          <w:rPr>
            <w:noProof/>
            <w:webHidden/>
          </w:rPr>
          <w:instrText xml:space="preserve"> PAGEREF _Toc213421790 \h </w:instrText>
        </w:r>
        <w:r>
          <w:rPr>
            <w:noProof/>
            <w:webHidden/>
          </w:rPr>
        </w:r>
        <w:r>
          <w:rPr>
            <w:noProof/>
            <w:webHidden/>
          </w:rPr>
          <w:fldChar w:fldCharType="separate"/>
        </w:r>
        <w:r w:rsidR="00E531A6">
          <w:rPr>
            <w:noProof/>
            <w:webHidden/>
          </w:rPr>
          <w:t>4</w:t>
        </w:r>
        <w:r>
          <w:rPr>
            <w:noProof/>
            <w:webHidden/>
          </w:rPr>
          <w:fldChar w:fldCharType="end"/>
        </w:r>
      </w:hyperlink>
    </w:p>
    <w:p w14:paraId="7C08DC88" w14:textId="6206BC55" w:rsidR="00662252" w:rsidRDefault="00662252">
      <w:pPr>
        <w:pStyle w:val="TOC3"/>
        <w:tabs>
          <w:tab w:val="right" w:leader="dot" w:pos="9016"/>
        </w:tabs>
        <w:rPr>
          <w:rFonts w:asciiTheme="minorHAnsi" w:eastAsiaTheme="minorEastAsia" w:hAnsiTheme="minorHAnsi"/>
          <w:noProof/>
          <w:szCs w:val="24"/>
          <w:lang w:eastAsia="en-AU"/>
        </w:rPr>
      </w:pPr>
      <w:hyperlink w:anchor="_Toc213421791" w:history="1">
        <w:r w:rsidRPr="00724253">
          <w:rPr>
            <w:rStyle w:val="Hyperlink"/>
            <w:noProof/>
          </w:rPr>
          <w:t>Reporting and Response</w:t>
        </w:r>
        <w:r>
          <w:rPr>
            <w:noProof/>
            <w:webHidden/>
          </w:rPr>
          <w:tab/>
        </w:r>
        <w:r>
          <w:rPr>
            <w:noProof/>
            <w:webHidden/>
          </w:rPr>
          <w:fldChar w:fldCharType="begin"/>
        </w:r>
        <w:r>
          <w:rPr>
            <w:noProof/>
            <w:webHidden/>
          </w:rPr>
          <w:instrText xml:space="preserve"> PAGEREF _Toc213421791 \h </w:instrText>
        </w:r>
        <w:r>
          <w:rPr>
            <w:noProof/>
            <w:webHidden/>
          </w:rPr>
        </w:r>
        <w:r>
          <w:rPr>
            <w:noProof/>
            <w:webHidden/>
          </w:rPr>
          <w:fldChar w:fldCharType="separate"/>
        </w:r>
        <w:r w:rsidR="00E531A6">
          <w:rPr>
            <w:noProof/>
            <w:webHidden/>
          </w:rPr>
          <w:t>5</w:t>
        </w:r>
        <w:r>
          <w:rPr>
            <w:noProof/>
            <w:webHidden/>
          </w:rPr>
          <w:fldChar w:fldCharType="end"/>
        </w:r>
      </w:hyperlink>
    </w:p>
    <w:p w14:paraId="7B014AAF" w14:textId="78316BF2" w:rsidR="00662252" w:rsidRDefault="00662252">
      <w:pPr>
        <w:pStyle w:val="TOC3"/>
        <w:tabs>
          <w:tab w:val="right" w:leader="dot" w:pos="9016"/>
        </w:tabs>
        <w:rPr>
          <w:rFonts w:asciiTheme="minorHAnsi" w:eastAsiaTheme="minorEastAsia" w:hAnsiTheme="minorHAnsi"/>
          <w:noProof/>
          <w:szCs w:val="24"/>
          <w:lang w:eastAsia="en-AU"/>
        </w:rPr>
      </w:pPr>
      <w:hyperlink w:anchor="_Toc213421792" w:history="1">
        <w:r w:rsidRPr="00724253">
          <w:rPr>
            <w:rStyle w:val="Hyperlink"/>
            <w:noProof/>
          </w:rPr>
          <w:t>Roles and Responsibilities</w:t>
        </w:r>
        <w:r>
          <w:rPr>
            <w:noProof/>
            <w:webHidden/>
          </w:rPr>
          <w:tab/>
        </w:r>
        <w:r>
          <w:rPr>
            <w:noProof/>
            <w:webHidden/>
          </w:rPr>
          <w:fldChar w:fldCharType="begin"/>
        </w:r>
        <w:r>
          <w:rPr>
            <w:noProof/>
            <w:webHidden/>
          </w:rPr>
          <w:instrText xml:space="preserve"> PAGEREF _Toc213421792 \h </w:instrText>
        </w:r>
        <w:r>
          <w:rPr>
            <w:noProof/>
            <w:webHidden/>
          </w:rPr>
        </w:r>
        <w:r>
          <w:rPr>
            <w:noProof/>
            <w:webHidden/>
          </w:rPr>
          <w:fldChar w:fldCharType="separate"/>
        </w:r>
        <w:r w:rsidR="00E531A6">
          <w:rPr>
            <w:noProof/>
            <w:webHidden/>
          </w:rPr>
          <w:t>7</w:t>
        </w:r>
        <w:r>
          <w:rPr>
            <w:noProof/>
            <w:webHidden/>
          </w:rPr>
          <w:fldChar w:fldCharType="end"/>
        </w:r>
      </w:hyperlink>
    </w:p>
    <w:p w14:paraId="7B9B1062" w14:textId="7BC6E879" w:rsidR="00662252" w:rsidRDefault="00662252">
      <w:pPr>
        <w:pStyle w:val="TOC3"/>
        <w:tabs>
          <w:tab w:val="right" w:leader="dot" w:pos="9016"/>
        </w:tabs>
        <w:rPr>
          <w:rFonts w:asciiTheme="minorHAnsi" w:eastAsiaTheme="minorEastAsia" w:hAnsiTheme="minorHAnsi"/>
          <w:noProof/>
          <w:szCs w:val="24"/>
          <w:lang w:eastAsia="en-AU"/>
        </w:rPr>
      </w:pPr>
      <w:hyperlink w:anchor="_Toc213421793" w:history="1">
        <w:r w:rsidRPr="00724253">
          <w:rPr>
            <w:rStyle w:val="Hyperlink"/>
            <w:noProof/>
          </w:rPr>
          <w:t>Partnership and Contracting</w:t>
        </w:r>
        <w:r>
          <w:rPr>
            <w:noProof/>
            <w:webHidden/>
          </w:rPr>
          <w:tab/>
        </w:r>
        <w:r>
          <w:rPr>
            <w:noProof/>
            <w:webHidden/>
          </w:rPr>
          <w:fldChar w:fldCharType="begin"/>
        </w:r>
        <w:r>
          <w:rPr>
            <w:noProof/>
            <w:webHidden/>
          </w:rPr>
          <w:instrText xml:space="preserve"> PAGEREF _Toc213421793 \h </w:instrText>
        </w:r>
        <w:r>
          <w:rPr>
            <w:noProof/>
            <w:webHidden/>
          </w:rPr>
        </w:r>
        <w:r>
          <w:rPr>
            <w:noProof/>
            <w:webHidden/>
          </w:rPr>
          <w:fldChar w:fldCharType="separate"/>
        </w:r>
        <w:r w:rsidR="00E531A6">
          <w:rPr>
            <w:noProof/>
            <w:webHidden/>
          </w:rPr>
          <w:t>7</w:t>
        </w:r>
        <w:r>
          <w:rPr>
            <w:noProof/>
            <w:webHidden/>
          </w:rPr>
          <w:fldChar w:fldCharType="end"/>
        </w:r>
      </w:hyperlink>
    </w:p>
    <w:p w14:paraId="06D086B3" w14:textId="336429EB" w:rsidR="00662252" w:rsidRDefault="00662252">
      <w:pPr>
        <w:pStyle w:val="TOC3"/>
        <w:tabs>
          <w:tab w:val="right" w:leader="dot" w:pos="9016"/>
        </w:tabs>
        <w:rPr>
          <w:rFonts w:asciiTheme="minorHAnsi" w:eastAsiaTheme="minorEastAsia" w:hAnsiTheme="minorHAnsi"/>
          <w:noProof/>
          <w:szCs w:val="24"/>
          <w:lang w:eastAsia="en-AU"/>
        </w:rPr>
      </w:pPr>
      <w:hyperlink w:anchor="_Toc213421794" w:history="1">
        <w:r w:rsidRPr="00724253">
          <w:rPr>
            <w:rStyle w:val="Hyperlink"/>
            <w:noProof/>
          </w:rPr>
          <w:t>Related Documents</w:t>
        </w:r>
        <w:r>
          <w:rPr>
            <w:noProof/>
            <w:webHidden/>
          </w:rPr>
          <w:tab/>
        </w:r>
        <w:r>
          <w:rPr>
            <w:noProof/>
            <w:webHidden/>
          </w:rPr>
          <w:fldChar w:fldCharType="begin"/>
        </w:r>
        <w:r>
          <w:rPr>
            <w:noProof/>
            <w:webHidden/>
          </w:rPr>
          <w:instrText xml:space="preserve"> PAGEREF _Toc213421794 \h </w:instrText>
        </w:r>
        <w:r>
          <w:rPr>
            <w:noProof/>
            <w:webHidden/>
          </w:rPr>
        </w:r>
        <w:r>
          <w:rPr>
            <w:noProof/>
            <w:webHidden/>
          </w:rPr>
          <w:fldChar w:fldCharType="separate"/>
        </w:r>
        <w:r w:rsidR="00E531A6">
          <w:rPr>
            <w:noProof/>
            <w:webHidden/>
          </w:rPr>
          <w:t>8</w:t>
        </w:r>
        <w:r>
          <w:rPr>
            <w:noProof/>
            <w:webHidden/>
          </w:rPr>
          <w:fldChar w:fldCharType="end"/>
        </w:r>
      </w:hyperlink>
    </w:p>
    <w:p w14:paraId="417B6ECF" w14:textId="6A3C539A" w:rsidR="00396BF9" w:rsidRPr="005B79CA" w:rsidRDefault="00662252" w:rsidP="00196D62">
      <w:pPr>
        <w:pStyle w:val="Heading3"/>
      </w:pPr>
      <w:r>
        <w:lastRenderedPageBreak/>
        <w:fldChar w:fldCharType="end"/>
      </w:r>
      <w:r w:rsidR="00B8617C">
        <w:fldChar w:fldCharType="end"/>
      </w:r>
      <w:bookmarkStart w:id="3" w:name="_Toc208480213"/>
      <w:bookmarkStart w:id="4" w:name="_Toc213421784"/>
      <w:r w:rsidR="00396BF9" w:rsidRPr="005B79CA">
        <w:t>Purpose</w:t>
      </w:r>
      <w:bookmarkEnd w:id="3"/>
      <w:bookmarkEnd w:id="4"/>
    </w:p>
    <w:p w14:paraId="3C1B9625" w14:textId="1B53438C" w:rsidR="00660A9F" w:rsidRDefault="194304B2" w:rsidP="00AB09A5">
      <w:bookmarkStart w:id="5" w:name="_Toc208480214"/>
      <w:r>
        <w:t xml:space="preserve">This Policy sets out People </w:t>
      </w:r>
      <w:r w:rsidR="6AC79651">
        <w:t>with</w:t>
      </w:r>
      <w:r>
        <w:t xml:space="preserve"> Disability Australia’s (PWDA) commitment to prevent sexual exploitation, </w:t>
      </w:r>
      <w:r w:rsidR="2F94E0FC">
        <w:t>abuse,</w:t>
      </w:r>
      <w:r>
        <w:t xml:space="preserve"> and harassment (SEAH) in all its work. It outlines standards of behaviour, responsibilities, reporting and response arrangements. The purpose is to create a safe, respectful, inclusive environment in which children, persons with disability, community members, </w:t>
      </w:r>
      <w:r w:rsidR="77E639D6">
        <w:t>employees,</w:t>
      </w:r>
      <w:r>
        <w:t xml:space="preserve"> and partners are protected from any form of SEAH, consistent with our duty of care and safeguarding obligations. </w:t>
      </w:r>
    </w:p>
    <w:p w14:paraId="095BD340" w14:textId="662A560C" w:rsidR="00660A9F" w:rsidRDefault="00660A9F" w:rsidP="00AB09A5">
      <w:r>
        <w:t xml:space="preserve">This policy is a requirement for PWDA as a member of </w:t>
      </w:r>
      <w:r w:rsidR="00691B30">
        <w:t>the Australian Council for International Development (</w:t>
      </w:r>
      <w:r>
        <w:t>ACFID</w:t>
      </w:r>
      <w:r w:rsidR="00691B30">
        <w:t xml:space="preserve">) </w:t>
      </w:r>
      <w:r w:rsidR="00265452">
        <w:t xml:space="preserve">and a signatory to the ACFID </w:t>
      </w:r>
      <w:r w:rsidR="00691B30">
        <w:t>Code of Conduct.</w:t>
      </w:r>
    </w:p>
    <w:p w14:paraId="22C3EE82" w14:textId="77777777" w:rsidR="00660A9F" w:rsidRPr="00E424F9" w:rsidRDefault="00660A9F" w:rsidP="00AB09A5">
      <w:pPr>
        <w:pStyle w:val="Heading3"/>
      </w:pPr>
      <w:bookmarkStart w:id="6" w:name="_Toc213421785"/>
      <w:r w:rsidRPr="00E424F9">
        <w:t>Scope</w:t>
      </w:r>
      <w:bookmarkEnd w:id="6"/>
    </w:p>
    <w:p w14:paraId="51A1A3CD" w14:textId="77777777" w:rsidR="00660A9F" w:rsidRPr="00AB6BF9" w:rsidRDefault="00660A9F" w:rsidP="00EA0354">
      <w:pPr>
        <w:rPr>
          <w:b/>
        </w:rPr>
      </w:pPr>
      <w:r w:rsidRPr="00AB6BF9">
        <w:t>This policy applies to:</w:t>
      </w:r>
    </w:p>
    <w:p w14:paraId="4115E09D" w14:textId="4E6E7DCE" w:rsidR="00660A9F" w:rsidRPr="00EA0354" w:rsidRDefault="194304B2" w:rsidP="1783184E">
      <w:pPr>
        <w:pStyle w:val="ListParagraph"/>
        <w:numPr>
          <w:ilvl w:val="0"/>
          <w:numId w:val="26"/>
        </w:numPr>
        <w:rPr>
          <w:b/>
          <w:bCs/>
        </w:rPr>
      </w:pPr>
      <w:r>
        <w:t xml:space="preserve">all Board Directors, employees, independent contractors, </w:t>
      </w:r>
      <w:r w:rsidR="75DA6FAF">
        <w:t>subcontractors,</w:t>
      </w:r>
      <w:r>
        <w:t xml:space="preserve"> and consultants (collectively “workers”) </w:t>
      </w:r>
    </w:p>
    <w:p w14:paraId="7F56CB83" w14:textId="77777777" w:rsidR="00660A9F" w:rsidRPr="00EA0354" w:rsidRDefault="00660A9F" w:rsidP="00EA0354">
      <w:pPr>
        <w:pStyle w:val="ListParagraph"/>
        <w:numPr>
          <w:ilvl w:val="0"/>
          <w:numId w:val="26"/>
        </w:numPr>
        <w:rPr>
          <w:b/>
        </w:rPr>
      </w:pPr>
      <w:r w:rsidRPr="00AB6BF9">
        <w:t>all volunteers and students (collectively “volunteers”)</w:t>
      </w:r>
    </w:p>
    <w:p w14:paraId="3FCA50AF" w14:textId="77777777" w:rsidR="00660A9F" w:rsidRDefault="00660A9F" w:rsidP="00EA0354">
      <w:pPr>
        <w:pStyle w:val="ListParagraph"/>
        <w:numPr>
          <w:ilvl w:val="0"/>
          <w:numId w:val="26"/>
        </w:numPr>
      </w:pPr>
      <w:r>
        <w:t>all partner organisations, affiliates and service providers engaged by PWDA</w:t>
      </w:r>
    </w:p>
    <w:p w14:paraId="4F861939" w14:textId="77777777" w:rsidR="00660A9F" w:rsidRDefault="194304B2" w:rsidP="00EA0354">
      <w:pPr>
        <w:pStyle w:val="ListParagraph"/>
        <w:numPr>
          <w:ilvl w:val="0"/>
          <w:numId w:val="26"/>
        </w:numPr>
      </w:pPr>
      <w:r>
        <w:t xml:space="preserve">all activities in Australia or overseas, in communities or in any workplace context where PWDA </w:t>
      </w:r>
      <w:bookmarkStart w:id="7" w:name="_Int_E5TkNz0q"/>
      <w:r>
        <w:t>has involvement</w:t>
      </w:r>
      <w:bookmarkEnd w:id="7"/>
      <w:r>
        <w:t>.</w:t>
      </w:r>
    </w:p>
    <w:p w14:paraId="66827CC4" w14:textId="77777777" w:rsidR="00660A9F" w:rsidRPr="00FC6BD9" w:rsidRDefault="00660A9F" w:rsidP="00EA0354">
      <w:pPr>
        <w:pStyle w:val="ListParagraph"/>
        <w:numPr>
          <w:ilvl w:val="0"/>
          <w:numId w:val="26"/>
        </w:numPr>
      </w:pPr>
      <w:r>
        <w:t>all interactions with children, persons with disability, community members, clients, families, carers.</w:t>
      </w:r>
    </w:p>
    <w:p w14:paraId="36F95BF9" w14:textId="77777777" w:rsidR="00660A9F" w:rsidRPr="00E424F9" w:rsidRDefault="00660A9F" w:rsidP="00E763DB">
      <w:pPr>
        <w:pStyle w:val="Heading3"/>
      </w:pPr>
      <w:bookmarkStart w:id="8" w:name="_Toc213421786"/>
      <w:r w:rsidRPr="00514090">
        <w:t>Policy statement</w:t>
      </w:r>
      <w:bookmarkEnd w:id="8"/>
    </w:p>
    <w:p w14:paraId="174A2119" w14:textId="021C6016" w:rsidR="00660A9F" w:rsidRDefault="194304B2" w:rsidP="00164C80">
      <w:r>
        <w:t xml:space="preserve">PWDA takes a zero-tolerance approach to sexual exploitation, </w:t>
      </w:r>
      <w:r w:rsidR="3EC0FA54">
        <w:t>abuse,</w:t>
      </w:r>
      <w:r>
        <w:t xml:space="preserve"> and harassment</w:t>
      </w:r>
      <w:r w:rsidR="3D4D34B9">
        <w:t xml:space="preserve">. </w:t>
      </w:r>
    </w:p>
    <w:p w14:paraId="11E4740E" w14:textId="7295F6E1" w:rsidR="00660A9F" w:rsidRDefault="194304B2" w:rsidP="00164C80">
      <w:r>
        <w:t xml:space="preserve">PWDA seeks to promote safe and respectful workplaces and minimise the risks of sexual exploitation, </w:t>
      </w:r>
      <w:r w:rsidR="1FE3F534">
        <w:t>abuse,</w:t>
      </w:r>
      <w:r>
        <w:t xml:space="preserve"> and harassment in its operations.</w:t>
      </w:r>
    </w:p>
    <w:p w14:paraId="59F6ED2F" w14:textId="77777777" w:rsidR="004455D3" w:rsidRDefault="00660A9F" w:rsidP="00164C80">
      <w:r w:rsidRPr="00DF099E">
        <w:t xml:space="preserve">PWDA commits to uphold the highest level of personal and professional conduct among its workers </w:t>
      </w:r>
      <w:r>
        <w:t>and volunteers</w:t>
      </w:r>
      <w:r w:rsidRPr="00DF099E">
        <w:t xml:space="preserve"> in all areas of our work with people with disability.</w:t>
      </w:r>
    </w:p>
    <w:p w14:paraId="67BE8897" w14:textId="49D3B5EC" w:rsidR="00660A9F" w:rsidRDefault="00660A9F" w:rsidP="00164C80">
      <w:r>
        <w:lastRenderedPageBreak/>
        <w:t>PWDA does not tolerate any form of sexual exploitation, abuse, or harassment of people who engage with our work and personnel. We have systems in place to safeguard against and manage the risk of incidents.</w:t>
      </w:r>
    </w:p>
    <w:p w14:paraId="138AED90" w14:textId="77777777" w:rsidR="00660A9F" w:rsidRPr="008109A2" w:rsidRDefault="00660A9F" w:rsidP="00A60292">
      <w:pPr>
        <w:pStyle w:val="Heading3"/>
      </w:pPr>
      <w:bookmarkStart w:id="9" w:name="_Toc213421787"/>
      <w:r w:rsidRPr="008109A2">
        <w:t>Principles</w:t>
      </w:r>
      <w:bookmarkEnd w:id="9"/>
      <w:r w:rsidRPr="008109A2">
        <w:t xml:space="preserve"> </w:t>
      </w:r>
    </w:p>
    <w:p w14:paraId="53C86595" w14:textId="77777777" w:rsidR="00660A9F" w:rsidRDefault="00660A9F" w:rsidP="00A60292">
      <w:r>
        <w:t>PWDA is committed to the following core principles:</w:t>
      </w:r>
    </w:p>
    <w:p w14:paraId="49EDEEC7" w14:textId="58B4E1ED" w:rsidR="00660A9F" w:rsidRDefault="194304B2" w:rsidP="00787DE6">
      <w:pPr>
        <w:pStyle w:val="ListParagraph"/>
        <w:numPr>
          <w:ilvl w:val="0"/>
          <w:numId w:val="27"/>
        </w:numPr>
      </w:pPr>
      <w:r w:rsidRPr="1783184E">
        <w:rPr>
          <w:b/>
          <w:bCs/>
        </w:rPr>
        <w:t>Zero tolerance</w:t>
      </w:r>
      <w:r>
        <w:t xml:space="preserve"> for sexual exploitation, </w:t>
      </w:r>
      <w:r w:rsidR="493B04B2">
        <w:t>abuse,</w:t>
      </w:r>
      <w:r>
        <w:t xml:space="preserve"> and harassment in any form. </w:t>
      </w:r>
    </w:p>
    <w:p w14:paraId="47EE267A" w14:textId="77777777" w:rsidR="00660A9F" w:rsidRDefault="00660A9F" w:rsidP="00787DE6">
      <w:pPr>
        <w:pStyle w:val="ListParagraph"/>
        <w:numPr>
          <w:ilvl w:val="0"/>
          <w:numId w:val="27"/>
        </w:numPr>
      </w:pPr>
      <w:r w:rsidRPr="00787DE6">
        <w:rPr>
          <w:b/>
          <w:bCs/>
        </w:rPr>
        <w:t>Prevention is paramount</w:t>
      </w:r>
      <w:r>
        <w:t xml:space="preserve"> – interventions aim to prevent SEAH rather than only respond after the fact. </w:t>
      </w:r>
    </w:p>
    <w:p w14:paraId="1646FC86" w14:textId="77777777" w:rsidR="00660A9F" w:rsidRDefault="00660A9F" w:rsidP="00787DE6">
      <w:pPr>
        <w:pStyle w:val="ListParagraph"/>
        <w:numPr>
          <w:ilvl w:val="0"/>
          <w:numId w:val="27"/>
        </w:numPr>
      </w:pPr>
      <w:r w:rsidRPr="00787DE6">
        <w:rPr>
          <w:b/>
          <w:bCs/>
        </w:rPr>
        <w:t>Victim-survivor centre</w:t>
      </w:r>
      <w:r>
        <w:t xml:space="preserve"> the response – prioritise the rights, wishes, safety and wellbeing of affected persons. </w:t>
      </w:r>
    </w:p>
    <w:p w14:paraId="3C52713A" w14:textId="77777777" w:rsidR="00660A9F" w:rsidRDefault="00660A9F" w:rsidP="00787DE6">
      <w:pPr>
        <w:pStyle w:val="ListParagraph"/>
        <w:numPr>
          <w:ilvl w:val="0"/>
          <w:numId w:val="27"/>
        </w:numPr>
      </w:pPr>
      <w:r w:rsidRPr="00787DE6">
        <w:rPr>
          <w:b/>
          <w:bCs/>
        </w:rPr>
        <w:t>Inclusive and equitable</w:t>
      </w:r>
      <w:r>
        <w:t xml:space="preserve"> – recognise and respond to diversity (gender, disability, age, culture, sexual orientation, etc); power imbalances are addressed. </w:t>
      </w:r>
    </w:p>
    <w:p w14:paraId="41CEA206" w14:textId="77777777" w:rsidR="00660A9F" w:rsidRDefault="00660A9F" w:rsidP="00787DE6">
      <w:pPr>
        <w:pStyle w:val="ListParagraph"/>
        <w:numPr>
          <w:ilvl w:val="0"/>
          <w:numId w:val="27"/>
        </w:numPr>
      </w:pPr>
      <w:r w:rsidRPr="00787DE6">
        <w:rPr>
          <w:b/>
          <w:bCs/>
        </w:rPr>
        <w:t>Risk-based approach</w:t>
      </w:r>
      <w:r>
        <w:t xml:space="preserve"> – risk of SEAH is assessed and mitigation applied proportionate to the risk context. </w:t>
      </w:r>
    </w:p>
    <w:p w14:paraId="2F2AA5DC" w14:textId="77777777" w:rsidR="00660A9F" w:rsidRDefault="00660A9F" w:rsidP="00787DE6">
      <w:pPr>
        <w:pStyle w:val="ListParagraph"/>
        <w:numPr>
          <w:ilvl w:val="0"/>
          <w:numId w:val="27"/>
        </w:numPr>
      </w:pPr>
      <w:r w:rsidRPr="00787DE6">
        <w:rPr>
          <w:b/>
          <w:bCs/>
        </w:rPr>
        <w:t>Accountability and culture</w:t>
      </w:r>
      <w:r>
        <w:t xml:space="preserve"> – leadership is responsible for embedding safeguarding into the culture of the organisation; everyone has a role. </w:t>
      </w:r>
    </w:p>
    <w:p w14:paraId="1229AF0F" w14:textId="77777777" w:rsidR="00660A9F" w:rsidRPr="00896704" w:rsidRDefault="00660A9F" w:rsidP="00787DE6">
      <w:pPr>
        <w:pStyle w:val="ListParagraph"/>
        <w:numPr>
          <w:ilvl w:val="0"/>
          <w:numId w:val="27"/>
        </w:numPr>
      </w:pPr>
      <w:r w:rsidRPr="00787DE6">
        <w:rPr>
          <w:b/>
          <w:bCs/>
        </w:rPr>
        <w:t>Mandatory reporting</w:t>
      </w:r>
      <w:r>
        <w:t xml:space="preserve"> – all incidents, concerns or allegations must be reported promptly as per this Policy.</w:t>
      </w:r>
    </w:p>
    <w:p w14:paraId="642D8686" w14:textId="77777777" w:rsidR="00660A9F" w:rsidRPr="00E424F9" w:rsidRDefault="00660A9F" w:rsidP="00761F39">
      <w:pPr>
        <w:pStyle w:val="Heading3"/>
      </w:pPr>
      <w:bookmarkStart w:id="10" w:name="_Toc213421788"/>
      <w:bookmarkStart w:id="11" w:name="_Hlk8552989"/>
      <w:r w:rsidRPr="00E424F9">
        <w:t>Definitions</w:t>
      </w:r>
      <w:bookmarkEnd w:id="10"/>
    </w:p>
    <w:bookmarkEnd w:id="11"/>
    <w:p w14:paraId="418EA5BC" w14:textId="6E516ABF" w:rsidR="00660A9F" w:rsidRDefault="194304B2" w:rsidP="1783184E">
      <w:pPr>
        <w:rPr>
          <w:i/>
          <w:iCs/>
        </w:rPr>
      </w:pPr>
      <w:r w:rsidRPr="1783184E">
        <w:rPr>
          <w:b/>
          <w:bCs/>
        </w:rPr>
        <w:t>Sexual exploitation:</w:t>
      </w:r>
      <w:r w:rsidRPr="1783184E">
        <w:rPr>
          <w:i/>
          <w:iCs/>
        </w:rPr>
        <w:t xml:space="preserve"> </w:t>
      </w:r>
      <w:r>
        <w:t xml:space="preserve">Any actual or attempted abuse of a position of vulnerability, differential </w:t>
      </w:r>
      <w:r w:rsidR="43E987A4">
        <w:t>power,</w:t>
      </w:r>
      <w:r>
        <w:t xml:space="preserve"> or trust, for sexual purposes, including profiting monetarily, </w:t>
      </w:r>
      <w:r w:rsidR="56F18B55">
        <w:t>socially,</w:t>
      </w:r>
      <w:r>
        <w:t xml:space="preserve"> or politically from sexual exploitation of another.</w:t>
      </w:r>
    </w:p>
    <w:p w14:paraId="1878FC15" w14:textId="77777777" w:rsidR="00660A9F" w:rsidRPr="00AC28EA" w:rsidRDefault="00660A9F" w:rsidP="00761F39">
      <w:r w:rsidRPr="00AC28EA">
        <w:rPr>
          <w:b/>
          <w:bCs/>
        </w:rPr>
        <w:t>Sexual abuse:</w:t>
      </w:r>
      <w:r w:rsidRPr="00EA5225">
        <w:rPr>
          <w:i/>
          <w:iCs/>
        </w:rPr>
        <w:t xml:space="preserve"> </w:t>
      </w:r>
      <w:r w:rsidRPr="00C82203">
        <w:t>The actual or threatened physical intrusion of a sexual nature, whether by force or under unequal or coercive conditions. This includes sexual offences such as rape, sexual assault, non-consensual touching; and any sexual activity with a child (i.e., under the age of consent) is sexual abuse.</w:t>
      </w:r>
    </w:p>
    <w:p w14:paraId="746B82D9" w14:textId="77777777" w:rsidR="00660A9F" w:rsidRDefault="00660A9F" w:rsidP="00761F39">
      <w:r w:rsidRPr="003148F3">
        <w:rPr>
          <w:b/>
          <w:bCs/>
        </w:rPr>
        <w:t>Sexual harassment</w:t>
      </w:r>
      <w:r w:rsidRPr="00EA5225">
        <w:rPr>
          <w:i/>
          <w:iCs/>
        </w:rPr>
        <w:t xml:space="preserve">: </w:t>
      </w:r>
      <w:r w:rsidRPr="00C82203">
        <w:t xml:space="preserve">A person harasses another if they make an unwelcome sexual advance or request for sexual favours or engage in other unwelcome conduct of a </w:t>
      </w:r>
      <w:r w:rsidRPr="00C82203">
        <w:lastRenderedPageBreak/>
        <w:t xml:space="preserve">sexual nature, in circumstances where a reasonable person would anticipate the possibility of offence, humiliation or intimidation. </w:t>
      </w:r>
    </w:p>
    <w:p w14:paraId="5B87BB23" w14:textId="77777777" w:rsidR="00660A9F" w:rsidRDefault="00660A9F" w:rsidP="00761F39">
      <w:r w:rsidRPr="00EA5225">
        <w:rPr>
          <w:i/>
          <w:iCs/>
        </w:rPr>
        <w:t xml:space="preserve"> </w:t>
      </w:r>
      <w:r w:rsidRPr="003148F3">
        <w:rPr>
          <w:b/>
          <w:bCs/>
        </w:rPr>
        <w:t>Victim-survivor</w:t>
      </w:r>
      <w:r>
        <w:rPr>
          <w:b/>
          <w:bCs/>
        </w:rPr>
        <w:t xml:space="preserve"> centred approach</w:t>
      </w:r>
      <w:r w:rsidRPr="003148F3">
        <w:rPr>
          <w:b/>
          <w:bCs/>
        </w:rPr>
        <w:t>:</w:t>
      </w:r>
      <w:r w:rsidRPr="00EA5225">
        <w:rPr>
          <w:i/>
          <w:iCs/>
        </w:rPr>
        <w:t xml:space="preserve"> </w:t>
      </w:r>
      <w:r w:rsidRPr="00573F99">
        <w:t>A way of handling allegations or concerns that respects the dignity, choices, rights, wishes and wellbeing of those affected.</w:t>
      </w:r>
    </w:p>
    <w:p w14:paraId="012314BF" w14:textId="77777777" w:rsidR="00660A9F" w:rsidRPr="008109A2" w:rsidRDefault="00660A9F" w:rsidP="00761F39">
      <w:pPr>
        <w:pStyle w:val="Heading3"/>
      </w:pPr>
      <w:bookmarkStart w:id="12" w:name="_Toc213421789"/>
      <w:r w:rsidRPr="008109A2">
        <w:t>Standards of Behaviour</w:t>
      </w:r>
      <w:bookmarkEnd w:id="12"/>
    </w:p>
    <w:p w14:paraId="39DF8D7F" w14:textId="77777777" w:rsidR="00660A9F" w:rsidRDefault="00660A9F" w:rsidP="004053A5">
      <w:r>
        <w:t>All workers and volunteers must:</w:t>
      </w:r>
    </w:p>
    <w:p w14:paraId="50441E20" w14:textId="0F4EC219" w:rsidR="00660A9F" w:rsidRDefault="2B3FDD4D" w:rsidP="004053A5">
      <w:pPr>
        <w:pStyle w:val="ListParagraph"/>
        <w:numPr>
          <w:ilvl w:val="0"/>
          <w:numId w:val="28"/>
        </w:numPr>
      </w:pPr>
      <w:r>
        <w:t>t</w:t>
      </w:r>
      <w:r w:rsidR="194304B2">
        <w:t xml:space="preserve">reat all persons with dignity, </w:t>
      </w:r>
      <w:r w:rsidR="37D1AB2F">
        <w:t>respect,</w:t>
      </w:r>
      <w:r w:rsidR="194304B2">
        <w:t xml:space="preserve"> and fairness – regardless of their role, background, disability </w:t>
      </w:r>
      <w:r w:rsidR="761EC7F4">
        <w:t>status,</w:t>
      </w:r>
      <w:r w:rsidR="194304B2">
        <w:t xml:space="preserve"> or ag</w:t>
      </w:r>
      <w:r w:rsidR="507E053F">
        <w:t>e</w:t>
      </w:r>
    </w:p>
    <w:p w14:paraId="60448086" w14:textId="05BC5B85" w:rsidR="00660A9F" w:rsidRDefault="1541AB37" w:rsidP="004053A5">
      <w:pPr>
        <w:pStyle w:val="ListParagraph"/>
        <w:numPr>
          <w:ilvl w:val="0"/>
          <w:numId w:val="28"/>
        </w:numPr>
      </w:pPr>
      <w:r>
        <w:t>n</w:t>
      </w:r>
      <w:r w:rsidR="194304B2">
        <w:t xml:space="preserve">ot engage in any form of sexual exploitation, </w:t>
      </w:r>
      <w:r w:rsidR="5B224137">
        <w:t>abuse,</w:t>
      </w:r>
      <w:r w:rsidR="194304B2">
        <w:t xml:space="preserve"> or harassment of any person, including beneficiaries, community members, staff, </w:t>
      </w:r>
      <w:r w:rsidR="4012DDDA">
        <w:t>volunteers,</w:t>
      </w:r>
      <w:r w:rsidR="194304B2">
        <w:t xml:space="preserve"> or partners</w:t>
      </w:r>
    </w:p>
    <w:p w14:paraId="3F0378C9" w14:textId="68FB6E73" w:rsidR="00660A9F" w:rsidRDefault="507E053F" w:rsidP="004053A5">
      <w:pPr>
        <w:pStyle w:val="ListParagraph"/>
        <w:numPr>
          <w:ilvl w:val="0"/>
          <w:numId w:val="28"/>
        </w:numPr>
      </w:pPr>
      <w:r>
        <w:t>n</w:t>
      </w:r>
      <w:r w:rsidR="194304B2">
        <w:t xml:space="preserve">ot exchange money, employment, goods, </w:t>
      </w:r>
      <w:r w:rsidR="2A9969D2">
        <w:t>services,</w:t>
      </w:r>
      <w:r w:rsidR="194304B2">
        <w:t xml:space="preserve"> or assistance for sexual activity</w:t>
      </w:r>
    </w:p>
    <w:p w14:paraId="033D8446" w14:textId="62F8A616" w:rsidR="00660A9F" w:rsidRDefault="507E053F" w:rsidP="004053A5">
      <w:pPr>
        <w:pStyle w:val="ListParagraph"/>
        <w:numPr>
          <w:ilvl w:val="0"/>
          <w:numId w:val="28"/>
        </w:numPr>
      </w:pPr>
      <w:r>
        <w:t>n</w:t>
      </w:r>
      <w:r w:rsidR="194304B2">
        <w:t xml:space="preserve">ot engage in sexual activity with a child (i.e., anyone under the age of consent in the relevant </w:t>
      </w:r>
      <w:bookmarkStart w:id="13" w:name="_Int_3aAQGrHQ"/>
      <w:r w:rsidR="194304B2">
        <w:t>jurisdiction</w:t>
      </w:r>
      <w:bookmarkEnd w:id="13"/>
      <w:r w:rsidR="194304B2">
        <w:t>) – this is prohibited regardless of local custom or consent</w:t>
      </w:r>
    </w:p>
    <w:p w14:paraId="6A082F51" w14:textId="07CACD19" w:rsidR="00660A9F" w:rsidRDefault="0043390F" w:rsidP="004053A5">
      <w:pPr>
        <w:pStyle w:val="ListParagraph"/>
        <w:numPr>
          <w:ilvl w:val="0"/>
          <w:numId w:val="28"/>
        </w:numPr>
      </w:pPr>
      <w:r>
        <w:t>r</w:t>
      </w:r>
      <w:r w:rsidR="00660A9F">
        <w:t>espect professional boundarie</w:t>
      </w:r>
      <w:r>
        <w:t>s – p</w:t>
      </w:r>
      <w:r w:rsidR="00660A9F">
        <w:t xml:space="preserve">ersonal relationships that could compromise </w:t>
      </w:r>
      <w:r>
        <w:t xml:space="preserve">a </w:t>
      </w:r>
      <w:r w:rsidR="00660A9F">
        <w:t>position of trust must be declared and managed</w:t>
      </w:r>
    </w:p>
    <w:p w14:paraId="570C37FA" w14:textId="15B31607" w:rsidR="00660A9F" w:rsidRDefault="0043390F" w:rsidP="004053A5">
      <w:pPr>
        <w:pStyle w:val="ListParagraph"/>
        <w:numPr>
          <w:ilvl w:val="0"/>
          <w:numId w:val="28"/>
        </w:numPr>
      </w:pPr>
      <w:r>
        <w:t>n</w:t>
      </w:r>
      <w:r w:rsidR="00660A9F">
        <w:t>ot use their position of power or trust to initiate a sexual relationship with a person for whom they have responsibility (e.g., a supported person, client, beneficiary)</w:t>
      </w:r>
    </w:p>
    <w:p w14:paraId="0ACC64D7" w14:textId="617632B7" w:rsidR="00660A9F" w:rsidRDefault="5DFFC0C2" w:rsidP="004053A5">
      <w:pPr>
        <w:pStyle w:val="ListParagraph"/>
        <w:numPr>
          <w:ilvl w:val="0"/>
          <w:numId w:val="28"/>
        </w:numPr>
      </w:pPr>
      <w:r>
        <w:t>e</w:t>
      </w:r>
      <w:r w:rsidR="194304B2">
        <w:t xml:space="preserve">nsure images/recordings of children or persons with disability are only taken, </w:t>
      </w:r>
      <w:r w:rsidR="2A659F52">
        <w:t>used,</w:t>
      </w:r>
      <w:r w:rsidR="194304B2">
        <w:t xml:space="preserve"> and stored with informed consent and in accordance with relevant policies</w:t>
      </w:r>
    </w:p>
    <w:p w14:paraId="5E45389D" w14:textId="11D12BE4" w:rsidR="00660A9F" w:rsidRDefault="000C26B1" w:rsidP="004053A5">
      <w:pPr>
        <w:pStyle w:val="ListParagraph"/>
        <w:numPr>
          <w:ilvl w:val="0"/>
          <w:numId w:val="28"/>
        </w:numPr>
      </w:pPr>
      <w:r>
        <w:t>r</w:t>
      </w:r>
      <w:r w:rsidR="00660A9F">
        <w:t>aise any concerns or suspicions of SEAH without fear of retaliation</w:t>
      </w:r>
    </w:p>
    <w:p w14:paraId="2099B4D5" w14:textId="70B09820" w:rsidR="00660A9F" w:rsidRDefault="000C26B1" w:rsidP="004053A5">
      <w:pPr>
        <w:pStyle w:val="ListParagraph"/>
        <w:numPr>
          <w:ilvl w:val="0"/>
          <w:numId w:val="28"/>
        </w:numPr>
      </w:pPr>
      <w:r>
        <w:t>c</w:t>
      </w:r>
      <w:r w:rsidR="00660A9F">
        <w:t>ooperate fully with investigations into alleged SEAH and comply with any risk mitigation measures or disciplinary actions.</w:t>
      </w:r>
    </w:p>
    <w:p w14:paraId="43BB0208" w14:textId="77777777" w:rsidR="00660A9F" w:rsidRPr="008B7A47" w:rsidRDefault="00660A9F" w:rsidP="000C26B1">
      <w:pPr>
        <w:pStyle w:val="Heading3"/>
      </w:pPr>
      <w:bookmarkStart w:id="14" w:name="_Toc213421790"/>
      <w:r w:rsidRPr="008B7A47">
        <w:t>Risk Management and Safeguarding Measures</w:t>
      </w:r>
      <w:bookmarkEnd w:id="14"/>
    </w:p>
    <w:p w14:paraId="7849BEA6" w14:textId="77777777" w:rsidR="00660A9F" w:rsidRDefault="00660A9F" w:rsidP="000C26B1">
      <w:r>
        <w:t>PWDA will implement proactive safeguarding measures including, but not limited to:</w:t>
      </w:r>
    </w:p>
    <w:p w14:paraId="4023ED07" w14:textId="04A32ADB" w:rsidR="00660A9F" w:rsidRDefault="3B70B3A6" w:rsidP="000C26B1">
      <w:pPr>
        <w:pStyle w:val="ListParagraph"/>
        <w:numPr>
          <w:ilvl w:val="0"/>
          <w:numId w:val="29"/>
        </w:numPr>
      </w:pPr>
      <w:r>
        <w:lastRenderedPageBreak/>
        <w:t>c</w:t>
      </w:r>
      <w:r w:rsidR="194304B2">
        <w:t xml:space="preserve">onducting risk assessments for SEAH in all programmatic, </w:t>
      </w:r>
      <w:r w:rsidR="1AA51E44">
        <w:t>operational,</w:t>
      </w:r>
      <w:r w:rsidR="194304B2">
        <w:t xml:space="preserve"> and organisational contexts – including with children and persons with disability in mind</w:t>
      </w:r>
    </w:p>
    <w:p w14:paraId="3D48EFCC" w14:textId="3506C886" w:rsidR="00660A9F" w:rsidRDefault="00FC6A36" w:rsidP="000C26B1">
      <w:pPr>
        <w:pStyle w:val="ListParagraph"/>
        <w:numPr>
          <w:ilvl w:val="0"/>
          <w:numId w:val="29"/>
        </w:numPr>
      </w:pPr>
      <w:r>
        <w:t>e</w:t>
      </w:r>
      <w:r w:rsidR="00660A9F">
        <w:t>mbedding safeguarding practices into program design, recruitment, training, monitoring and evaluation</w:t>
      </w:r>
    </w:p>
    <w:p w14:paraId="32243F2D" w14:textId="7EC88F3C" w:rsidR="00660A9F" w:rsidRDefault="1B488A02" w:rsidP="000C26B1">
      <w:pPr>
        <w:pStyle w:val="ListParagraph"/>
        <w:numPr>
          <w:ilvl w:val="0"/>
          <w:numId w:val="29"/>
        </w:numPr>
      </w:pPr>
      <w:r>
        <w:t>s</w:t>
      </w:r>
      <w:r w:rsidR="194304B2">
        <w:t xml:space="preserve">creening and vetting of workers, </w:t>
      </w:r>
      <w:r w:rsidR="5F03FAF9">
        <w:t>volunteers,</w:t>
      </w:r>
      <w:r w:rsidR="194304B2">
        <w:t xml:space="preserve"> and partner personnel for suitability, with specific attention to safeguarding</w:t>
      </w:r>
    </w:p>
    <w:p w14:paraId="33986190" w14:textId="656066C7" w:rsidR="00660A9F" w:rsidRDefault="00FC6A36" w:rsidP="000C26B1">
      <w:pPr>
        <w:pStyle w:val="ListParagraph"/>
        <w:numPr>
          <w:ilvl w:val="0"/>
          <w:numId w:val="29"/>
        </w:numPr>
      </w:pPr>
      <w:r>
        <w:t>e</w:t>
      </w:r>
      <w:r w:rsidR="00660A9F">
        <w:t>nsuring roles with significant contact with children or persons with disability have appropriate supervisory arrangements and training</w:t>
      </w:r>
    </w:p>
    <w:p w14:paraId="77E39E56" w14:textId="4AE2BBF9" w:rsidR="00660A9F" w:rsidRDefault="1B488A02" w:rsidP="000C26B1">
      <w:pPr>
        <w:pStyle w:val="ListParagraph"/>
        <w:numPr>
          <w:ilvl w:val="0"/>
          <w:numId w:val="29"/>
        </w:numPr>
      </w:pPr>
      <w:r>
        <w:t>p</w:t>
      </w:r>
      <w:r w:rsidR="194304B2">
        <w:t xml:space="preserve">roviding regular training and awareness-raising for workers, </w:t>
      </w:r>
      <w:r w:rsidR="5A320CD8">
        <w:t>volunteers,</w:t>
      </w:r>
      <w:r w:rsidR="194304B2">
        <w:t xml:space="preserve"> and partners about SEAH risk, prevention, reporting and response</w:t>
      </w:r>
    </w:p>
    <w:p w14:paraId="723E3EF4" w14:textId="5DF79E0E" w:rsidR="00660A9F" w:rsidRDefault="00FC6A36" w:rsidP="000C26B1">
      <w:pPr>
        <w:pStyle w:val="ListParagraph"/>
        <w:numPr>
          <w:ilvl w:val="0"/>
          <w:numId w:val="29"/>
        </w:numPr>
      </w:pPr>
      <w:r>
        <w:t>m</w:t>
      </w:r>
      <w:r w:rsidR="00660A9F">
        <w:t>onitoring partner organisations for compliance with safeguarding expectations and including contractual clauses as required</w:t>
      </w:r>
    </w:p>
    <w:p w14:paraId="5901FE44" w14:textId="4B3B043E" w:rsidR="00660A9F" w:rsidRDefault="00E90600" w:rsidP="000C26B1">
      <w:pPr>
        <w:pStyle w:val="ListParagraph"/>
        <w:numPr>
          <w:ilvl w:val="0"/>
          <w:numId w:val="29"/>
        </w:numPr>
      </w:pPr>
      <w:r>
        <w:t>m</w:t>
      </w:r>
      <w:r w:rsidR="00660A9F">
        <w:t>aintaining confidentiality about reports and investigations to the extent possible while protecting the rights of the victim-survivor and due process for any respondent</w:t>
      </w:r>
    </w:p>
    <w:p w14:paraId="3C8458A3" w14:textId="6E51D48C" w:rsidR="00660A9F" w:rsidRDefault="761715EF" w:rsidP="000C26B1">
      <w:pPr>
        <w:pStyle w:val="ListParagraph"/>
        <w:numPr>
          <w:ilvl w:val="0"/>
          <w:numId w:val="29"/>
        </w:numPr>
      </w:pPr>
      <w:r>
        <w:t>r</w:t>
      </w:r>
      <w:r w:rsidR="194304B2">
        <w:t xml:space="preserve">egularly reviewing and updating safeguarding policies, </w:t>
      </w:r>
      <w:r w:rsidR="73EEECAC">
        <w:t>practices,</w:t>
      </w:r>
      <w:r w:rsidR="194304B2">
        <w:t xml:space="preserve"> and reporting mechanisms.</w:t>
      </w:r>
    </w:p>
    <w:p w14:paraId="3C492834" w14:textId="77777777" w:rsidR="00660A9F" w:rsidRPr="00311134" w:rsidRDefault="00660A9F" w:rsidP="00E90600">
      <w:pPr>
        <w:pStyle w:val="Heading3"/>
      </w:pPr>
      <w:bookmarkStart w:id="15" w:name="_Toc213421791"/>
      <w:r w:rsidRPr="00311134">
        <w:t>Reporting and Response</w:t>
      </w:r>
      <w:bookmarkEnd w:id="15"/>
    </w:p>
    <w:p w14:paraId="5D981533" w14:textId="77777777" w:rsidR="00660A9F" w:rsidRPr="00311134" w:rsidRDefault="00660A9F" w:rsidP="00E90600">
      <w:pPr>
        <w:pStyle w:val="Heading4"/>
      </w:pPr>
      <w:r w:rsidRPr="00311134">
        <w:t>Reporting obligations</w:t>
      </w:r>
    </w:p>
    <w:p w14:paraId="2E723C37" w14:textId="77777777" w:rsidR="00660A9F" w:rsidRDefault="00660A9F" w:rsidP="00E90600">
      <w:r>
        <w:t>Any person (worker, volunteer, partner, community member or third party) who becomes aware of an incident, allegation, suspicion or concern of sexual exploitation, abuse or harassment must report it immediately.</w:t>
      </w:r>
    </w:p>
    <w:p w14:paraId="6F7CD907" w14:textId="554A6981" w:rsidR="00660A9F" w:rsidRDefault="00660A9F" w:rsidP="00E90600">
      <w:r w:rsidRPr="00E450ED">
        <w:t>Reporting must be done even if the</w:t>
      </w:r>
      <w:r w:rsidR="00F23E78" w:rsidRPr="00E450ED">
        <w:t xml:space="preserve"> </w:t>
      </w:r>
      <w:r w:rsidR="002C2C52" w:rsidRPr="00E450ED">
        <w:t>identity of</w:t>
      </w:r>
      <w:r w:rsidRPr="00E450ED">
        <w:t xml:space="preserve"> perpetrator is not certain or the victim-survivor is unknown; concerns of potential harm must be raised.</w:t>
      </w:r>
    </w:p>
    <w:p w14:paraId="239ED396" w14:textId="77777777" w:rsidR="00660A9F" w:rsidRDefault="194304B2" w:rsidP="00E90600">
      <w:r>
        <w:t xml:space="preserve">Retaliation against a person making a report in good faith is </w:t>
      </w:r>
      <w:bookmarkStart w:id="16" w:name="_Int_vIpUCVBc"/>
      <w:r>
        <w:t>strictly prohibited</w:t>
      </w:r>
      <w:bookmarkEnd w:id="16"/>
      <w:r>
        <w:t>.</w:t>
      </w:r>
    </w:p>
    <w:p w14:paraId="1F27E6A7" w14:textId="77777777" w:rsidR="00660A9F" w:rsidRPr="0092478D" w:rsidRDefault="00660A9F" w:rsidP="000E1A07">
      <w:pPr>
        <w:pStyle w:val="Heading4"/>
      </w:pPr>
      <w:r w:rsidRPr="0092478D">
        <w:t>Reporting channels</w:t>
      </w:r>
    </w:p>
    <w:p w14:paraId="34631A36" w14:textId="5B0F932A" w:rsidR="00C0672A" w:rsidRDefault="047D13F3" w:rsidP="00C0672A">
      <w:r>
        <w:t xml:space="preserve">PWDA will maintain accessible, </w:t>
      </w:r>
      <w:r w:rsidR="509297FE">
        <w:t>safe,</w:t>
      </w:r>
      <w:r>
        <w:t xml:space="preserve"> and confidential reporting pathways</w:t>
      </w:r>
      <w:r w:rsidR="54C26BC2">
        <w:t>.</w:t>
      </w:r>
    </w:p>
    <w:p w14:paraId="1A4779CB" w14:textId="11458DF1" w:rsidR="00660A9F" w:rsidRDefault="00660A9F" w:rsidP="00660A9F">
      <w:pPr>
        <w:pStyle w:val="paragraph"/>
        <w:spacing w:before="0" w:beforeAutospacing="0" w:after="0" w:afterAutospacing="0" w:line="360" w:lineRule="auto"/>
        <w:textAlignment w:val="baseline"/>
        <w:rPr>
          <w:rStyle w:val="eop"/>
          <w:rFonts w:ascii="Arial" w:hAnsi="Arial" w:cs="Arial"/>
        </w:rPr>
      </w:pPr>
      <w:r>
        <w:rPr>
          <w:rStyle w:val="normaltextrun"/>
          <w:rFonts w:ascii="Arial" w:hAnsi="Arial" w:cs="Arial"/>
        </w:rPr>
        <w:t>Any concerns or complaints about SEAH should be directed to the CEO</w:t>
      </w:r>
      <w:r>
        <w:rPr>
          <w:rStyle w:val="eop"/>
          <w:rFonts w:ascii="Arial" w:hAnsi="Arial" w:cs="Arial"/>
        </w:rPr>
        <w:t xml:space="preserve"> through the following channels</w:t>
      </w:r>
      <w:r w:rsidR="0065700F">
        <w:rPr>
          <w:rStyle w:val="eop"/>
          <w:rFonts w:ascii="Arial" w:hAnsi="Arial" w:cs="Arial"/>
        </w:rPr>
        <w:t>:</w:t>
      </w:r>
    </w:p>
    <w:p w14:paraId="0DCF8041" w14:textId="63CAD4F0" w:rsidR="00660A9F" w:rsidRDefault="7E5716F8" w:rsidP="7AE4F818">
      <w:pPr>
        <w:pStyle w:val="paragraph"/>
        <w:spacing w:before="0" w:beforeAutospacing="0" w:after="0" w:afterAutospacing="0" w:line="360" w:lineRule="auto"/>
        <w:textAlignment w:val="baseline"/>
        <w:rPr>
          <w:rFonts w:ascii="Arial" w:hAnsi="Arial" w:cs="Arial"/>
        </w:rPr>
      </w:pPr>
      <w:r w:rsidRPr="7AE4F818">
        <w:rPr>
          <w:rStyle w:val="eop"/>
          <w:rFonts w:ascii="Arial" w:hAnsi="Arial" w:cs="Arial"/>
          <w:b/>
          <w:bCs/>
        </w:rPr>
        <w:lastRenderedPageBreak/>
        <w:t>Post</w:t>
      </w:r>
      <w:r w:rsidRPr="7AE4F818">
        <w:rPr>
          <w:rStyle w:val="eop"/>
          <w:rFonts w:ascii="Arial" w:hAnsi="Arial" w:cs="Arial"/>
        </w:rPr>
        <w:t>:</w:t>
      </w:r>
      <w:r>
        <w:tab/>
      </w:r>
      <w:r>
        <w:tab/>
      </w:r>
      <w:r w:rsidR="194304B2" w:rsidRPr="7AE4F818">
        <w:rPr>
          <w:rStyle w:val="normaltextrun"/>
          <w:rFonts w:ascii="Arial" w:hAnsi="Arial" w:cs="Arial"/>
        </w:rPr>
        <w:t>CEO, PO Box 666, Strawberry Hills NSW 2012</w:t>
      </w:r>
      <w:r w:rsidR="194304B2" w:rsidRPr="7AE4F818">
        <w:rPr>
          <w:rStyle w:val="eop"/>
          <w:rFonts w:ascii="Arial" w:hAnsi="Arial" w:cs="Arial"/>
        </w:rPr>
        <w:t> </w:t>
      </w:r>
    </w:p>
    <w:p w14:paraId="6C77EC84" w14:textId="51E1F041" w:rsidR="00660A9F" w:rsidRDefault="53DD5C68" w:rsidP="7AE4F818">
      <w:pPr>
        <w:pStyle w:val="paragraph"/>
        <w:spacing w:before="0" w:beforeAutospacing="0" w:after="0" w:afterAutospacing="0" w:line="360" w:lineRule="auto"/>
        <w:textAlignment w:val="baseline"/>
        <w:rPr>
          <w:rFonts w:ascii="Arial" w:hAnsi="Arial" w:cs="Arial"/>
        </w:rPr>
      </w:pPr>
      <w:r w:rsidRPr="7AE4F818">
        <w:rPr>
          <w:rStyle w:val="normaltextrun"/>
          <w:rFonts w:ascii="Arial" w:hAnsi="Arial" w:cs="Arial"/>
          <w:b/>
          <w:bCs/>
        </w:rPr>
        <w:t>Phone</w:t>
      </w:r>
      <w:r w:rsidR="194304B2" w:rsidRPr="7AE4F818">
        <w:rPr>
          <w:rStyle w:val="normaltextrun"/>
          <w:rFonts w:ascii="Arial" w:hAnsi="Arial" w:cs="Arial"/>
        </w:rPr>
        <w:t>:</w:t>
      </w:r>
      <w:r>
        <w:tab/>
      </w:r>
      <w:r w:rsidR="194304B2" w:rsidRPr="7AE4F818">
        <w:rPr>
          <w:rStyle w:val="normaltextrun"/>
          <w:rFonts w:ascii="Arial" w:hAnsi="Arial" w:cs="Arial"/>
        </w:rPr>
        <w:t>1800 422 015</w:t>
      </w:r>
      <w:r w:rsidR="194304B2" w:rsidRPr="7AE4F818">
        <w:rPr>
          <w:rStyle w:val="eop"/>
          <w:rFonts w:ascii="Arial" w:hAnsi="Arial" w:cs="Arial"/>
        </w:rPr>
        <w:t> </w:t>
      </w:r>
    </w:p>
    <w:p w14:paraId="4D875C42" w14:textId="77777777" w:rsidR="00733ED1" w:rsidRDefault="53DD5C68" w:rsidP="7AE4F818">
      <w:pPr>
        <w:pStyle w:val="paragraph"/>
        <w:spacing w:before="0" w:beforeAutospacing="0" w:after="0" w:afterAutospacing="0" w:line="360" w:lineRule="auto"/>
        <w:ind w:left="1440" w:hanging="1440"/>
        <w:textAlignment w:val="baseline"/>
        <w:rPr>
          <w:rStyle w:val="normaltextrun"/>
          <w:rFonts w:ascii="Arial" w:hAnsi="Arial" w:cs="Arial"/>
        </w:rPr>
      </w:pPr>
      <w:r w:rsidRPr="7AE4F818">
        <w:rPr>
          <w:rStyle w:val="normaltextrun"/>
          <w:rFonts w:ascii="Arial" w:hAnsi="Arial" w:cs="Arial"/>
          <w:b/>
          <w:bCs/>
        </w:rPr>
        <w:t>Visit</w:t>
      </w:r>
      <w:r w:rsidRPr="7AE4F818">
        <w:rPr>
          <w:rStyle w:val="normaltextrun"/>
          <w:rFonts w:ascii="Arial" w:hAnsi="Arial" w:cs="Arial"/>
        </w:rPr>
        <w:t>:</w:t>
      </w:r>
      <w:r>
        <w:tab/>
      </w:r>
      <w:r w:rsidR="194304B2" w:rsidRPr="7AE4F818">
        <w:rPr>
          <w:rStyle w:val="normaltextrun"/>
          <w:rFonts w:ascii="Arial" w:hAnsi="Arial" w:cs="Arial"/>
        </w:rPr>
        <w:t xml:space="preserve">PWDA Head Office: Suite 10.01 Centennial Plaza, Level 10, </w:t>
      </w:r>
    </w:p>
    <w:p w14:paraId="4FB978EA" w14:textId="2D1B63B3" w:rsidR="00660A9F" w:rsidRDefault="00660A9F" w:rsidP="00C60004">
      <w:pPr>
        <w:ind w:left="1440"/>
        <w:rPr>
          <w:rStyle w:val="eop"/>
          <w:rFonts w:cs="Arial"/>
        </w:rPr>
      </w:pPr>
      <w:r>
        <w:rPr>
          <w:rStyle w:val="normaltextrun"/>
          <w:rFonts w:cs="Arial"/>
        </w:rPr>
        <w:t xml:space="preserve">300 Elizabeth Street, Surry Hills NSW 2010. </w:t>
      </w:r>
      <w:r w:rsidR="00074173">
        <w:rPr>
          <w:rStyle w:val="normaltextrun"/>
          <w:rFonts w:cs="Arial"/>
        </w:rPr>
        <w:t>(</w:t>
      </w:r>
      <w:r>
        <w:rPr>
          <w:rStyle w:val="normaltextrun"/>
          <w:rFonts w:cs="Arial"/>
        </w:rPr>
        <w:t>Please call 1800 422 015 to arrange a time.</w:t>
      </w:r>
      <w:r w:rsidR="00074173">
        <w:rPr>
          <w:rStyle w:val="normaltextrun"/>
          <w:rFonts w:cs="Arial"/>
        </w:rPr>
        <w:t>)</w:t>
      </w:r>
      <w:r>
        <w:rPr>
          <w:rStyle w:val="eop"/>
          <w:rFonts w:cs="Arial"/>
        </w:rPr>
        <w:t> </w:t>
      </w:r>
    </w:p>
    <w:p w14:paraId="196097AE" w14:textId="7EC14504" w:rsidR="00660A9F" w:rsidRDefault="004B6C74" w:rsidP="00C0672A">
      <w:r>
        <w:t>PWDA</w:t>
      </w:r>
      <w:r w:rsidR="00C0672A">
        <w:t xml:space="preserve"> may also </w:t>
      </w:r>
      <w:r w:rsidR="00074173">
        <w:t>u</w:t>
      </w:r>
      <w:r w:rsidR="00660A9F">
        <w:t>s</w:t>
      </w:r>
      <w:r w:rsidR="00C0672A">
        <w:t>e</w:t>
      </w:r>
      <w:r w:rsidR="00660A9F">
        <w:t xml:space="preserve"> an external/independent reporting mechanism if </w:t>
      </w:r>
      <w:r w:rsidR="00074173">
        <w:t xml:space="preserve">an </w:t>
      </w:r>
      <w:r w:rsidR="00660A9F">
        <w:t>internal route is unsuitable</w:t>
      </w:r>
      <w:r w:rsidR="00C0672A">
        <w:t>.</w:t>
      </w:r>
    </w:p>
    <w:p w14:paraId="6ADD60C1" w14:textId="54A9106F" w:rsidR="001C42BA" w:rsidRDefault="001C42BA" w:rsidP="00C0672A">
      <w:r>
        <w:t>As required, PWDA will:</w:t>
      </w:r>
    </w:p>
    <w:p w14:paraId="29A7AC8E" w14:textId="76CAFEE0" w:rsidR="00660A9F" w:rsidRDefault="000F632D" w:rsidP="00660A9F">
      <w:pPr>
        <w:pStyle w:val="ListParagraph"/>
        <w:numPr>
          <w:ilvl w:val="0"/>
          <w:numId w:val="24"/>
        </w:numPr>
        <w:spacing w:before="120" w:after="0"/>
      </w:pPr>
      <w:r>
        <w:t>report to appropriate statutory authorities i</w:t>
      </w:r>
      <w:r w:rsidR="00660A9F">
        <w:t>f the incident involves a child or persons with disability in a supported capacity</w:t>
      </w:r>
    </w:p>
    <w:p w14:paraId="20937BDC" w14:textId="7F86B84A" w:rsidR="00660A9F" w:rsidRDefault="006C21CD" w:rsidP="00660A9F">
      <w:pPr>
        <w:pStyle w:val="ListParagraph"/>
        <w:numPr>
          <w:ilvl w:val="0"/>
          <w:numId w:val="24"/>
        </w:numPr>
        <w:spacing w:before="120" w:after="0"/>
      </w:pPr>
      <w:r>
        <w:t>provide timely notification f</w:t>
      </w:r>
      <w:r w:rsidR="00660A9F">
        <w:t>or incidents tied to donor/partner obligations (e.g., DFAT)</w:t>
      </w:r>
      <w:r>
        <w:t>.</w:t>
      </w:r>
    </w:p>
    <w:p w14:paraId="55036A35" w14:textId="77777777" w:rsidR="00660A9F" w:rsidRPr="006526CF" w:rsidRDefault="00660A9F" w:rsidP="006C21CD">
      <w:pPr>
        <w:pStyle w:val="Heading4"/>
      </w:pPr>
      <w:r w:rsidRPr="006526CF">
        <w:t>Response and investigation</w:t>
      </w:r>
    </w:p>
    <w:p w14:paraId="7F0E516F" w14:textId="77777777" w:rsidR="00660A9F" w:rsidRDefault="00660A9F" w:rsidP="006C21CD">
      <w:r>
        <w:t>Upon receiving a report, PWDA will:</w:t>
      </w:r>
    </w:p>
    <w:p w14:paraId="63571BE3" w14:textId="19BC44AD" w:rsidR="00660A9F" w:rsidRDefault="006C21CD" w:rsidP="006C21CD">
      <w:pPr>
        <w:pStyle w:val="ListParagraph"/>
        <w:numPr>
          <w:ilvl w:val="0"/>
          <w:numId w:val="30"/>
        </w:numPr>
      </w:pPr>
      <w:r>
        <w:t>a</w:t>
      </w:r>
      <w:r w:rsidR="00660A9F">
        <w:t>cknowledge receipt of the report (where possible) and ensure the safety of those affected.</w:t>
      </w:r>
    </w:p>
    <w:p w14:paraId="1FD5CA61" w14:textId="50E7042B" w:rsidR="00660A9F" w:rsidRDefault="006C21CD" w:rsidP="006C21CD">
      <w:pPr>
        <w:pStyle w:val="ListParagraph"/>
        <w:numPr>
          <w:ilvl w:val="0"/>
          <w:numId w:val="30"/>
        </w:numPr>
      </w:pPr>
      <w:r>
        <w:t>u</w:t>
      </w:r>
      <w:r w:rsidR="00660A9F">
        <w:t>ndertake an initial assessment of risk and determine immediate protective actions</w:t>
      </w:r>
    </w:p>
    <w:p w14:paraId="67C1A8D4" w14:textId="76AA7DA4" w:rsidR="00660A9F" w:rsidRDefault="55838C33" w:rsidP="006C21CD">
      <w:pPr>
        <w:pStyle w:val="ListParagraph"/>
        <w:numPr>
          <w:ilvl w:val="0"/>
          <w:numId w:val="30"/>
        </w:numPr>
      </w:pPr>
      <w:r>
        <w:t>a</w:t>
      </w:r>
      <w:r w:rsidR="194304B2">
        <w:t xml:space="preserve">ppoint an appropriate investigation team or refer to </w:t>
      </w:r>
      <w:r>
        <w:t xml:space="preserve">an </w:t>
      </w:r>
      <w:r w:rsidR="194304B2">
        <w:t xml:space="preserve">external investigator depending on the seriousness, risk, </w:t>
      </w:r>
      <w:r w:rsidR="3F5EB4E0">
        <w:t>context,</w:t>
      </w:r>
      <w:r w:rsidR="194304B2">
        <w:t xml:space="preserve"> and expertise required</w:t>
      </w:r>
    </w:p>
    <w:p w14:paraId="0B76B2B2" w14:textId="33C382C2" w:rsidR="00660A9F" w:rsidRDefault="55838C33" w:rsidP="006C21CD">
      <w:pPr>
        <w:pStyle w:val="ListParagraph"/>
        <w:numPr>
          <w:ilvl w:val="0"/>
          <w:numId w:val="30"/>
        </w:numPr>
      </w:pPr>
      <w:r>
        <w:t>e</w:t>
      </w:r>
      <w:r w:rsidR="194304B2">
        <w:t xml:space="preserve">nsure the investigation is conducted objectively, timely, </w:t>
      </w:r>
      <w:r w:rsidR="778BCD73">
        <w:t>impartially,</w:t>
      </w:r>
      <w:r w:rsidR="194304B2">
        <w:t xml:space="preserve"> and confidentially</w:t>
      </w:r>
    </w:p>
    <w:p w14:paraId="63B21CCC" w14:textId="7569ED35" w:rsidR="00660A9F" w:rsidRDefault="00EC0692" w:rsidP="006C21CD">
      <w:pPr>
        <w:pStyle w:val="ListParagraph"/>
        <w:numPr>
          <w:ilvl w:val="0"/>
          <w:numId w:val="30"/>
        </w:numPr>
      </w:pPr>
      <w:r>
        <w:t>m</w:t>
      </w:r>
      <w:r w:rsidR="00660A9F">
        <w:t xml:space="preserve">aintain a victim-survivor centred approach throughout the process – ensuring informed consent for actions, providing support, minimising re-traumatisation, </w:t>
      </w:r>
      <w:r w:rsidR="008D2420">
        <w:t xml:space="preserve">and </w:t>
      </w:r>
      <w:r w:rsidR="00660A9F">
        <w:t>respecting privacy</w:t>
      </w:r>
    </w:p>
    <w:p w14:paraId="4307988C" w14:textId="000DBDEE" w:rsidR="00660A9F" w:rsidRDefault="008D2420" w:rsidP="006C21CD">
      <w:pPr>
        <w:pStyle w:val="ListParagraph"/>
        <w:numPr>
          <w:ilvl w:val="0"/>
          <w:numId w:val="30"/>
        </w:numPr>
      </w:pPr>
      <w:r>
        <w:t>w</w:t>
      </w:r>
      <w:r w:rsidR="00660A9F">
        <w:t>here allegations are substantiated, take appropriate remedial and disciplinary action up to termination of employment/engagement, and ensure risk mitigation to prevent recurrence</w:t>
      </w:r>
    </w:p>
    <w:p w14:paraId="157415EB" w14:textId="4E678960" w:rsidR="00660A9F" w:rsidRDefault="008D2420" w:rsidP="006C21CD">
      <w:pPr>
        <w:pStyle w:val="ListParagraph"/>
        <w:numPr>
          <w:ilvl w:val="0"/>
          <w:numId w:val="30"/>
        </w:numPr>
      </w:pPr>
      <w:r>
        <w:t>r</w:t>
      </w:r>
      <w:r w:rsidR="00660A9F">
        <w:t>eport outcomes to relevant parties, which may include donor/partner, statutory authority or insurer as required</w:t>
      </w:r>
    </w:p>
    <w:p w14:paraId="217990CB" w14:textId="340BAAAC" w:rsidR="00660A9F" w:rsidRDefault="00777BC4" w:rsidP="006C21CD">
      <w:pPr>
        <w:pStyle w:val="ListParagraph"/>
        <w:numPr>
          <w:ilvl w:val="0"/>
          <w:numId w:val="30"/>
        </w:numPr>
      </w:pPr>
      <w:r>
        <w:t>r</w:t>
      </w:r>
      <w:r w:rsidR="00660A9F">
        <w:t>eview lessons learned and update safeguarding measures.</w:t>
      </w:r>
    </w:p>
    <w:p w14:paraId="4FB48CF8" w14:textId="77777777" w:rsidR="00660A9F" w:rsidRPr="00D2477A" w:rsidRDefault="00660A9F" w:rsidP="00777BC4">
      <w:pPr>
        <w:pStyle w:val="Heading3"/>
      </w:pPr>
      <w:bookmarkStart w:id="17" w:name="_Toc213421792"/>
      <w:r w:rsidRPr="00D2477A">
        <w:lastRenderedPageBreak/>
        <w:t>Roles and Responsibilities</w:t>
      </w:r>
      <w:bookmarkEnd w:id="17"/>
    </w:p>
    <w:p w14:paraId="5E2486E3" w14:textId="77777777" w:rsidR="00AB7AB7" w:rsidRDefault="00660A9F" w:rsidP="00660A9F">
      <w:pPr>
        <w:spacing w:before="120" w:after="0"/>
      </w:pPr>
      <w:r w:rsidRPr="00777BC4">
        <w:rPr>
          <w:rStyle w:val="Heading4Char"/>
        </w:rPr>
        <w:t>Board</w:t>
      </w:r>
      <w:r w:rsidR="00777BC4">
        <w:rPr>
          <w:b/>
          <w:bCs/>
        </w:rPr>
        <w:t xml:space="preserve"> </w:t>
      </w:r>
      <w:r w:rsidR="00777BC4" w:rsidRPr="00777BC4">
        <w:t>–</w:t>
      </w:r>
      <w:r w:rsidRPr="00777BC4">
        <w:t xml:space="preserve"> </w:t>
      </w:r>
      <w:r w:rsidR="00777BC4" w:rsidRPr="00777BC4">
        <w:t>is</w:t>
      </w:r>
      <w:r w:rsidR="00777BC4">
        <w:t xml:space="preserve"> </w:t>
      </w:r>
      <w:r w:rsidRPr="00901E67">
        <w:t>responsible for</w:t>
      </w:r>
      <w:r w:rsidR="00AB7AB7">
        <w:t>:</w:t>
      </w:r>
      <w:r w:rsidRPr="00901E67">
        <w:t xml:space="preserve"> </w:t>
      </w:r>
    </w:p>
    <w:p w14:paraId="04DBC070" w14:textId="77777777" w:rsidR="00AB7AB7" w:rsidRDefault="00660A9F" w:rsidP="00F375B0">
      <w:pPr>
        <w:pStyle w:val="ListParagraph"/>
        <w:numPr>
          <w:ilvl w:val="0"/>
          <w:numId w:val="31"/>
        </w:numPr>
        <w:spacing w:before="120" w:after="0"/>
      </w:pPr>
      <w:r w:rsidRPr="00901E67">
        <w:t>ensuring that appropriate and effective SEAH policies and processes are in place at PWDA</w:t>
      </w:r>
    </w:p>
    <w:p w14:paraId="3C562C39" w14:textId="2B1B0CF4" w:rsidR="00660A9F" w:rsidRPr="00F375B0" w:rsidRDefault="00660A9F" w:rsidP="00F375B0">
      <w:pPr>
        <w:pStyle w:val="ListParagraph"/>
        <w:numPr>
          <w:ilvl w:val="0"/>
          <w:numId w:val="31"/>
        </w:numPr>
        <w:spacing w:before="120" w:after="0"/>
        <w:rPr>
          <w:b/>
          <w:bCs/>
        </w:rPr>
      </w:pPr>
      <w:r w:rsidRPr="00901E67">
        <w:t>reviewing reports and subsequent management investigation</w:t>
      </w:r>
      <w:r w:rsidR="00F375B0">
        <w:t>s</w:t>
      </w:r>
      <w:r w:rsidRPr="00901E67">
        <w:t xml:space="preserve"> </w:t>
      </w:r>
      <w:r w:rsidR="00F375B0">
        <w:t>that are</w:t>
      </w:r>
      <w:r w:rsidRPr="00901E67">
        <w:t xml:space="preserve"> reported to the Board bi-monthly through the WHS Incident Register</w:t>
      </w:r>
      <w:r w:rsidR="00697B16">
        <w:t>.</w:t>
      </w:r>
    </w:p>
    <w:p w14:paraId="735981F8" w14:textId="33AC9CA1" w:rsidR="00AB7AB7" w:rsidRDefault="00660A9F" w:rsidP="00660A9F">
      <w:pPr>
        <w:spacing w:before="120" w:after="0"/>
      </w:pPr>
      <w:r w:rsidRPr="00697B16">
        <w:rPr>
          <w:rStyle w:val="Heading4Char"/>
        </w:rPr>
        <w:t>CEO</w:t>
      </w:r>
      <w:r w:rsidR="00697B16">
        <w:t xml:space="preserve"> – is </w:t>
      </w:r>
      <w:r>
        <w:t xml:space="preserve">responsible for ensuring the implementation of this </w:t>
      </w:r>
      <w:r w:rsidRPr="00697B16">
        <w:t>policy</w:t>
      </w:r>
      <w:r w:rsidR="0055672B">
        <w:t xml:space="preserve"> and:</w:t>
      </w:r>
    </w:p>
    <w:p w14:paraId="0D49B7B8" w14:textId="77777777" w:rsidR="0055672B" w:rsidRDefault="00660A9F" w:rsidP="00AB7DC7">
      <w:pPr>
        <w:pStyle w:val="ListParagraph"/>
        <w:numPr>
          <w:ilvl w:val="0"/>
          <w:numId w:val="32"/>
        </w:numPr>
        <w:spacing w:before="120" w:after="0"/>
      </w:pPr>
      <w:r>
        <w:t xml:space="preserve">receiving reports of SEAH matters </w:t>
      </w:r>
    </w:p>
    <w:p w14:paraId="07E1DCFB" w14:textId="77777777" w:rsidR="004F0E98" w:rsidRDefault="00660A9F" w:rsidP="00AB7DC7">
      <w:pPr>
        <w:pStyle w:val="ListParagraph"/>
        <w:numPr>
          <w:ilvl w:val="0"/>
          <w:numId w:val="32"/>
        </w:numPr>
        <w:spacing w:before="120" w:after="0"/>
      </w:pPr>
      <w:r>
        <w:t>coordinating investigatio</w:t>
      </w:r>
      <w:r w:rsidR="004F0E98">
        <w:t>ns and</w:t>
      </w:r>
      <w:r>
        <w:t xml:space="preserve"> response</w:t>
      </w:r>
      <w:r w:rsidR="004F0E98">
        <w:t>s</w:t>
      </w:r>
      <w:r>
        <w:t xml:space="preserve"> </w:t>
      </w:r>
    </w:p>
    <w:p w14:paraId="01688AA3" w14:textId="70E7CE4A" w:rsidR="00660A9F" w:rsidRPr="00AB7DC7" w:rsidRDefault="00660A9F" w:rsidP="00AB7DC7">
      <w:pPr>
        <w:pStyle w:val="ListParagraph"/>
        <w:numPr>
          <w:ilvl w:val="0"/>
          <w:numId w:val="32"/>
        </w:numPr>
        <w:spacing w:before="120" w:after="0"/>
        <w:rPr>
          <w:b/>
          <w:bCs/>
        </w:rPr>
      </w:pPr>
      <w:r>
        <w:t>reporting to the Board and</w:t>
      </w:r>
      <w:r w:rsidR="00816D8D">
        <w:t>/</w:t>
      </w:r>
      <w:r>
        <w:t>or external parties.</w:t>
      </w:r>
    </w:p>
    <w:p w14:paraId="3FC15564" w14:textId="77777777" w:rsidR="0062205A" w:rsidRDefault="00660A9F" w:rsidP="00660A9F">
      <w:pPr>
        <w:spacing w:before="120" w:after="0"/>
      </w:pPr>
      <w:r w:rsidRPr="00816D8D">
        <w:rPr>
          <w:rStyle w:val="Heading4Char"/>
        </w:rPr>
        <w:t>Leaders</w:t>
      </w:r>
      <w:r w:rsidR="00816D8D" w:rsidRPr="00816D8D">
        <w:t xml:space="preserve"> – </w:t>
      </w:r>
      <w:r>
        <w:t>are responsible for</w:t>
      </w:r>
      <w:r w:rsidR="0062205A">
        <w:t>:</w:t>
      </w:r>
    </w:p>
    <w:p w14:paraId="66AFECC8" w14:textId="77777777" w:rsidR="0062205A" w:rsidRDefault="00660A9F" w:rsidP="008F0E34">
      <w:pPr>
        <w:pStyle w:val="ListParagraph"/>
        <w:numPr>
          <w:ilvl w:val="0"/>
          <w:numId w:val="33"/>
        </w:numPr>
        <w:spacing w:before="120" w:after="0"/>
      </w:pPr>
      <w:r>
        <w:t>undertaking a SEAH risk assessment as part of their ongoing work, and for any new project</w:t>
      </w:r>
    </w:p>
    <w:p w14:paraId="1484A268" w14:textId="53AF5881" w:rsidR="00660A9F" w:rsidRPr="008F0E34" w:rsidRDefault="00660A9F" w:rsidP="008F0E34">
      <w:pPr>
        <w:pStyle w:val="ListParagraph"/>
        <w:numPr>
          <w:ilvl w:val="0"/>
          <w:numId w:val="33"/>
        </w:numPr>
        <w:spacing w:before="120" w:after="0"/>
        <w:rPr>
          <w:b/>
          <w:bCs/>
        </w:rPr>
      </w:pPr>
      <w:r>
        <w:t>referring SEAH complaints or incidents to the CEO for management and investigation.</w:t>
      </w:r>
    </w:p>
    <w:p w14:paraId="3F5720A3" w14:textId="7AA8EF4A" w:rsidR="00660A9F" w:rsidRPr="00B31B90" w:rsidRDefault="00660A9F" w:rsidP="00660A9F">
      <w:pPr>
        <w:spacing w:before="120" w:after="0"/>
      </w:pPr>
      <w:r w:rsidRPr="00B31B90">
        <w:rPr>
          <w:rStyle w:val="Heading4Char"/>
        </w:rPr>
        <w:t>All Workers, Volunteers</w:t>
      </w:r>
      <w:r w:rsidR="008F0E34" w:rsidRPr="00B31B90">
        <w:rPr>
          <w:rStyle w:val="Heading4Char"/>
        </w:rPr>
        <w:t xml:space="preserve"> and </w:t>
      </w:r>
      <w:r w:rsidRPr="00B31B90">
        <w:rPr>
          <w:rStyle w:val="Heading4Char"/>
        </w:rPr>
        <w:t>Partners</w:t>
      </w:r>
      <w:r w:rsidR="00B31B90">
        <w:rPr>
          <w:b/>
          <w:bCs/>
        </w:rPr>
        <w:t xml:space="preserve"> </w:t>
      </w:r>
      <w:r w:rsidR="00B31B90" w:rsidRPr="00B31B90">
        <w:t>– are responsible for:</w:t>
      </w:r>
    </w:p>
    <w:p w14:paraId="0C8BD12E" w14:textId="6F221C08" w:rsidR="00660A9F" w:rsidRDefault="00BB3277" w:rsidP="00BB3277">
      <w:pPr>
        <w:pStyle w:val="ListParagraph"/>
        <w:numPr>
          <w:ilvl w:val="0"/>
          <w:numId w:val="34"/>
        </w:numPr>
        <w:spacing w:before="120" w:after="0"/>
      </w:pPr>
      <w:r>
        <w:t>creating and maintaining a</w:t>
      </w:r>
      <w:r w:rsidR="00B31B90">
        <w:t xml:space="preserve"> </w:t>
      </w:r>
      <w:r w:rsidR="00660A9F">
        <w:t>working environment that prevents SEAH from occurring</w:t>
      </w:r>
    </w:p>
    <w:p w14:paraId="6AE47B85" w14:textId="5459B43B" w:rsidR="00660A9F" w:rsidRDefault="194304B2" w:rsidP="00BB3277">
      <w:pPr>
        <w:pStyle w:val="ListParagraph"/>
        <w:numPr>
          <w:ilvl w:val="0"/>
          <w:numId w:val="34"/>
        </w:numPr>
        <w:spacing w:before="120" w:after="0"/>
      </w:pPr>
      <w:r>
        <w:t xml:space="preserve">reporting any concern, </w:t>
      </w:r>
      <w:r w:rsidR="1D18269E">
        <w:t>suspicion,</w:t>
      </w:r>
      <w:r>
        <w:t xml:space="preserve"> or allegation of SEAH or a breach of this policy to the CEO via the WHS Incident Report Form.</w:t>
      </w:r>
    </w:p>
    <w:p w14:paraId="5A6384CB" w14:textId="77777777" w:rsidR="00660A9F" w:rsidRPr="00D2477A" w:rsidRDefault="00660A9F" w:rsidP="00BB3277">
      <w:pPr>
        <w:pStyle w:val="Heading3"/>
      </w:pPr>
      <w:bookmarkStart w:id="18" w:name="_Toc213421793"/>
      <w:r w:rsidRPr="00D2477A">
        <w:t>Partnership and Contracting</w:t>
      </w:r>
      <w:bookmarkEnd w:id="18"/>
    </w:p>
    <w:p w14:paraId="3A699F93" w14:textId="77777777" w:rsidR="0017047E" w:rsidRDefault="00660A9F" w:rsidP="00BB3277">
      <w:r>
        <w:t>When PWDA engages with partner organisations or contractors, it will ensure that</w:t>
      </w:r>
      <w:r w:rsidR="0017047E">
        <w:t>:</w:t>
      </w:r>
    </w:p>
    <w:p w14:paraId="36EA33BE" w14:textId="446D93EF" w:rsidR="00660A9F" w:rsidRDefault="194304B2" w:rsidP="00722E30">
      <w:pPr>
        <w:pStyle w:val="ListParagraph"/>
        <w:numPr>
          <w:ilvl w:val="0"/>
          <w:numId w:val="35"/>
        </w:numPr>
      </w:pPr>
      <w:r>
        <w:t xml:space="preserve">safeguarding responsibilities (including </w:t>
      </w:r>
      <w:r w:rsidR="083EFF8E">
        <w:t>P</w:t>
      </w:r>
      <w:r>
        <w:t xml:space="preserve">SEAH) are included in partner agreements, </w:t>
      </w:r>
      <w:r w:rsidR="052089EB">
        <w:t>contracts,</w:t>
      </w:r>
      <w:r>
        <w:t xml:space="preserve"> or MoU</w:t>
      </w:r>
      <w:r w:rsidR="01E1314F">
        <w:t>s</w:t>
      </w:r>
    </w:p>
    <w:p w14:paraId="354F6784" w14:textId="4867037C" w:rsidR="00C6689E" w:rsidRDefault="00C6689E" w:rsidP="00722E30">
      <w:pPr>
        <w:pStyle w:val="ListParagraph"/>
        <w:numPr>
          <w:ilvl w:val="0"/>
          <w:numId w:val="35"/>
        </w:numPr>
      </w:pPr>
      <w:r>
        <w:t>responsibilities for reporting, monitoring and response are clearly defined</w:t>
      </w:r>
    </w:p>
    <w:p w14:paraId="51CFCB40" w14:textId="20FF15DD" w:rsidR="00660A9F" w:rsidRDefault="003B0F2E" w:rsidP="00722E30">
      <w:pPr>
        <w:pStyle w:val="ListParagraph"/>
        <w:numPr>
          <w:ilvl w:val="0"/>
          <w:numId w:val="35"/>
        </w:numPr>
      </w:pPr>
      <w:r>
        <w:t>partners</w:t>
      </w:r>
      <w:r w:rsidR="00660A9F">
        <w:t xml:space="preserve"> are assessed for their safeguarding capacity and risk profile</w:t>
      </w:r>
    </w:p>
    <w:p w14:paraId="0E559FD0" w14:textId="77777777" w:rsidR="00C6689E" w:rsidRDefault="003B0F2E" w:rsidP="00722E30">
      <w:pPr>
        <w:pStyle w:val="ListParagraph"/>
        <w:numPr>
          <w:ilvl w:val="0"/>
          <w:numId w:val="35"/>
        </w:numPr>
      </w:pPr>
      <w:r>
        <w:t>partners</w:t>
      </w:r>
      <w:r w:rsidR="007837D8">
        <w:t xml:space="preserve"> c</w:t>
      </w:r>
      <w:r w:rsidR="00660A9F">
        <w:t xml:space="preserve">ommit to complying with this </w:t>
      </w:r>
      <w:r>
        <w:t>p</w:t>
      </w:r>
      <w:r w:rsidR="00660A9F">
        <w:t>olicy or an equivalent standard</w:t>
      </w:r>
    </w:p>
    <w:p w14:paraId="631F1BB6" w14:textId="42B88AA1" w:rsidR="00660A9F" w:rsidRDefault="00722E30" w:rsidP="00722E30">
      <w:pPr>
        <w:pStyle w:val="ListParagraph"/>
        <w:numPr>
          <w:ilvl w:val="0"/>
          <w:numId w:val="35"/>
        </w:numPr>
      </w:pPr>
      <w:r>
        <w:lastRenderedPageBreak/>
        <w:t>m</w:t>
      </w:r>
      <w:r w:rsidR="00660A9F">
        <w:t>onitoring and assurance mechanisms are in place to review partner compliance and ensure continuous improvement.</w:t>
      </w:r>
    </w:p>
    <w:p w14:paraId="3B770D61" w14:textId="6B8BFAD7" w:rsidR="00660A9F" w:rsidRPr="00FA66D6" w:rsidRDefault="00660A9F" w:rsidP="00FA66D6">
      <w:pPr>
        <w:pStyle w:val="Heading3"/>
      </w:pPr>
      <w:r w:rsidRPr="00FA66D6">
        <w:t xml:space="preserve">Monitoring, Assurance </w:t>
      </w:r>
      <w:r w:rsidR="00FA66D6">
        <w:t>and</w:t>
      </w:r>
      <w:r w:rsidRPr="00FA66D6">
        <w:t xml:space="preserve"> Compliance</w:t>
      </w:r>
    </w:p>
    <w:p w14:paraId="61490A2B" w14:textId="0770F359" w:rsidR="00660A9F" w:rsidRDefault="00660A9F" w:rsidP="00660A9F">
      <w:pPr>
        <w:spacing w:before="120" w:after="0"/>
      </w:pPr>
      <w:r>
        <w:t xml:space="preserve">PWDA will monitor compliance with this </w:t>
      </w:r>
      <w:r w:rsidR="00880F20">
        <w:t>p</w:t>
      </w:r>
      <w:r>
        <w:t>olicy and undertake periodic internal audits/safeguarding reviews.</w:t>
      </w:r>
    </w:p>
    <w:p w14:paraId="4A17FBD9" w14:textId="13344AE5" w:rsidR="00660A9F" w:rsidRDefault="00660A9F" w:rsidP="00660A9F">
      <w:pPr>
        <w:spacing w:before="120" w:after="0"/>
      </w:pPr>
      <w:r>
        <w:t>Incidents, near-misses</w:t>
      </w:r>
      <w:r w:rsidR="00880F20">
        <w:t>,</w:t>
      </w:r>
      <w:r>
        <w:t xml:space="preserve"> or trends will be tracked and analysed to learn and improve practice.</w:t>
      </w:r>
    </w:p>
    <w:p w14:paraId="152580B6" w14:textId="77777777" w:rsidR="00660A9F" w:rsidRDefault="00660A9F" w:rsidP="00660A9F">
      <w:pPr>
        <w:spacing w:before="120" w:after="0"/>
      </w:pPr>
      <w:r>
        <w:t>Non</w:t>
      </w:r>
      <w:r>
        <w:rPr>
          <w:rFonts w:ascii="Cambria Math" w:hAnsi="Cambria Math" w:cs="Cambria Math"/>
        </w:rPr>
        <w:t>‐</w:t>
      </w:r>
      <w:r>
        <w:t>compliance with this Policy may result in disciplinary action, termination of contract/engagement, or cessation of partnership.</w:t>
      </w:r>
    </w:p>
    <w:p w14:paraId="5AC78787" w14:textId="2D7A6C27" w:rsidR="00660A9F" w:rsidRDefault="194304B2" w:rsidP="00660A9F">
      <w:pPr>
        <w:spacing w:before="120" w:after="0"/>
      </w:pPr>
      <w:r>
        <w:t xml:space="preserve">Records relating to allegations, investigations, </w:t>
      </w:r>
      <w:r w:rsidR="0259DDDE">
        <w:t>outcomes,</w:t>
      </w:r>
      <w:r>
        <w:t xml:space="preserve"> and safeguarding actions will be maintained securely in accordance with privacy and records-management laws.</w:t>
      </w:r>
    </w:p>
    <w:p w14:paraId="356D736A" w14:textId="7D6FA750" w:rsidR="00660A9F" w:rsidRPr="009B6007" w:rsidRDefault="00660A9F" w:rsidP="009B6007">
      <w:pPr>
        <w:pStyle w:val="Heading3"/>
        <w:rPr>
          <w:rFonts w:cstheme="minorBidi"/>
          <w:sz w:val="24"/>
          <w:szCs w:val="22"/>
        </w:rPr>
      </w:pPr>
      <w:bookmarkStart w:id="19" w:name="_Toc213421794"/>
      <w:r w:rsidRPr="00280A60">
        <w:t>Rel</w:t>
      </w:r>
      <w:r>
        <w:t>ated</w:t>
      </w:r>
      <w:r w:rsidRPr="00280A60">
        <w:t xml:space="preserve"> </w:t>
      </w:r>
      <w:r w:rsidR="00A27F70">
        <w:t>D</w:t>
      </w:r>
      <w:r w:rsidRPr="00280A60">
        <w:t>ocuments</w:t>
      </w:r>
      <w:bookmarkEnd w:id="19"/>
    </w:p>
    <w:p w14:paraId="42F18452" w14:textId="73922759" w:rsidR="00660A9F" w:rsidRPr="00280A60" w:rsidRDefault="1CCB2C76" w:rsidP="009B6007">
      <w:pPr>
        <w:pStyle w:val="Heading4"/>
      </w:pPr>
      <w:r>
        <w:t>L</w:t>
      </w:r>
      <w:r w:rsidR="194304B2">
        <w:t xml:space="preserve">egislation, </w:t>
      </w:r>
      <w:r w:rsidR="66E4DA1A">
        <w:t>regulations,</w:t>
      </w:r>
      <w:r w:rsidR="194304B2">
        <w:t xml:space="preserve"> and standards</w:t>
      </w:r>
    </w:p>
    <w:p w14:paraId="466E1D53" w14:textId="77777777" w:rsidR="00660A9F" w:rsidRPr="004E7AB6" w:rsidRDefault="00660A9F" w:rsidP="00F12A3A">
      <w:pPr>
        <w:pStyle w:val="ListParagraph"/>
        <w:numPr>
          <w:ilvl w:val="0"/>
          <w:numId w:val="36"/>
        </w:numPr>
      </w:pPr>
      <w:r w:rsidRPr="004E7AB6">
        <w:t>State and Territory Child Protection laws</w:t>
      </w:r>
    </w:p>
    <w:p w14:paraId="0967C356" w14:textId="77777777" w:rsidR="00660A9F" w:rsidRPr="004E7AB6" w:rsidRDefault="00660A9F" w:rsidP="00F12A3A">
      <w:pPr>
        <w:pStyle w:val="ListParagraph"/>
        <w:numPr>
          <w:ilvl w:val="0"/>
          <w:numId w:val="36"/>
        </w:numPr>
      </w:pPr>
      <w:r w:rsidRPr="004E7AB6">
        <w:t>National Child Protection Principles</w:t>
      </w:r>
    </w:p>
    <w:p w14:paraId="6CBD66F9" w14:textId="77777777" w:rsidR="00660A9F" w:rsidRDefault="00660A9F" w:rsidP="00F12A3A">
      <w:pPr>
        <w:pStyle w:val="ListParagraph"/>
        <w:numPr>
          <w:ilvl w:val="0"/>
          <w:numId w:val="36"/>
        </w:numPr>
      </w:pPr>
      <w:r>
        <w:t>Age Discrimination Act 2004</w:t>
      </w:r>
    </w:p>
    <w:p w14:paraId="39244928" w14:textId="77777777" w:rsidR="00660A9F" w:rsidRDefault="00660A9F" w:rsidP="00F12A3A">
      <w:pPr>
        <w:pStyle w:val="ListParagraph"/>
        <w:numPr>
          <w:ilvl w:val="0"/>
          <w:numId w:val="36"/>
        </w:numPr>
      </w:pPr>
      <w:r>
        <w:t>Australian Human Rights Commission Act 1986</w:t>
      </w:r>
    </w:p>
    <w:p w14:paraId="4017502F" w14:textId="77777777" w:rsidR="00660A9F" w:rsidRDefault="00660A9F" w:rsidP="00F12A3A">
      <w:pPr>
        <w:pStyle w:val="ListParagraph"/>
        <w:numPr>
          <w:ilvl w:val="0"/>
          <w:numId w:val="36"/>
        </w:numPr>
      </w:pPr>
      <w:r>
        <w:t>Fair Work Act 2009</w:t>
      </w:r>
    </w:p>
    <w:p w14:paraId="596BEDF2" w14:textId="77777777" w:rsidR="00660A9F" w:rsidRDefault="00660A9F" w:rsidP="00F12A3A">
      <w:pPr>
        <w:pStyle w:val="ListParagraph"/>
        <w:numPr>
          <w:ilvl w:val="0"/>
          <w:numId w:val="36"/>
        </w:numPr>
      </w:pPr>
      <w:r>
        <w:t>Modern Slavery Act 2018</w:t>
      </w:r>
    </w:p>
    <w:p w14:paraId="1C9432B6" w14:textId="77777777" w:rsidR="00660A9F" w:rsidRDefault="00660A9F" w:rsidP="00F12A3A">
      <w:pPr>
        <w:pStyle w:val="ListParagraph"/>
        <w:numPr>
          <w:ilvl w:val="0"/>
          <w:numId w:val="36"/>
        </w:numPr>
      </w:pPr>
      <w:r>
        <w:t>Sex Discrimination Act 1984</w:t>
      </w:r>
    </w:p>
    <w:p w14:paraId="7C6A22C4" w14:textId="77777777" w:rsidR="00660A9F" w:rsidRDefault="00660A9F" w:rsidP="00F12A3A">
      <w:pPr>
        <w:pStyle w:val="ListParagraph"/>
        <w:numPr>
          <w:ilvl w:val="0"/>
          <w:numId w:val="36"/>
        </w:numPr>
      </w:pPr>
      <w:r>
        <w:t>Privacy Act</w:t>
      </w:r>
    </w:p>
    <w:p w14:paraId="0EC4B151" w14:textId="77777777" w:rsidR="00660A9F" w:rsidRDefault="00660A9F" w:rsidP="00F12A3A">
      <w:pPr>
        <w:pStyle w:val="ListParagraph"/>
        <w:numPr>
          <w:ilvl w:val="0"/>
          <w:numId w:val="36"/>
        </w:numPr>
      </w:pPr>
      <w:r>
        <w:t>Workplace Gender Equality Act 2012 (Cth)</w:t>
      </w:r>
    </w:p>
    <w:p w14:paraId="2AD32A7F" w14:textId="77777777" w:rsidR="00660A9F" w:rsidRPr="00280A60" w:rsidRDefault="00660A9F" w:rsidP="00F12A3A">
      <w:pPr>
        <w:pStyle w:val="ListParagraph"/>
        <w:numPr>
          <w:ilvl w:val="0"/>
          <w:numId w:val="36"/>
        </w:numPr>
      </w:pPr>
      <w:r w:rsidRPr="00D9472B">
        <w:t xml:space="preserve">Sex Discrimination and Fair Work (Respect at Work) Amendment Act 2021 </w:t>
      </w:r>
      <w:r w:rsidRPr="00280A60">
        <w:t>ACNC Standards</w:t>
      </w:r>
    </w:p>
    <w:p w14:paraId="02121B37" w14:textId="77777777" w:rsidR="00660A9F" w:rsidRPr="00280A60" w:rsidRDefault="00660A9F" w:rsidP="00F12A3A">
      <w:pPr>
        <w:pStyle w:val="ListParagraph"/>
        <w:numPr>
          <w:ilvl w:val="0"/>
          <w:numId w:val="36"/>
        </w:numPr>
      </w:pPr>
      <w:r w:rsidRPr="00280A60">
        <w:t>ACFID Code of Conduct</w:t>
      </w:r>
    </w:p>
    <w:p w14:paraId="0BAAAEA0" w14:textId="77777777" w:rsidR="00660A9F" w:rsidRPr="00280A60" w:rsidRDefault="00660A9F" w:rsidP="00F12A3A">
      <w:pPr>
        <w:pStyle w:val="ListParagraph"/>
        <w:numPr>
          <w:ilvl w:val="0"/>
          <w:numId w:val="36"/>
        </w:numPr>
      </w:pPr>
      <w:r w:rsidRPr="00280A60">
        <w:t>National Disability Services Standard</w:t>
      </w:r>
      <w:r>
        <w:t xml:space="preserve">s </w:t>
      </w:r>
    </w:p>
    <w:p w14:paraId="69D0AEC0" w14:textId="4FA17F0A" w:rsidR="00660A9F" w:rsidRPr="00280A60" w:rsidRDefault="00660A9F" w:rsidP="00F12A3A">
      <w:pPr>
        <w:pStyle w:val="Heading4"/>
      </w:pPr>
      <w:r w:rsidRPr="00280A60">
        <w:t>PWDA policies and procedures</w:t>
      </w:r>
    </w:p>
    <w:p w14:paraId="05CCF1F4" w14:textId="77777777" w:rsidR="00660A9F" w:rsidRDefault="00660A9F" w:rsidP="00F12A3A">
      <w:pPr>
        <w:pStyle w:val="ListParagraph"/>
        <w:numPr>
          <w:ilvl w:val="0"/>
          <w:numId w:val="37"/>
        </w:numPr>
      </w:pPr>
      <w:r>
        <w:t>Codes of Conduct and Ethics</w:t>
      </w:r>
    </w:p>
    <w:p w14:paraId="226AD28B" w14:textId="77777777" w:rsidR="00660A9F" w:rsidRDefault="00660A9F" w:rsidP="00F12A3A">
      <w:pPr>
        <w:pStyle w:val="ListParagraph"/>
        <w:numPr>
          <w:ilvl w:val="0"/>
          <w:numId w:val="37"/>
        </w:numPr>
      </w:pPr>
      <w:r>
        <w:lastRenderedPageBreak/>
        <w:t>Child Protection Policy</w:t>
      </w:r>
    </w:p>
    <w:p w14:paraId="771BDB1C" w14:textId="77777777" w:rsidR="00660A9F" w:rsidRDefault="00660A9F" w:rsidP="00F12A3A">
      <w:pPr>
        <w:pStyle w:val="ListParagraph"/>
        <w:numPr>
          <w:ilvl w:val="0"/>
          <w:numId w:val="37"/>
        </w:numPr>
      </w:pPr>
      <w:r>
        <w:t>Bullying, Harassment and Discrimination Policy</w:t>
      </w:r>
    </w:p>
    <w:p w14:paraId="02B1BF5B" w14:textId="1BFB44C0" w:rsidR="00660A9F" w:rsidRDefault="00660A9F" w:rsidP="00F12A3A">
      <w:pPr>
        <w:pStyle w:val="ListParagraph"/>
        <w:numPr>
          <w:ilvl w:val="0"/>
          <w:numId w:val="37"/>
        </w:numPr>
      </w:pPr>
      <w:r>
        <w:t>Whist</w:t>
      </w:r>
      <w:r w:rsidR="0081683E">
        <w:t>l</w:t>
      </w:r>
      <w:r>
        <w:t>eblower Policy</w:t>
      </w:r>
    </w:p>
    <w:p w14:paraId="7806B509" w14:textId="77777777" w:rsidR="00660A9F" w:rsidRDefault="00660A9F" w:rsidP="00F12A3A">
      <w:pPr>
        <w:pStyle w:val="ListParagraph"/>
        <w:numPr>
          <w:ilvl w:val="0"/>
          <w:numId w:val="37"/>
        </w:numPr>
      </w:pPr>
      <w:r>
        <w:t>Grievance Policy</w:t>
      </w:r>
    </w:p>
    <w:p w14:paraId="345C1634" w14:textId="77777777" w:rsidR="00660A9F" w:rsidRPr="008062C7" w:rsidRDefault="00660A9F" w:rsidP="00F12A3A">
      <w:pPr>
        <w:pStyle w:val="ListParagraph"/>
        <w:numPr>
          <w:ilvl w:val="0"/>
          <w:numId w:val="37"/>
        </w:numPr>
      </w:pPr>
      <w:r w:rsidRPr="008062C7">
        <w:t>Compliments, Complaints and Feedback Policy</w:t>
      </w:r>
    </w:p>
    <w:p w14:paraId="4BCCA414" w14:textId="77777777" w:rsidR="00660A9F" w:rsidRDefault="00660A9F" w:rsidP="00F12A3A">
      <w:pPr>
        <w:pStyle w:val="ListParagraph"/>
        <w:numPr>
          <w:ilvl w:val="0"/>
          <w:numId w:val="37"/>
        </w:numPr>
      </w:pPr>
      <w:r>
        <w:t>Recruitment Policy</w:t>
      </w:r>
    </w:p>
    <w:p w14:paraId="04BF6F48" w14:textId="4F29B7E8" w:rsidR="00660A9F" w:rsidRDefault="194304B2" w:rsidP="00F12A3A">
      <w:pPr>
        <w:pStyle w:val="ListParagraph"/>
        <w:numPr>
          <w:ilvl w:val="0"/>
          <w:numId w:val="37"/>
        </w:numPr>
      </w:pPr>
      <w:r>
        <w:t xml:space="preserve">Diversity, </w:t>
      </w:r>
      <w:r w:rsidR="1204BC35">
        <w:t>Equity,</w:t>
      </w:r>
      <w:r>
        <w:t xml:space="preserve"> and Inclusion Policy</w:t>
      </w:r>
    </w:p>
    <w:p w14:paraId="3F1CD2BB" w14:textId="77777777" w:rsidR="00660A9F" w:rsidRDefault="00660A9F" w:rsidP="00F12A3A">
      <w:pPr>
        <w:pStyle w:val="ListParagraph"/>
        <w:numPr>
          <w:ilvl w:val="0"/>
          <w:numId w:val="37"/>
        </w:numPr>
      </w:pPr>
      <w:r w:rsidRPr="00280A60">
        <w:t>Privacy Policy</w:t>
      </w:r>
    </w:p>
    <w:p w14:paraId="4FCD24E7" w14:textId="77777777" w:rsidR="00660A9F" w:rsidRPr="00F12A3A" w:rsidRDefault="00660A9F" w:rsidP="00F12A3A">
      <w:pPr>
        <w:pStyle w:val="ListParagraph"/>
        <w:numPr>
          <w:ilvl w:val="0"/>
          <w:numId w:val="37"/>
        </w:numPr>
        <w:rPr>
          <w:color w:val="000000"/>
          <w:szCs w:val="24"/>
        </w:rPr>
      </w:pPr>
      <w:r w:rsidRPr="00F12A3A">
        <w:rPr>
          <w:color w:val="000000"/>
          <w:szCs w:val="24"/>
        </w:rPr>
        <w:t>Risk Management Plan</w:t>
      </w:r>
    </w:p>
    <w:p w14:paraId="0C0D8B03" w14:textId="787EDC24" w:rsidR="00660A9F" w:rsidRPr="00F12A3A" w:rsidRDefault="00660A9F" w:rsidP="00F12A3A">
      <w:pPr>
        <w:pStyle w:val="ListParagraph"/>
        <w:numPr>
          <w:ilvl w:val="0"/>
          <w:numId w:val="37"/>
        </w:numPr>
        <w:rPr>
          <w:color w:val="000000"/>
          <w:szCs w:val="24"/>
        </w:rPr>
      </w:pPr>
      <w:r w:rsidRPr="00F12A3A">
        <w:rPr>
          <w:color w:val="000000"/>
          <w:szCs w:val="24"/>
        </w:rPr>
        <w:t xml:space="preserve">Continuous Improvement </w:t>
      </w:r>
      <w:r w:rsidR="00104029">
        <w:rPr>
          <w:color w:val="000000"/>
          <w:szCs w:val="24"/>
        </w:rPr>
        <w:t>Policy</w:t>
      </w:r>
    </w:p>
    <w:p w14:paraId="7E9AA470" w14:textId="77777777" w:rsidR="00660A9F" w:rsidRPr="00F12A3A" w:rsidRDefault="00660A9F" w:rsidP="00F12A3A">
      <w:pPr>
        <w:pStyle w:val="ListParagraph"/>
        <w:numPr>
          <w:ilvl w:val="0"/>
          <w:numId w:val="37"/>
        </w:numPr>
        <w:rPr>
          <w:color w:val="000000"/>
          <w:szCs w:val="24"/>
        </w:rPr>
      </w:pPr>
      <w:r w:rsidRPr="00F12A3A">
        <w:rPr>
          <w:color w:val="000000"/>
          <w:szCs w:val="24"/>
        </w:rPr>
        <w:t>Performance Management Policy</w:t>
      </w:r>
    </w:p>
    <w:p w14:paraId="461E6947" w14:textId="3DD9A21F" w:rsidR="005D6890" w:rsidRPr="00F12A3A" w:rsidRDefault="00660A9F" w:rsidP="00F12A3A">
      <w:pPr>
        <w:pStyle w:val="ListParagraph"/>
        <w:numPr>
          <w:ilvl w:val="0"/>
          <w:numId w:val="37"/>
        </w:numPr>
        <w:rPr>
          <w:color w:val="000000"/>
          <w:szCs w:val="24"/>
        </w:rPr>
      </w:pPr>
      <w:r w:rsidRPr="00F12A3A">
        <w:rPr>
          <w:color w:val="000000"/>
          <w:szCs w:val="24"/>
        </w:rPr>
        <w:t>Disciplinary Policy</w:t>
      </w:r>
      <w:bookmarkEnd w:id="5"/>
      <w:r w:rsidR="00F12A3A" w:rsidRPr="00F12A3A">
        <w:rPr>
          <w:color w:val="000000"/>
          <w:szCs w:val="24"/>
        </w:rPr>
        <w:t>.</w:t>
      </w:r>
    </w:p>
    <w:sectPr w:rsidR="005D6890" w:rsidRPr="00F12A3A" w:rsidSect="00A339BE">
      <w:headerReference w:type="default" r:id="rId11"/>
      <w:footerReference w:type="default" r:id="rId12"/>
      <w:headerReference w:type="first" r:id="rId13"/>
      <w:footerReference w:type="first" r:id="rId14"/>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CB0A" w14:textId="77777777" w:rsidR="000D265E" w:rsidRDefault="000D265E" w:rsidP="00B8617C">
      <w:pPr>
        <w:spacing w:after="0" w:line="240" w:lineRule="auto"/>
      </w:pPr>
      <w:r>
        <w:separator/>
      </w:r>
    </w:p>
  </w:endnote>
  <w:endnote w:type="continuationSeparator" w:id="0">
    <w:p w14:paraId="3070F525" w14:textId="77777777" w:rsidR="000D265E" w:rsidRDefault="000D265E" w:rsidP="00B8617C">
      <w:pPr>
        <w:spacing w:after="0" w:line="240" w:lineRule="auto"/>
      </w:pPr>
      <w:r>
        <w:continuationSeparator/>
      </w:r>
    </w:p>
  </w:endnote>
  <w:endnote w:type="continuationNotice" w:id="1">
    <w:p w14:paraId="614D8CBF" w14:textId="77777777" w:rsidR="000D265E" w:rsidRDefault="000D2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7FA" w14:textId="2C93DCDF" w:rsidR="00B8617C" w:rsidRPr="00B8617C" w:rsidRDefault="00B8617C" w:rsidP="00B8617C">
    <w:pPr>
      <w:pStyle w:val="Footer"/>
      <w:jc w:val="right"/>
      <w:rPr>
        <w:b/>
        <w:bCs/>
        <w:caps/>
        <w:noProof/>
        <w:color w:val="005496"/>
      </w:rPr>
    </w:pPr>
    <w:r w:rsidRPr="4D6E0607">
      <w:rPr>
        <w:b/>
        <w:bCs/>
        <w:caps/>
        <w:noProof/>
        <w:color w:val="005496"/>
      </w:rPr>
      <w:fldChar w:fldCharType="begin"/>
    </w:r>
    <w:r w:rsidRPr="4D6E0607">
      <w:rPr>
        <w:b/>
        <w:bCs/>
        <w:caps/>
        <w:color w:val="005496"/>
      </w:rPr>
      <w:instrText xml:space="preserve"> PAGE   \* MERGEFORMAT </w:instrText>
    </w:r>
    <w:r w:rsidRPr="4D6E0607">
      <w:rPr>
        <w:b/>
        <w:bCs/>
        <w:caps/>
        <w:color w:val="005496"/>
      </w:rPr>
      <w:fldChar w:fldCharType="separate"/>
    </w:r>
    <w:r w:rsidR="4D6E0607" w:rsidRPr="4D6E0607">
      <w:rPr>
        <w:b/>
        <w:bCs/>
        <w:caps/>
        <w:noProof/>
        <w:color w:val="005496"/>
      </w:rPr>
      <w:t>2</w:t>
    </w:r>
    <w:r w:rsidRPr="4D6E0607">
      <w:rPr>
        <w:b/>
        <w:bCs/>
        <w:caps/>
        <w:noProof/>
        <w:color w:val="005496"/>
      </w:rPr>
      <w:fldChar w:fldCharType="end"/>
    </w:r>
  </w:p>
  <w:p w14:paraId="76149FE6" w14:textId="6283D424" w:rsidR="00B8617C" w:rsidRPr="00B8617C" w:rsidRDefault="00B36EB8" w:rsidP="4D6E0607">
    <w:pPr>
      <w:rPr>
        <w:b/>
        <w:bCs/>
        <w:noProof/>
        <w:color w:val="005496"/>
      </w:rPr>
    </w:pPr>
    <w:r>
      <w:rPr>
        <w:b/>
        <w:bCs/>
        <w:color w:val="005496"/>
      </w:rPr>
      <w:t xml:space="preserve">OPS-007 </w:t>
    </w:r>
    <w:r w:rsidR="00197A66">
      <w:rPr>
        <w:b/>
        <w:bCs/>
        <w:color w:val="005496"/>
      </w:rPr>
      <w:t>Preventing Sexual Exploitation, Abuse and Harassment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6F5" w14:textId="75448E93"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8240" behindDoc="1" locked="0" layoutInCell="1" allowOverlap="1" wp14:anchorId="076AFE2A" wp14:editId="2EA55572">
          <wp:simplePos x="0" y="0"/>
          <wp:positionH relativeFrom="page">
            <wp:posOffset>5934075</wp:posOffset>
          </wp:positionH>
          <wp:positionV relativeFrom="paragraph">
            <wp:posOffset>-786765</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p>
  <w:p w14:paraId="275A9B82"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71EB" w14:textId="77777777" w:rsidR="000D265E" w:rsidRDefault="000D265E" w:rsidP="00B8617C">
      <w:pPr>
        <w:spacing w:after="0" w:line="240" w:lineRule="auto"/>
      </w:pPr>
      <w:r>
        <w:separator/>
      </w:r>
    </w:p>
  </w:footnote>
  <w:footnote w:type="continuationSeparator" w:id="0">
    <w:p w14:paraId="651BC3BD" w14:textId="77777777" w:rsidR="000D265E" w:rsidRDefault="000D265E" w:rsidP="00B8617C">
      <w:pPr>
        <w:spacing w:after="0" w:line="240" w:lineRule="auto"/>
      </w:pPr>
      <w:r>
        <w:continuationSeparator/>
      </w:r>
    </w:p>
  </w:footnote>
  <w:footnote w:type="continuationNotice" w:id="1">
    <w:p w14:paraId="75266E3F" w14:textId="77777777" w:rsidR="000D265E" w:rsidRDefault="000D2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D3A"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992" w14:textId="77777777" w:rsidR="00B8617C" w:rsidRDefault="00B8617C">
    <w:pPr>
      <w:pStyle w:val="Header"/>
    </w:pPr>
    <w:r w:rsidRPr="006C757B">
      <w:rPr>
        <w:noProof/>
      </w:rPr>
      <w:drawing>
        <wp:anchor distT="0" distB="0" distL="114300" distR="114300" simplePos="0" relativeHeight="251658241" behindDoc="1" locked="0" layoutInCell="1" allowOverlap="1" wp14:anchorId="63F3B816" wp14:editId="17EA0268">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ujf9Qr4gV8sNxI" int2:id="Fmp7bi5H">
      <int2:state int2:value="Rejected" int2:type="spell"/>
    </int2:textHash>
    <int2:textHash int2:hashCode="4jcA/ICdRubsm3" int2:id="fBzYSgsP">
      <int2:state int2:value="Rejected" int2:type="spell"/>
    </int2:textHash>
    <int2:bookmark int2:bookmarkName="_Int_3aAQGrHQ" int2:invalidationBookmarkName="" int2:hashCode="FiNCzSReCiV7Qq" int2:id="KN6J9jAW">
      <int2:state int2:value="Rejected" int2:type="style"/>
    </int2:bookmark>
    <int2:bookmark int2:bookmarkName="_Int_vIpUCVBc" int2:invalidationBookmarkName="" int2:hashCode="wQfQLAWAbwApwf" int2:id="YP08E3LD">
      <int2:state int2:value="Rejected" int2:type="style"/>
    </int2:bookmark>
    <int2:bookmark int2:bookmarkName="_Int_E5TkNz0q" int2:invalidationBookmarkName="" int2:hashCode="lFL/cUrCZqXEyQ" int2:id="ZSLM0LJ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0B6"/>
    <w:multiLevelType w:val="hybridMultilevel"/>
    <w:tmpl w:val="F6F01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C26C1"/>
    <w:multiLevelType w:val="hybridMultilevel"/>
    <w:tmpl w:val="D7D8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6173A"/>
    <w:multiLevelType w:val="hybridMultilevel"/>
    <w:tmpl w:val="9278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92028"/>
    <w:multiLevelType w:val="hybridMultilevel"/>
    <w:tmpl w:val="0D4E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A0217"/>
    <w:multiLevelType w:val="hybridMultilevel"/>
    <w:tmpl w:val="A0E0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286F"/>
    <w:multiLevelType w:val="hybridMultilevel"/>
    <w:tmpl w:val="C788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96B31"/>
    <w:multiLevelType w:val="hybridMultilevel"/>
    <w:tmpl w:val="FAFAD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D434F"/>
    <w:multiLevelType w:val="hybridMultilevel"/>
    <w:tmpl w:val="C3B46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35C6B"/>
    <w:multiLevelType w:val="hybridMultilevel"/>
    <w:tmpl w:val="61EE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B16A0"/>
    <w:multiLevelType w:val="hybridMultilevel"/>
    <w:tmpl w:val="597A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62BE1"/>
    <w:multiLevelType w:val="hybridMultilevel"/>
    <w:tmpl w:val="115081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EB948E5"/>
    <w:multiLevelType w:val="hybridMultilevel"/>
    <w:tmpl w:val="9E8E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A7E95"/>
    <w:multiLevelType w:val="hybridMultilevel"/>
    <w:tmpl w:val="C0E4A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166C58"/>
    <w:multiLevelType w:val="hybridMultilevel"/>
    <w:tmpl w:val="86A4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43D67"/>
    <w:multiLevelType w:val="hybridMultilevel"/>
    <w:tmpl w:val="BFACB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44B54"/>
    <w:multiLevelType w:val="hybridMultilevel"/>
    <w:tmpl w:val="2D149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441CE"/>
    <w:multiLevelType w:val="hybridMultilevel"/>
    <w:tmpl w:val="9F96A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F0C44"/>
    <w:multiLevelType w:val="hybridMultilevel"/>
    <w:tmpl w:val="8318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226302"/>
    <w:multiLevelType w:val="multilevel"/>
    <w:tmpl w:val="35EA985A"/>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0" w15:restartNumberingAfterBreak="0">
    <w:nsid w:val="3B200D35"/>
    <w:multiLevelType w:val="hybridMultilevel"/>
    <w:tmpl w:val="94760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E27B9A"/>
    <w:multiLevelType w:val="hybridMultilevel"/>
    <w:tmpl w:val="12F0D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C02BAE"/>
    <w:multiLevelType w:val="hybridMultilevel"/>
    <w:tmpl w:val="BA3C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826D7"/>
    <w:multiLevelType w:val="hybridMultilevel"/>
    <w:tmpl w:val="5D226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33167D"/>
    <w:multiLevelType w:val="hybridMultilevel"/>
    <w:tmpl w:val="DF6CD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9809FE"/>
    <w:multiLevelType w:val="hybridMultilevel"/>
    <w:tmpl w:val="049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B371B"/>
    <w:multiLevelType w:val="hybridMultilevel"/>
    <w:tmpl w:val="8544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C05B9"/>
    <w:multiLevelType w:val="hybridMultilevel"/>
    <w:tmpl w:val="8D0A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61EEB"/>
    <w:multiLevelType w:val="hybridMultilevel"/>
    <w:tmpl w:val="BC9C6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E62A06"/>
    <w:multiLevelType w:val="hybridMultilevel"/>
    <w:tmpl w:val="AEA22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18491B"/>
    <w:multiLevelType w:val="hybridMultilevel"/>
    <w:tmpl w:val="B1521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1E0C3E"/>
    <w:multiLevelType w:val="hybridMultilevel"/>
    <w:tmpl w:val="C122E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531784"/>
    <w:multiLevelType w:val="multilevel"/>
    <w:tmpl w:val="72BAB26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4" w15:restartNumberingAfterBreak="0">
    <w:nsid w:val="738B6D25"/>
    <w:multiLevelType w:val="multilevel"/>
    <w:tmpl w:val="B9D4981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5" w15:restartNumberingAfterBreak="0">
    <w:nsid w:val="74EE2BE5"/>
    <w:multiLevelType w:val="hybridMultilevel"/>
    <w:tmpl w:val="74045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27"/>
  </w:num>
  <w:num w:numId="2" w16cid:durableId="467936780">
    <w:abstractNumId w:val="36"/>
  </w:num>
  <w:num w:numId="3" w16cid:durableId="1745253764">
    <w:abstractNumId w:val="15"/>
  </w:num>
  <w:num w:numId="4" w16cid:durableId="379716337">
    <w:abstractNumId w:val="19"/>
  </w:num>
  <w:num w:numId="5" w16cid:durableId="2038044511">
    <w:abstractNumId w:val="34"/>
  </w:num>
  <w:num w:numId="6" w16cid:durableId="142742583">
    <w:abstractNumId w:val="21"/>
  </w:num>
  <w:num w:numId="7" w16cid:durableId="588464397">
    <w:abstractNumId w:val="31"/>
  </w:num>
  <w:num w:numId="8" w16cid:durableId="889878483">
    <w:abstractNumId w:val="12"/>
  </w:num>
  <w:num w:numId="9" w16cid:durableId="1531064230">
    <w:abstractNumId w:val="33"/>
  </w:num>
  <w:num w:numId="10" w16cid:durableId="591008365">
    <w:abstractNumId w:val="6"/>
  </w:num>
  <w:num w:numId="11" w16cid:durableId="984623794">
    <w:abstractNumId w:val="7"/>
  </w:num>
  <w:num w:numId="12" w16cid:durableId="277761013">
    <w:abstractNumId w:val="24"/>
  </w:num>
  <w:num w:numId="13" w16cid:durableId="556669923">
    <w:abstractNumId w:val="2"/>
  </w:num>
  <w:num w:numId="14" w16cid:durableId="1416852838">
    <w:abstractNumId w:val="1"/>
  </w:num>
  <w:num w:numId="15" w16cid:durableId="2102723220">
    <w:abstractNumId w:val="13"/>
  </w:num>
  <w:num w:numId="16" w16cid:durableId="685324520">
    <w:abstractNumId w:val="30"/>
  </w:num>
  <w:num w:numId="17" w16cid:durableId="2072803880">
    <w:abstractNumId w:val="25"/>
  </w:num>
  <w:num w:numId="18" w16cid:durableId="910965934">
    <w:abstractNumId w:val="26"/>
  </w:num>
  <w:num w:numId="19" w16cid:durableId="1722702647">
    <w:abstractNumId w:val="3"/>
  </w:num>
  <w:num w:numId="20" w16cid:durableId="986395578">
    <w:abstractNumId w:val="11"/>
  </w:num>
  <w:num w:numId="21" w16cid:durableId="270092072">
    <w:abstractNumId w:val="9"/>
  </w:num>
  <w:num w:numId="22" w16cid:durableId="1815414193">
    <w:abstractNumId w:val="35"/>
  </w:num>
  <w:num w:numId="23" w16cid:durableId="1104693027">
    <w:abstractNumId w:val="22"/>
  </w:num>
  <w:num w:numId="24" w16cid:durableId="408582683">
    <w:abstractNumId w:val="17"/>
  </w:num>
  <w:num w:numId="25" w16cid:durableId="540899389">
    <w:abstractNumId w:val="10"/>
  </w:num>
  <w:num w:numId="26" w16cid:durableId="691028227">
    <w:abstractNumId w:val="23"/>
  </w:num>
  <w:num w:numId="27" w16cid:durableId="2058502182">
    <w:abstractNumId w:val="14"/>
  </w:num>
  <w:num w:numId="28" w16cid:durableId="1721175546">
    <w:abstractNumId w:val="32"/>
  </w:num>
  <w:num w:numId="29" w16cid:durableId="1982422296">
    <w:abstractNumId w:val="16"/>
  </w:num>
  <w:num w:numId="30" w16cid:durableId="1539708235">
    <w:abstractNumId w:val="5"/>
  </w:num>
  <w:num w:numId="31" w16cid:durableId="2095541358">
    <w:abstractNumId w:val="0"/>
  </w:num>
  <w:num w:numId="32" w16cid:durableId="1235508331">
    <w:abstractNumId w:val="18"/>
  </w:num>
  <w:num w:numId="33" w16cid:durableId="1756705184">
    <w:abstractNumId w:val="4"/>
  </w:num>
  <w:num w:numId="34" w16cid:durableId="1437016217">
    <w:abstractNumId w:val="28"/>
  </w:num>
  <w:num w:numId="35" w16cid:durableId="685180391">
    <w:abstractNumId w:val="8"/>
  </w:num>
  <w:num w:numId="36" w16cid:durableId="785779223">
    <w:abstractNumId w:val="20"/>
  </w:num>
  <w:num w:numId="37" w16cid:durableId="4253501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D4"/>
    <w:rsid w:val="000042D0"/>
    <w:rsid w:val="00067404"/>
    <w:rsid w:val="00074173"/>
    <w:rsid w:val="0007609D"/>
    <w:rsid w:val="00080112"/>
    <w:rsid w:val="0008587B"/>
    <w:rsid w:val="00087D65"/>
    <w:rsid w:val="000A06C3"/>
    <w:rsid w:val="000A25D8"/>
    <w:rsid w:val="000A2F67"/>
    <w:rsid w:val="000A56D7"/>
    <w:rsid w:val="000B6734"/>
    <w:rsid w:val="000B7FC5"/>
    <w:rsid w:val="000C26B1"/>
    <w:rsid w:val="000D265E"/>
    <w:rsid w:val="000E1A07"/>
    <w:rsid w:val="000F38E1"/>
    <w:rsid w:val="000F632D"/>
    <w:rsid w:val="00104029"/>
    <w:rsid w:val="001051F4"/>
    <w:rsid w:val="0010719A"/>
    <w:rsid w:val="0011148F"/>
    <w:rsid w:val="0015442A"/>
    <w:rsid w:val="00162DE0"/>
    <w:rsid w:val="00163914"/>
    <w:rsid w:val="00164C80"/>
    <w:rsid w:val="00164DDB"/>
    <w:rsid w:val="0017047E"/>
    <w:rsid w:val="00174A58"/>
    <w:rsid w:val="001841CC"/>
    <w:rsid w:val="00184C01"/>
    <w:rsid w:val="0019232E"/>
    <w:rsid w:val="001963A6"/>
    <w:rsid w:val="00196D62"/>
    <w:rsid w:val="00197A66"/>
    <w:rsid w:val="00197C3D"/>
    <w:rsid w:val="001A348C"/>
    <w:rsid w:val="001A58A3"/>
    <w:rsid w:val="001C42BA"/>
    <w:rsid w:val="0021307A"/>
    <w:rsid w:val="00215A34"/>
    <w:rsid w:val="00220B15"/>
    <w:rsid w:val="002413B9"/>
    <w:rsid w:val="0025306F"/>
    <w:rsid w:val="00264951"/>
    <w:rsid w:val="00265452"/>
    <w:rsid w:val="00272292"/>
    <w:rsid w:val="00290758"/>
    <w:rsid w:val="002B5981"/>
    <w:rsid w:val="002C2C52"/>
    <w:rsid w:val="00301559"/>
    <w:rsid w:val="00302EF8"/>
    <w:rsid w:val="00303F24"/>
    <w:rsid w:val="00306708"/>
    <w:rsid w:val="00317F27"/>
    <w:rsid w:val="00321864"/>
    <w:rsid w:val="00347FC3"/>
    <w:rsid w:val="00360C00"/>
    <w:rsid w:val="00364FC4"/>
    <w:rsid w:val="0037082F"/>
    <w:rsid w:val="003713BF"/>
    <w:rsid w:val="003933E4"/>
    <w:rsid w:val="00396BF9"/>
    <w:rsid w:val="003A5D49"/>
    <w:rsid w:val="003A669C"/>
    <w:rsid w:val="003B05D5"/>
    <w:rsid w:val="003B0F2E"/>
    <w:rsid w:val="003C4A3A"/>
    <w:rsid w:val="003D1660"/>
    <w:rsid w:val="003D71D4"/>
    <w:rsid w:val="003E2EFA"/>
    <w:rsid w:val="003E5158"/>
    <w:rsid w:val="003E733E"/>
    <w:rsid w:val="00400C66"/>
    <w:rsid w:val="00402FFC"/>
    <w:rsid w:val="004053A5"/>
    <w:rsid w:val="00413820"/>
    <w:rsid w:val="00432881"/>
    <w:rsid w:val="0043390F"/>
    <w:rsid w:val="004455D3"/>
    <w:rsid w:val="00453344"/>
    <w:rsid w:val="00454F26"/>
    <w:rsid w:val="00462FFB"/>
    <w:rsid w:val="00465729"/>
    <w:rsid w:val="00470BA2"/>
    <w:rsid w:val="00497E42"/>
    <w:rsid w:val="004B480E"/>
    <w:rsid w:val="004B6C74"/>
    <w:rsid w:val="004C16CA"/>
    <w:rsid w:val="004C3320"/>
    <w:rsid w:val="004D2A9C"/>
    <w:rsid w:val="004E2EEC"/>
    <w:rsid w:val="004E4F1B"/>
    <w:rsid w:val="004F0E98"/>
    <w:rsid w:val="004F2B2C"/>
    <w:rsid w:val="004F7BAC"/>
    <w:rsid w:val="005066E2"/>
    <w:rsid w:val="0052168A"/>
    <w:rsid w:val="0052699C"/>
    <w:rsid w:val="00546A0E"/>
    <w:rsid w:val="0055672B"/>
    <w:rsid w:val="005860D3"/>
    <w:rsid w:val="00587EDA"/>
    <w:rsid w:val="005956B9"/>
    <w:rsid w:val="005B357B"/>
    <w:rsid w:val="005B4316"/>
    <w:rsid w:val="005B79CA"/>
    <w:rsid w:val="005D6890"/>
    <w:rsid w:val="005F60E1"/>
    <w:rsid w:val="00606340"/>
    <w:rsid w:val="0060665C"/>
    <w:rsid w:val="00617E00"/>
    <w:rsid w:val="0062205A"/>
    <w:rsid w:val="00645714"/>
    <w:rsid w:val="0065700F"/>
    <w:rsid w:val="00660A9F"/>
    <w:rsid w:val="00661562"/>
    <w:rsid w:val="00662252"/>
    <w:rsid w:val="00667587"/>
    <w:rsid w:val="00670A63"/>
    <w:rsid w:val="00676686"/>
    <w:rsid w:val="006821C3"/>
    <w:rsid w:val="00691B30"/>
    <w:rsid w:val="00694E2E"/>
    <w:rsid w:val="00697B16"/>
    <w:rsid w:val="006B5260"/>
    <w:rsid w:val="006B6FC8"/>
    <w:rsid w:val="006C21CD"/>
    <w:rsid w:val="00701E7E"/>
    <w:rsid w:val="00717E62"/>
    <w:rsid w:val="00722E30"/>
    <w:rsid w:val="00726584"/>
    <w:rsid w:val="00727582"/>
    <w:rsid w:val="00733ED1"/>
    <w:rsid w:val="00742A06"/>
    <w:rsid w:val="00751350"/>
    <w:rsid w:val="00761F39"/>
    <w:rsid w:val="00766332"/>
    <w:rsid w:val="00777BC4"/>
    <w:rsid w:val="007837D8"/>
    <w:rsid w:val="00784A8E"/>
    <w:rsid w:val="00787DE6"/>
    <w:rsid w:val="007A21A5"/>
    <w:rsid w:val="007A55ED"/>
    <w:rsid w:val="007B282A"/>
    <w:rsid w:val="007B2968"/>
    <w:rsid w:val="007D00DB"/>
    <w:rsid w:val="007D2CA5"/>
    <w:rsid w:val="007D5FFF"/>
    <w:rsid w:val="007D6703"/>
    <w:rsid w:val="007D7DA3"/>
    <w:rsid w:val="007E5EE6"/>
    <w:rsid w:val="008037B4"/>
    <w:rsid w:val="0081068E"/>
    <w:rsid w:val="0081683E"/>
    <w:rsid w:val="00816D8D"/>
    <w:rsid w:val="00836975"/>
    <w:rsid w:val="00844227"/>
    <w:rsid w:val="00844C64"/>
    <w:rsid w:val="00880F20"/>
    <w:rsid w:val="00896B04"/>
    <w:rsid w:val="008A2F0E"/>
    <w:rsid w:val="008A644D"/>
    <w:rsid w:val="008D2420"/>
    <w:rsid w:val="008E26BA"/>
    <w:rsid w:val="008F0E34"/>
    <w:rsid w:val="008F1D83"/>
    <w:rsid w:val="00905FBE"/>
    <w:rsid w:val="00910DFF"/>
    <w:rsid w:val="00927EB1"/>
    <w:rsid w:val="00947F00"/>
    <w:rsid w:val="00950F89"/>
    <w:rsid w:val="009714B6"/>
    <w:rsid w:val="00974065"/>
    <w:rsid w:val="00987742"/>
    <w:rsid w:val="009B272D"/>
    <w:rsid w:val="009B3B3C"/>
    <w:rsid w:val="009B441B"/>
    <w:rsid w:val="009B6007"/>
    <w:rsid w:val="009C4D56"/>
    <w:rsid w:val="009C731C"/>
    <w:rsid w:val="009D6EA3"/>
    <w:rsid w:val="00A123CC"/>
    <w:rsid w:val="00A27F70"/>
    <w:rsid w:val="00A3092B"/>
    <w:rsid w:val="00A339BE"/>
    <w:rsid w:val="00A33E90"/>
    <w:rsid w:val="00A35350"/>
    <w:rsid w:val="00A43369"/>
    <w:rsid w:val="00A52C7A"/>
    <w:rsid w:val="00A56070"/>
    <w:rsid w:val="00A60292"/>
    <w:rsid w:val="00A97F59"/>
    <w:rsid w:val="00AA12BD"/>
    <w:rsid w:val="00AA532F"/>
    <w:rsid w:val="00AB09A5"/>
    <w:rsid w:val="00AB728E"/>
    <w:rsid w:val="00AB7AB7"/>
    <w:rsid w:val="00AB7DC7"/>
    <w:rsid w:val="00AC0856"/>
    <w:rsid w:val="00AC21C9"/>
    <w:rsid w:val="00AC2498"/>
    <w:rsid w:val="00AC2D5C"/>
    <w:rsid w:val="00AE488B"/>
    <w:rsid w:val="00AF3C7A"/>
    <w:rsid w:val="00AF477F"/>
    <w:rsid w:val="00B07920"/>
    <w:rsid w:val="00B118BB"/>
    <w:rsid w:val="00B31B90"/>
    <w:rsid w:val="00B36EB8"/>
    <w:rsid w:val="00B463AA"/>
    <w:rsid w:val="00B5000C"/>
    <w:rsid w:val="00B62099"/>
    <w:rsid w:val="00B62472"/>
    <w:rsid w:val="00B8617C"/>
    <w:rsid w:val="00BA046B"/>
    <w:rsid w:val="00BB18AC"/>
    <w:rsid w:val="00BB3277"/>
    <w:rsid w:val="00BB3CBC"/>
    <w:rsid w:val="00BB59D4"/>
    <w:rsid w:val="00BC1091"/>
    <w:rsid w:val="00BC31BE"/>
    <w:rsid w:val="00BD3CF2"/>
    <w:rsid w:val="00BF495A"/>
    <w:rsid w:val="00C0574F"/>
    <w:rsid w:val="00C0672A"/>
    <w:rsid w:val="00C16D19"/>
    <w:rsid w:val="00C25D5E"/>
    <w:rsid w:val="00C31E9C"/>
    <w:rsid w:val="00C47051"/>
    <w:rsid w:val="00C60004"/>
    <w:rsid w:val="00C61543"/>
    <w:rsid w:val="00C65A69"/>
    <w:rsid w:val="00C6689E"/>
    <w:rsid w:val="00C91433"/>
    <w:rsid w:val="00CC10D1"/>
    <w:rsid w:val="00CE7921"/>
    <w:rsid w:val="00D130E0"/>
    <w:rsid w:val="00D14319"/>
    <w:rsid w:val="00D23E77"/>
    <w:rsid w:val="00D24974"/>
    <w:rsid w:val="00D27F39"/>
    <w:rsid w:val="00D35B2C"/>
    <w:rsid w:val="00D670E4"/>
    <w:rsid w:val="00D6765D"/>
    <w:rsid w:val="00D83E95"/>
    <w:rsid w:val="00DA37D8"/>
    <w:rsid w:val="00DA79B7"/>
    <w:rsid w:val="00DB76D1"/>
    <w:rsid w:val="00DC6BFB"/>
    <w:rsid w:val="00DD4CA2"/>
    <w:rsid w:val="00DE19E7"/>
    <w:rsid w:val="00DE6D71"/>
    <w:rsid w:val="00DF0D88"/>
    <w:rsid w:val="00E1664A"/>
    <w:rsid w:val="00E24EFD"/>
    <w:rsid w:val="00E31478"/>
    <w:rsid w:val="00E44A7C"/>
    <w:rsid w:val="00E450ED"/>
    <w:rsid w:val="00E531A6"/>
    <w:rsid w:val="00E672EC"/>
    <w:rsid w:val="00E73AF8"/>
    <w:rsid w:val="00E763DB"/>
    <w:rsid w:val="00E805D6"/>
    <w:rsid w:val="00E82BCA"/>
    <w:rsid w:val="00E90600"/>
    <w:rsid w:val="00EA0354"/>
    <w:rsid w:val="00EA09D3"/>
    <w:rsid w:val="00EB338B"/>
    <w:rsid w:val="00EC0692"/>
    <w:rsid w:val="00EC366C"/>
    <w:rsid w:val="00EC5793"/>
    <w:rsid w:val="00EC5B93"/>
    <w:rsid w:val="00ED041C"/>
    <w:rsid w:val="00ED3E0A"/>
    <w:rsid w:val="00EE2C87"/>
    <w:rsid w:val="00EF3E2B"/>
    <w:rsid w:val="00F062C8"/>
    <w:rsid w:val="00F12A3A"/>
    <w:rsid w:val="00F23220"/>
    <w:rsid w:val="00F23E78"/>
    <w:rsid w:val="00F375B0"/>
    <w:rsid w:val="00F90595"/>
    <w:rsid w:val="00FA46A7"/>
    <w:rsid w:val="00FA66D6"/>
    <w:rsid w:val="00FC1D96"/>
    <w:rsid w:val="00FC53CF"/>
    <w:rsid w:val="00FC6101"/>
    <w:rsid w:val="00FC6A36"/>
    <w:rsid w:val="00FE3A92"/>
    <w:rsid w:val="00FF0E9E"/>
    <w:rsid w:val="01CBAC37"/>
    <w:rsid w:val="01E1314F"/>
    <w:rsid w:val="02507564"/>
    <w:rsid w:val="0259DDDE"/>
    <w:rsid w:val="026BFD05"/>
    <w:rsid w:val="047D13F3"/>
    <w:rsid w:val="04CCF323"/>
    <w:rsid w:val="052089EB"/>
    <w:rsid w:val="05E7DC45"/>
    <w:rsid w:val="083EFF8E"/>
    <w:rsid w:val="0A6EF022"/>
    <w:rsid w:val="0A7D6F77"/>
    <w:rsid w:val="0B297090"/>
    <w:rsid w:val="0C8D9DD1"/>
    <w:rsid w:val="0DA5BE3B"/>
    <w:rsid w:val="0DB9E566"/>
    <w:rsid w:val="0EA80040"/>
    <w:rsid w:val="0F048BE8"/>
    <w:rsid w:val="11BE2E45"/>
    <w:rsid w:val="1204BC35"/>
    <w:rsid w:val="12201CF0"/>
    <w:rsid w:val="12A75FF4"/>
    <w:rsid w:val="135A0CE2"/>
    <w:rsid w:val="1541AB37"/>
    <w:rsid w:val="1783184E"/>
    <w:rsid w:val="194304B2"/>
    <w:rsid w:val="19DCB5FB"/>
    <w:rsid w:val="1A3C6503"/>
    <w:rsid w:val="1AA51E44"/>
    <w:rsid w:val="1ACE84A5"/>
    <w:rsid w:val="1AD5B566"/>
    <w:rsid w:val="1B488A02"/>
    <w:rsid w:val="1CCB2C76"/>
    <w:rsid w:val="1D18269E"/>
    <w:rsid w:val="1EA57D2B"/>
    <w:rsid w:val="1F3C6482"/>
    <w:rsid w:val="1FE3F534"/>
    <w:rsid w:val="21ACD36F"/>
    <w:rsid w:val="21E5216A"/>
    <w:rsid w:val="24B674DF"/>
    <w:rsid w:val="24E39FAE"/>
    <w:rsid w:val="256D2CC4"/>
    <w:rsid w:val="25EAD1F4"/>
    <w:rsid w:val="261E3E91"/>
    <w:rsid w:val="26264A8D"/>
    <w:rsid w:val="273E88F2"/>
    <w:rsid w:val="275D3110"/>
    <w:rsid w:val="280E265B"/>
    <w:rsid w:val="281CDD5A"/>
    <w:rsid w:val="2868EE7E"/>
    <w:rsid w:val="2893787D"/>
    <w:rsid w:val="291652F4"/>
    <w:rsid w:val="2A4F35A6"/>
    <w:rsid w:val="2A659F52"/>
    <w:rsid w:val="2A9969D2"/>
    <w:rsid w:val="2B0C994C"/>
    <w:rsid w:val="2B3FDD4D"/>
    <w:rsid w:val="2F94E0FC"/>
    <w:rsid w:val="2FB91824"/>
    <w:rsid w:val="32BCADA8"/>
    <w:rsid w:val="364CDCBD"/>
    <w:rsid w:val="36E8443D"/>
    <w:rsid w:val="37850868"/>
    <w:rsid w:val="37D1AB2F"/>
    <w:rsid w:val="391EFEB7"/>
    <w:rsid w:val="3A40950E"/>
    <w:rsid w:val="3B4B18AC"/>
    <w:rsid w:val="3B70B3A6"/>
    <w:rsid w:val="3B8B1150"/>
    <w:rsid w:val="3C1EB9FC"/>
    <w:rsid w:val="3C90EAC8"/>
    <w:rsid w:val="3D4D34B9"/>
    <w:rsid w:val="3DFC4D66"/>
    <w:rsid w:val="3E6786E3"/>
    <w:rsid w:val="3EC0FA54"/>
    <w:rsid w:val="3F5EB4E0"/>
    <w:rsid w:val="3F6A94BD"/>
    <w:rsid w:val="3F831476"/>
    <w:rsid w:val="4012DDDA"/>
    <w:rsid w:val="40AFF1A9"/>
    <w:rsid w:val="4135AC43"/>
    <w:rsid w:val="41B9B2F4"/>
    <w:rsid w:val="425E7A45"/>
    <w:rsid w:val="42C5CB81"/>
    <w:rsid w:val="437897FD"/>
    <w:rsid w:val="43E987A4"/>
    <w:rsid w:val="44CE81EB"/>
    <w:rsid w:val="478112EF"/>
    <w:rsid w:val="4924D99C"/>
    <w:rsid w:val="493B04B2"/>
    <w:rsid w:val="4A469C15"/>
    <w:rsid w:val="4B315246"/>
    <w:rsid w:val="4B4A6682"/>
    <w:rsid w:val="4B4DF6AD"/>
    <w:rsid w:val="4C5D8AE7"/>
    <w:rsid w:val="4D6E0607"/>
    <w:rsid w:val="4E7ABDC7"/>
    <w:rsid w:val="4F5FFEF1"/>
    <w:rsid w:val="507E053F"/>
    <w:rsid w:val="509297FE"/>
    <w:rsid w:val="50D583C2"/>
    <w:rsid w:val="51E8FE19"/>
    <w:rsid w:val="52F6B0A5"/>
    <w:rsid w:val="53012452"/>
    <w:rsid w:val="53DD5C68"/>
    <w:rsid w:val="54C26BC2"/>
    <w:rsid w:val="55838C33"/>
    <w:rsid w:val="55C5DF7A"/>
    <w:rsid w:val="5604FD5D"/>
    <w:rsid w:val="56F18B55"/>
    <w:rsid w:val="597B1232"/>
    <w:rsid w:val="5992E918"/>
    <w:rsid w:val="5A320CD8"/>
    <w:rsid w:val="5B224137"/>
    <w:rsid w:val="5BF374B9"/>
    <w:rsid w:val="5D4B7AC7"/>
    <w:rsid w:val="5DFFC0C2"/>
    <w:rsid w:val="5F03FAF9"/>
    <w:rsid w:val="5F2FAA69"/>
    <w:rsid w:val="60823C97"/>
    <w:rsid w:val="626EFB7B"/>
    <w:rsid w:val="6304AF0F"/>
    <w:rsid w:val="6377EB79"/>
    <w:rsid w:val="6601E5BB"/>
    <w:rsid w:val="6673DC45"/>
    <w:rsid w:val="66E4DA1A"/>
    <w:rsid w:val="67BB23E2"/>
    <w:rsid w:val="68E1DD20"/>
    <w:rsid w:val="69293476"/>
    <w:rsid w:val="6AC79651"/>
    <w:rsid w:val="6BEAFF4F"/>
    <w:rsid w:val="6BEF9DDF"/>
    <w:rsid w:val="6C00BDB3"/>
    <w:rsid w:val="6F0E504B"/>
    <w:rsid w:val="6F4005D8"/>
    <w:rsid w:val="711225A3"/>
    <w:rsid w:val="71689D7C"/>
    <w:rsid w:val="72888F33"/>
    <w:rsid w:val="738209E4"/>
    <w:rsid w:val="73EEECAC"/>
    <w:rsid w:val="74A87385"/>
    <w:rsid w:val="7595BF98"/>
    <w:rsid w:val="75DA6FAF"/>
    <w:rsid w:val="761715EF"/>
    <w:rsid w:val="761EC7F4"/>
    <w:rsid w:val="778BCD73"/>
    <w:rsid w:val="77E639D6"/>
    <w:rsid w:val="7889FB82"/>
    <w:rsid w:val="799F0A4A"/>
    <w:rsid w:val="79A3B04C"/>
    <w:rsid w:val="79E36B48"/>
    <w:rsid w:val="7AE4F818"/>
    <w:rsid w:val="7D97B870"/>
    <w:rsid w:val="7DD02BD7"/>
    <w:rsid w:val="7E5716F8"/>
    <w:rsid w:val="7FBAB99A"/>
    <w:rsid w:val="7FF33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E19"/>
  <w15:chartTrackingRefBased/>
  <w15:docId w15:val="{DBEF08F0-1DB3-4059-9310-1EACBA32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7B282A"/>
    <w:pPr>
      <w:keepNext/>
      <w:keepLines/>
      <w:spacing w:before="240" w:after="240" w:line="240" w:lineRule="auto"/>
      <w:outlineLvl w:val="0"/>
    </w:pPr>
    <w:rPr>
      <w:rFonts w:ascii="VAG Rounded" w:eastAsiaTheme="majorEastAsia" w:hAnsi="VAG Rounded" w:cstheme="majorBidi"/>
      <w:b/>
      <w:color w:val="005496"/>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5B79CA"/>
    <w:pPr>
      <w:keepNext/>
      <w:keepLines/>
      <w:spacing w:before="40" w:after="0"/>
      <w:outlineLvl w:val="2"/>
    </w:pPr>
    <w:rPr>
      <w:rFonts w:eastAsiaTheme="majorEastAsia" w:cs="Arial"/>
      <w:sz w:val="36"/>
      <w:szCs w:val="36"/>
      <w:lang w:val="en-US"/>
    </w:rPr>
  </w:style>
  <w:style w:type="paragraph" w:styleId="Heading4">
    <w:name w:val="heading 4"/>
    <w:basedOn w:val="Normal"/>
    <w:next w:val="Normal"/>
    <w:link w:val="Heading4Char"/>
    <w:autoRedefine/>
    <w:uiPriority w:val="9"/>
    <w:unhideWhenUsed/>
    <w:qFormat/>
    <w:rsid w:val="00FA66D6"/>
    <w:pPr>
      <w:keepNext/>
      <w:keepLines/>
      <w:spacing w:before="40" w:after="0"/>
      <w:outlineLvl w:val="3"/>
    </w:pPr>
    <w:rPr>
      <w:rFonts w:eastAsia="Calibri" w:cstheme="majorBidi"/>
      <w:b/>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qFormat/>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7B282A"/>
    <w:rPr>
      <w:rFonts w:ascii="VAG Rounded" w:eastAsiaTheme="majorEastAsia" w:hAnsi="VAG Rounded" w:cstheme="majorBidi"/>
      <w:b/>
      <w:color w:val="005496"/>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5B79CA"/>
    <w:rPr>
      <w:rFonts w:ascii="Arial" w:eastAsiaTheme="majorEastAsia" w:hAnsi="Arial" w:cs="Arial"/>
      <w:sz w:val="36"/>
      <w:szCs w:val="36"/>
      <w:lang w:val="en-US"/>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FA66D6"/>
    <w:rPr>
      <w:rFonts w:ascii="Arial" w:eastAsia="Calibri" w:hAnsi="Arial" w:cstheme="majorBidi"/>
      <w:b/>
      <w:iCs/>
      <w:color w:val="000000" w:themeColor="text1"/>
      <w:sz w:val="28"/>
      <w:szCs w:val="28"/>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BB59D4"/>
    <w:pPr>
      <w:spacing w:after="100"/>
      <w:ind w:left="480"/>
    </w:pPr>
  </w:style>
  <w:style w:type="character" w:styleId="CommentReference">
    <w:name w:val="annotation reference"/>
    <w:basedOn w:val="DefaultParagraphFont"/>
    <w:uiPriority w:val="99"/>
    <w:semiHidden/>
    <w:unhideWhenUsed/>
    <w:rsid w:val="00402FFC"/>
    <w:rPr>
      <w:sz w:val="16"/>
      <w:szCs w:val="16"/>
    </w:rPr>
  </w:style>
  <w:style w:type="paragraph" w:styleId="CommentText">
    <w:name w:val="annotation text"/>
    <w:basedOn w:val="Normal"/>
    <w:link w:val="CommentTextChar"/>
    <w:uiPriority w:val="99"/>
    <w:unhideWhenUsed/>
    <w:rsid w:val="00402FFC"/>
    <w:pPr>
      <w:spacing w:line="240" w:lineRule="auto"/>
    </w:pPr>
    <w:rPr>
      <w:sz w:val="20"/>
      <w:szCs w:val="20"/>
    </w:rPr>
  </w:style>
  <w:style w:type="character" w:customStyle="1" w:styleId="CommentTextChar">
    <w:name w:val="Comment Text Char"/>
    <w:basedOn w:val="DefaultParagraphFont"/>
    <w:link w:val="CommentText"/>
    <w:uiPriority w:val="99"/>
    <w:rsid w:val="00402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2FFC"/>
    <w:rPr>
      <w:b/>
      <w:bCs/>
    </w:rPr>
  </w:style>
  <w:style w:type="character" w:customStyle="1" w:styleId="CommentSubjectChar">
    <w:name w:val="Comment Subject Char"/>
    <w:basedOn w:val="CommentTextChar"/>
    <w:link w:val="CommentSubject"/>
    <w:uiPriority w:val="99"/>
    <w:semiHidden/>
    <w:rsid w:val="00402FFC"/>
    <w:rPr>
      <w:rFonts w:ascii="Arial" w:hAnsi="Arial"/>
      <w:b/>
      <w:bCs/>
      <w:sz w:val="20"/>
      <w:szCs w:val="20"/>
    </w:rPr>
  </w:style>
  <w:style w:type="paragraph" w:styleId="Revision">
    <w:name w:val="Revision"/>
    <w:hidden/>
    <w:uiPriority w:val="99"/>
    <w:semiHidden/>
    <w:rsid w:val="00402FF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413B9"/>
    <w:rPr>
      <w:color w:val="605E5C"/>
      <w:shd w:val="clear" w:color="auto" w:fill="E1DFDD"/>
    </w:rPr>
  </w:style>
  <w:style w:type="paragraph" w:customStyle="1" w:styleId="paragraph">
    <w:name w:val="paragraph"/>
    <w:basedOn w:val="Normal"/>
    <w:rsid w:val="00660A9F"/>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character" w:customStyle="1" w:styleId="normaltextrun">
    <w:name w:val="normaltextrun"/>
    <w:basedOn w:val="DefaultParagraphFont"/>
    <w:rsid w:val="00660A9F"/>
  </w:style>
  <w:style w:type="character" w:customStyle="1" w:styleId="eop">
    <w:name w:val="eop"/>
    <w:basedOn w:val="DefaultParagraphFont"/>
    <w:rsid w:val="0066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 w:id="927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687F31AE-A335-4923-AF31-D8E83EB57BC5}"/>
</file>

<file path=customXml/itemProps2.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3.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4.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docProps/app.xml><?xml version="1.0" encoding="utf-8"?>
<Properties xmlns="http://schemas.openxmlformats.org/officeDocument/2006/extended-properties" xmlns:vt="http://schemas.openxmlformats.org/officeDocument/2006/docPropsVTypes">
  <Template>PWDA Policy Template 2024_Final</Template>
  <TotalTime>0</TotalTime>
  <Pages>9</Pages>
  <Words>1736</Words>
  <Characters>10871</Characters>
  <Application>Microsoft Office Word</Application>
  <DocSecurity>0</DocSecurity>
  <Lines>258</Lines>
  <Paragraphs>182</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Kirby-Parsons</dc:creator>
  <cp:keywords/>
  <dc:description/>
  <cp:lastModifiedBy>Deborah Kirby-Parsons</cp:lastModifiedBy>
  <cp:revision>90</cp:revision>
  <cp:lastPrinted>2025-11-07T05:08:00Z</cp:lastPrinted>
  <dcterms:created xsi:type="dcterms:W3CDTF">2025-11-07T02:59:00Z</dcterms:created>
  <dcterms:modified xsi:type="dcterms:W3CDTF">2026-01-13T06:25:00Z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