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9758B" w14:textId="77777777" w:rsidR="00683156" w:rsidRDefault="00683156" w:rsidP="001270DB">
      <w:pPr>
        <w:pStyle w:val="Heading1"/>
        <w:spacing w:line="240" w:lineRule="auto"/>
        <w:rPr>
          <w:color w:val="FFFFFF" w:themeColor="background1"/>
        </w:rPr>
      </w:pPr>
      <w:bookmarkStart w:id="0" w:name="_Toc121904239"/>
      <w:bookmarkStart w:id="1" w:name="_Toc122010538"/>
      <w:bookmarkStart w:id="2" w:name="_Toc136542540"/>
      <w:bookmarkStart w:id="3" w:name="_Toc136544400"/>
      <w:bookmarkStart w:id="4" w:name="_Toc136805643"/>
      <w:bookmarkStart w:id="5" w:name="_Toc136867591"/>
      <w:bookmarkStart w:id="6" w:name="_Toc210673824"/>
      <w:bookmarkStart w:id="7" w:name="_Toc210682856"/>
      <w:bookmarkStart w:id="8" w:name="_Toc210831479"/>
      <w:bookmarkStart w:id="9" w:name="_Toc511064385"/>
    </w:p>
    <w:p w14:paraId="278DE25B" w14:textId="77777777" w:rsidR="006B1CE6" w:rsidRPr="006B1CE6" w:rsidRDefault="006B1CE6" w:rsidP="001270DB">
      <w:pPr>
        <w:pStyle w:val="BodyText"/>
        <w:spacing w:line="240" w:lineRule="auto"/>
        <w:rPr>
          <w:lang w:val="en-AU"/>
        </w:rPr>
      </w:pPr>
    </w:p>
    <w:p w14:paraId="1FD056FA" w14:textId="345E8996" w:rsidR="00683156" w:rsidRDefault="56DDF09D" w:rsidP="001270DB">
      <w:pPr>
        <w:pStyle w:val="Heading1"/>
        <w:spacing w:line="240" w:lineRule="auto"/>
        <w:rPr>
          <w:i/>
          <w:iCs/>
        </w:rPr>
      </w:pPr>
      <w:bookmarkStart w:id="10" w:name="_Toc218680312"/>
      <w:bookmarkStart w:id="11" w:name="_Toc219209458"/>
      <w:bookmarkStart w:id="12" w:name="_Toc219209545"/>
      <w:bookmarkStart w:id="13" w:name="_Toc219209838"/>
      <w:r w:rsidRPr="7CD4A099">
        <w:rPr>
          <w:i/>
          <w:iCs/>
        </w:rPr>
        <w:t>Submission to the Committee on Economic, Social and Cultural Rights – Review of Australia’s Sixth Periodic Report</w:t>
      </w:r>
      <w:bookmarkEnd w:id="10"/>
      <w:bookmarkEnd w:id="11"/>
      <w:bookmarkEnd w:id="12"/>
      <w:bookmarkEnd w:id="13"/>
    </w:p>
    <w:p w14:paraId="471CE9CC" w14:textId="1E3A7DA0" w:rsidR="00451E71" w:rsidRDefault="0193C72D" w:rsidP="001270DB">
      <w:pPr>
        <w:pStyle w:val="BodyText"/>
        <w:spacing w:line="240" w:lineRule="auto"/>
        <w:rPr>
          <w:lang w:val="en-AU"/>
        </w:rPr>
      </w:pPr>
      <w:r w:rsidRPr="7CD4A099">
        <w:rPr>
          <w:lang w:val="en-AU"/>
        </w:rPr>
        <w:t>January 2026</w:t>
      </w:r>
    </w:p>
    <w:p w14:paraId="3E719BF5" w14:textId="18DEA878" w:rsidR="00BB5236" w:rsidRPr="00BB5236" w:rsidRDefault="4F0B12FA" w:rsidP="001270DB">
      <w:pPr>
        <w:pStyle w:val="BodyText"/>
        <w:spacing w:line="240" w:lineRule="auto"/>
      </w:pPr>
      <w:r w:rsidRPr="7CD4A099">
        <w:rPr>
          <w:b/>
          <w:bCs/>
        </w:rPr>
        <w:t>Joint submission by</w:t>
      </w:r>
      <w:r w:rsidR="00BB5236">
        <w:br/>
      </w:r>
      <w:r>
        <w:t xml:space="preserve">People with Disability Australia </w:t>
      </w:r>
      <w:r w:rsidR="00BB5236">
        <w:br/>
      </w:r>
      <w:r>
        <w:t xml:space="preserve">National Ethnic Disability Alliance </w:t>
      </w:r>
    </w:p>
    <w:p w14:paraId="2778CCE3" w14:textId="455C39E0" w:rsidR="00BB5236" w:rsidRPr="00BB5236" w:rsidRDefault="4F0B12FA" w:rsidP="001270DB">
      <w:pPr>
        <w:pStyle w:val="BodyText"/>
        <w:spacing w:line="240" w:lineRule="auto"/>
      </w:pPr>
      <w:r w:rsidRPr="7CD4A099">
        <w:rPr>
          <w:b/>
          <w:bCs/>
        </w:rPr>
        <w:t>Acknowledging substantial contributions from</w:t>
      </w:r>
      <w:r w:rsidR="00BB5236">
        <w:br/>
      </w:r>
      <w:r>
        <w:t xml:space="preserve">Women With Disabilities Australia </w:t>
      </w:r>
    </w:p>
    <w:p w14:paraId="049FEA4D" w14:textId="77777777" w:rsidR="00BB5236" w:rsidRPr="00BB652A" w:rsidRDefault="00BB5236" w:rsidP="001270DB">
      <w:pPr>
        <w:pStyle w:val="BodyText"/>
        <w:spacing w:line="240" w:lineRule="auto"/>
        <w:rPr>
          <w:i/>
          <w:iCs/>
          <w:lang w:val="en-AU"/>
        </w:rPr>
      </w:pPr>
    </w:p>
    <w:p w14:paraId="622362D7" w14:textId="6E5977A6" w:rsidR="00683156" w:rsidRDefault="00EF1D66" w:rsidP="00EF1D66">
      <w:pPr>
        <w:pStyle w:val="BodyText"/>
        <w:spacing w:line="240" w:lineRule="auto"/>
        <w:rPr>
          <w:lang w:val="en-AU"/>
        </w:rPr>
      </w:pPr>
      <w:r>
        <w:rPr>
          <w:noProof/>
          <w:lang w:val="en-AU"/>
        </w:rPr>
        <w:drawing>
          <wp:inline distT="0" distB="0" distL="0" distR="0" wp14:anchorId="3C19C21C" wp14:editId="063585EA">
            <wp:extent cx="3161723" cy="909004"/>
            <wp:effectExtent l="0" t="0" r="635" b="5715"/>
            <wp:docPr id="178222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29786" name="Picture 1782229786"/>
                    <pic:cNvPicPr/>
                  </pic:nvPicPr>
                  <pic:blipFill>
                    <a:blip r:embed="rId11">
                      <a:extLst>
                        <a:ext uri="{28A0092B-C50C-407E-A947-70E740481C1C}">
                          <a14:useLocalDpi xmlns:a14="http://schemas.microsoft.com/office/drawing/2010/main" val="0"/>
                        </a:ext>
                      </a:extLst>
                    </a:blip>
                    <a:stretch>
                      <a:fillRect/>
                    </a:stretch>
                  </pic:blipFill>
                  <pic:spPr>
                    <a:xfrm>
                      <a:off x="0" y="0"/>
                      <a:ext cx="3165272" cy="910024"/>
                    </a:xfrm>
                    <a:prstGeom prst="rect">
                      <a:avLst/>
                    </a:prstGeom>
                  </pic:spPr>
                </pic:pic>
              </a:graphicData>
            </a:graphic>
          </wp:inline>
        </w:drawing>
      </w:r>
    </w:p>
    <w:p w14:paraId="0DCF637F" w14:textId="77777777" w:rsidR="00EF1D66" w:rsidRPr="00EF1D66" w:rsidRDefault="00EF1D66" w:rsidP="00EF1D66">
      <w:pPr>
        <w:pStyle w:val="BodyText"/>
        <w:spacing w:line="240" w:lineRule="auto"/>
        <w:rPr>
          <w:lang w:val="en-AU"/>
        </w:rPr>
      </w:pPr>
    </w:p>
    <w:p w14:paraId="79B62C5D" w14:textId="4C8BA04B" w:rsidR="00683156" w:rsidRDefault="00EF1D66" w:rsidP="001270DB">
      <w:pPr>
        <w:pStyle w:val="Heading1"/>
        <w:spacing w:line="240" w:lineRule="auto"/>
        <w:rPr>
          <w:color w:val="FFFFFF" w:themeColor="background1"/>
        </w:rPr>
      </w:pPr>
      <w:r>
        <w:rPr>
          <w:noProof/>
        </w:rPr>
        <w:drawing>
          <wp:inline distT="0" distB="0" distL="0" distR="0" wp14:anchorId="239143AD" wp14:editId="43650692">
            <wp:extent cx="2687579" cy="1252675"/>
            <wp:effectExtent l="0" t="0" r="0" b="5080"/>
            <wp:docPr id="1346497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97298" name="Picture 134649729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1489" cy="1259158"/>
                    </a:xfrm>
                    <a:prstGeom prst="rect">
                      <a:avLst/>
                    </a:prstGeom>
                  </pic:spPr>
                </pic:pic>
              </a:graphicData>
            </a:graphic>
          </wp:inline>
        </w:drawing>
      </w:r>
    </w:p>
    <w:p w14:paraId="3554D417" w14:textId="69AE5DAE" w:rsidR="007D5708" w:rsidRDefault="007D5708" w:rsidP="001270DB">
      <w:pPr>
        <w:spacing w:before="0" w:after="120" w:line="240" w:lineRule="auto"/>
        <w:rPr>
          <w:rStyle w:val="Hyperlink"/>
          <w:rFonts w:ascii="Arial" w:hAnsi="Arial" w:cs="Arial"/>
          <w:color w:val="auto"/>
          <w:u w:val="none"/>
          <w:shd w:val="clear" w:color="auto" w:fill="FFFFFF"/>
        </w:rPr>
      </w:pPr>
      <w:bookmarkStart w:id="14" w:name="_Toc83717712"/>
      <w:bookmarkStart w:id="15" w:name="_Toc83718528"/>
      <w:bookmarkEnd w:id="0"/>
      <w:bookmarkEnd w:id="1"/>
      <w:bookmarkEnd w:id="2"/>
      <w:bookmarkEnd w:id="3"/>
      <w:bookmarkEnd w:id="4"/>
      <w:bookmarkEnd w:id="5"/>
      <w:bookmarkEnd w:id="6"/>
      <w:bookmarkEnd w:id="7"/>
      <w:bookmarkEnd w:id="8"/>
    </w:p>
    <w:p w14:paraId="74E7D2ED" w14:textId="77777777" w:rsidR="00A51F6E" w:rsidRDefault="00A51F6E" w:rsidP="001270DB">
      <w:pPr>
        <w:spacing w:before="0" w:after="120" w:line="240" w:lineRule="auto"/>
        <w:rPr>
          <w:rStyle w:val="Hyperlink"/>
          <w:rFonts w:ascii="Arial" w:hAnsi="Arial" w:cs="Arial"/>
          <w:color w:val="auto"/>
          <w:u w:val="none"/>
          <w:shd w:val="clear" w:color="auto" w:fill="FFFFFF"/>
        </w:rPr>
      </w:pPr>
    </w:p>
    <w:p w14:paraId="4D256298" w14:textId="77777777" w:rsidR="00C920E7" w:rsidRPr="00401337" w:rsidRDefault="00C920E7" w:rsidP="001270DB">
      <w:pPr>
        <w:spacing w:line="240" w:lineRule="auto"/>
      </w:pPr>
    </w:p>
    <w:p w14:paraId="6163C627" w14:textId="5799967F" w:rsidR="00E566BA" w:rsidRPr="00C920E7" w:rsidRDefault="098CE1A4" w:rsidP="001270DB">
      <w:pPr>
        <w:pStyle w:val="Heading2"/>
        <w:tabs>
          <w:tab w:val="left" w:pos="4320"/>
        </w:tabs>
        <w:spacing w:line="240" w:lineRule="auto"/>
        <w:rPr>
          <w:sz w:val="44"/>
          <w:szCs w:val="44"/>
        </w:rPr>
      </w:pPr>
      <w:bookmarkStart w:id="16" w:name="_Toc219209840"/>
      <w:r w:rsidRPr="00C920E7">
        <w:rPr>
          <w:sz w:val="44"/>
          <w:szCs w:val="44"/>
        </w:rPr>
        <w:lastRenderedPageBreak/>
        <w:t>Introduction</w:t>
      </w:r>
      <w:bookmarkEnd w:id="16"/>
      <w:r w:rsidRPr="00C920E7">
        <w:rPr>
          <w:sz w:val="44"/>
          <w:szCs w:val="44"/>
        </w:rPr>
        <w:t xml:space="preserve"> </w:t>
      </w:r>
    </w:p>
    <w:p w14:paraId="0642D300" w14:textId="77777777" w:rsidR="00E3131C" w:rsidRPr="008E63AC" w:rsidRDefault="1E821E15" w:rsidP="001270DB">
      <w:pPr>
        <w:spacing w:line="240" w:lineRule="auto"/>
        <w:rPr>
          <w:sz w:val="22"/>
          <w:szCs w:val="22"/>
        </w:rPr>
      </w:pPr>
      <w:r w:rsidRPr="008E63AC">
        <w:rPr>
          <w:sz w:val="22"/>
          <w:szCs w:val="22"/>
        </w:rPr>
        <w:t xml:space="preserve">People with Disability Australia (PWDA) and the National Ethnic Disability Alliance (NEDA) welcome the opportunity to provide this joint submission to the UN Committee on Economic, Social and Cultural Rights Committee (the Committee). </w:t>
      </w:r>
    </w:p>
    <w:p w14:paraId="4CA568C9" w14:textId="24F7F069" w:rsidR="00E3131C" w:rsidRPr="008E63AC" w:rsidRDefault="1E821E15" w:rsidP="001270DB">
      <w:pPr>
        <w:spacing w:line="240" w:lineRule="auto"/>
        <w:rPr>
          <w:sz w:val="22"/>
          <w:szCs w:val="22"/>
          <w:lang w:val="en-US"/>
        </w:rPr>
      </w:pPr>
      <w:r w:rsidRPr="008E63AC">
        <w:rPr>
          <w:sz w:val="22"/>
          <w:szCs w:val="22"/>
          <w:lang w:val="en-US"/>
        </w:rPr>
        <w:t xml:space="preserve">PWDA is Australia’s peak cross-disability Disabled People’s </w:t>
      </w:r>
      <w:proofErr w:type="spellStart"/>
      <w:r w:rsidRPr="008E63AC">
        <w:rPr>
          <w:sz w:val="22"/>
          <w:szCs w:val="22"/>
          <w:lang w:val="en-US"/>
        </w:rPr>
        <w:t>Organisation</w:t>
      </w:r>
      <w:proofErr w:type="spellEnd"/>
      <w:r w:rsidRPr="008E63AC">
        <w:rPr>
          <w:sz w:val="22"/>
          <w:szCs w:val="22"/>
          <w:lang w:val="en-US"/>
        </w:rPr>
        <w:t xml:space="preserve"> and is funded by the Australian Government to represent the 1 in 6 Australians with disability nationally.</w:t>
      </w:r>
      <w:r w:rsidR="00D72F2C">
        <w:rPr>
          <w:sz w:val="22"/>
          <w:szCs w:val="22"/>
          <w:lang w:val="en-US"/>
        </w:rPr>
        <w:t xml:space="preserve"> </w:t>
      </w:r>
      <w:r w:rsidRPr="008E63AC">
        <w:rPr>
          <w:sz w:val="22"/>
          <w:szCs w:val="22"/>
          <w:lang w:val="en-US"/>
        </w:rPr>
        <w:t xml:space="preserve">Our </w:t>
      </w:r>
      <w:proofErr w:type="spellStart"/>
      <w:r w:rsidRPr="008E63AC">
        <w:rPr>
          <w:sz w:val="22"/>
          <w:szCs w:val="22"/>
          <w:lang w:val="en-US"/>
        </w:rPr>
        <w:t>organisation</w:t>
      </w:r>
      <w:proofErr w:type="spellEnd"/>
      <w:r w:rsidRPr="008E63AC">
        <w:rPr>
          <w:sz w:val="22"/>
          <w:szCs w:val="22"/>
          <w:lang w:val="en-US"/>
        </w:rPr>
        <w:t xml:space="preserve"> is made up of, and led by, people with disability and has</w:t>
      </w:r>
      <w:r w:rsidRPr="008E63AC">
        <w:rPr>
          <w:sz w:val="22"/>
          <w:szCs w:val="22"/>
        </w:rPr>
        <w:t xml:space="preserve"> Consultative Status with the United Nations Economic and Social Council.</w:t>
      </w:r>
    </w:p>
    <w:p w14:paraId="00B1D34C" w14:textId="4301BC89" w:rsidR="00E3131C" w:rsidRPr="008E63AC" w:rsidRDefault="1E821E15" w:rsidP="001270DB">
      <w:pPr>
        <w:spacing w:line="240" w:lineRule="auto"/>
        <w:rPr>
          <w:sz w:val="22"/>
          <w:szCs w:val="22"/>
        </w:rPr>
      </w:pPr>
      <w:r w:rsidRPr="008E63AC">
        <w:rPr>
          <w:sz w:val="22"/>
          <w:szCs w:val="22"/>
        </w:rPr>
        <w:t xml:space="preserve">NEDA is a national Disabled People’s Organisation governed by and constituted of </w:t>
      </w:r>
      <w:r w:rsidR="0C8B6133" w:rsidRPr="008E63AC">
        <w:rPr>
          <w:sz w:val="22"/>
          <w:szCs w:val="22"/>
        </w:rPr>
        <w:t>c</w:t>
      </w:r>
      <w:r w:rsidRPr="008E63AC">
        <w:rPr>
          <w:sz w:val="22"/>
          <w:szCs w:val="22"/>
        </w:rPr>
        <w:t xml:space="preserve">ulturally and </w:t>
      </w:r>
      <w:r w:rsidR="0C8B6133" w:rsidRPr="008E63AC">
        <w:rPr>
          <w:sz w:val="22"/>
          <w:szCs w:val="22"/>
        </w:rPr>
        <w:t>l</w:t>
      </w:r>
      <w:r w:rsidRPr="008E63AC">
        <w:rPr>
          <w:sz w:val="22"/>
          <w:szCs w:val="22"/>
        </w:rPr>
        <w:t xml:space="preserve">inguistically </w:t>
      </w:r>
      <w:r w:rsidR="0C8B6133" w:rsidRPr="008E63AC">
        <w:rPr>
          <w:sz w:val="22"/>
          <w:szCs w:val="22"/>
        </w:rPr>
        <w:t>d</w:t>
      </w:r>
      <w:r w:rsidRPr="008E63AC">
        <w:rPr>
          <w:sz w:val="22"/>
          <w:szCs w:val="22"/>
        </w:rPr>
        <w:t xml:space="preserve">iverse people with disability. NEDA’s key purpose is to promote, protect and advance the human rights and freedoms of all people with disability from </w:t>
      </w:r>
      <w:r w:rsidR="003B0FD6">
        <w:rPr>
          <w:sz w:val="22"/>
          <w:szCs w:val="22"/>
        </w:rPr>
        <w:t>culturally and linguistically diverse (</w:t>
      </w:r>
      <w:r w:rsidR="1CE631A0" w:rsidRPr="008E63AC">
        <w:rPr>
          <w:sz w:val="22"/>
          <w:szCs w:val="22"/>
        </w:rPr>
        <w:t>CALD</w:t>
      </w:r>
      <w:r w:rsidR="003B0FD6">
        <w:rPr>
          <w:sz w:val="22"/>
          <w:szCs w:val="22"/>
        </w:rPr>
        <w:t>)</w:t>
      </w:r>
      <w:r w:rsidRPr="008E63AC">
        <w:rPr>
          <w:sz w:val="22"/>
          <w:szCs w:val="22"/>
        </w:rPr>
        <w:t>, migrant, refugee, and asylum-seeking backgrounds.</w:t>
      </w:r>
    </w:p>
    <w:p w14:paraId="4103A9C8" w14:textId="77777777" w:rsidR="00E3131C" w:rsidRPr="008E63AC" w:rsidRDefault="1E821E15" w:rsidP="001270DB">
      <w:pPr>
        <w:spacing w:line="240" w:lineRule="auto"/>
        <w:rPr>
          <w:sz w:val="22"/>
          <w:szCs w:val="22"/>
        </w:rPr>
      </w:pPr>
      <w:r w:rsidRPr="008E63AC">
        <w:rPr>
          <w:sz w:val="22"/>
          <w:szCs w:val="22"/>
        </w:rPr>
        <w:t>We acknowledge the significant contributions by Women with Disabilities Australia to this submission, providing deep expertise in the rights and lived experiences of women and girls with disability.</w:t>
      </w:r>
    </w:p>
    <w:p w14:paraId="449526B6" w14:textId="54A83090" w:rsidR="00E3131C" w:rsidRPr="008E63AC" w:rsidRDefault="1E821E15" w:rsidP="001270DB">
      <w:pPr>
        <w:spacing w:line="240" w:lineRule="auto"/>
        <w:rPr>
          <w:sz w:val="22"/>
          <w:szCs w:val="22"/>
        </w:rPr>
      </w:pPr>
      <w:r w:rsidRPr="008E63AC">
        <w:rPr>
          <w:sz w:val="22"/>
          <w:szCs w:val="22"/>
        </w:rPr>
        <w:t>This joint submission responds to Australia’s Sixth Periodic Report (Australia’s Report) under the International Covenant on Economic, Social and Cultural Rights (ICESCR).</w:t>
      </w:r>
      <w:r w:rsidR="00D72F2C">
        <w:rPr>
          <w:sz w:val="22"/>
          <w:szCs w:val="22"/>
        </w:rPr>
        <w:t xml:space="preserve"> </w:t>
      </w:r>
      <w:r w:rsidRPr="008E63AC">
        <w:rPr>
          <w:sz w:val="22"/>
          <w:szCs w:val="22"/>
        </w:rPr>
        <w:t xml:space="preserve">It provides general disability rights perspectives, as well as perspectives specific to people with disability who are </w:t>
      </w:r>
      <w:r w:rsidR="3A90903C" w:rsidRPr="008E63AC">
        <w:rPr>
          <w:sz w:val="22"/>
          <w:szCs w:val="22"/>
        </w:rPr>
        <w:t xml:space="preserve">from </w:t>
      </w:r>
      <w:r w:rsidR="1CE631A0" w:rsidRPr="008E63AC">
        <w:rPr>
          <w:sz w:val="22"/>
          <w:szCs w:val="22"/>
        </w:rPr>
        <w:t>CALD</w:t>
      </w:r>
      <w:r w:rsidR="3A90903C" w:rsidRPr="008E63AC">
        <w:rPr>
          <w:sz w:val="22"/>
          <w:szCs w:val="22"/>
        </w:rPr>
        <w:t xml:space="preserve"> backgrounds</w:t>
      </w:r>
      <w:r w:rsidRPr="008E63AC">
        <w:rPr>
          <w:sz w:val="22"/>
          <w:szCs w:val="22"/>
        </w:rPr>
        <w:t xml:space="preserve"> and women and girls with disability. </w:t>
      </w:r>
    </w:p>
    <w:p w14:paraId="53D7F8FF" w14:textId="437D03D1" w:rsidR="00E3131C" w:rsidRPr="008E63AC" w:rsidRDefault="1E821E15" w:rsidP="001270DB">
      <w:pPr>
        <w:spacing w:line="240" w:lineRule="auto"/>
        <w:rPr>
          <w:sz w:val="22"/>
          <w:szCs w:val="22"/>
        </w:rPr>
      </w:pPr>
      <w:r w:rsidRPr="008E63AC">
        <w:rPr>
          <w:sz w:val="22"/>
          <w:szCs w:val="22"/>
        </w:rPr>
        <w:t>We would like to</w:t>
      </w:r>
      <w:r w:rsidR="08FE54B7" w:rsidRPr="008E63AC">
        <w:rPr>
          <w:sz w:val="22"/>
          <w:szCs w:val="22"/>
        </w:rPr>
        <w:t xml:space="preserve"> use this opportunity to</w:t>
      </w:r>
      <w:r w:rsidRPr="008E63AC">
        <w:rPr>
          <w:sz w:val="22"/>
          <w:szCs w:val="22"/>
        </w:rPr>
        <w:t xml:space="preserve"> express interest in </w:t>
      </w:r>
      <w:r w:rsidR="02566F63" w:rsidRPr="008E63AC">
        <w:rPr>
          <w:sz w:val="22"/>
          <w:szCs w:val="22"/>
        </w:rPr>
        <w:t xml:space="preserve">attending the informal briefings </w:t>
      </w:r>
      <w:r w:rsidR="3E58FE91" w:rsidRPr="008E63AC">
        <w:rPr>
          <w:sz w:val="22"/>
          <w:szCs w:val="22"/>
        </w:rPr>
        <w:t xml:space="preserve">remotely and possibly in person if funding permits. </w:t>
      </w:r>
    </w:p>
    <w:p w14:paraId="5CBB73C9" w14:textId="77777777" w:rsidR="00652BF8" w:rsidRDefault="1E821E15" w:rsidP="00652BF8">
      <w:pPr>
        <w:spacing w:line="240" w:lineRule="auto"/>
        <w:rPr>
          <w:sz w:val="22"/>
          <w:szCs w:val="22"/>
        </w:rPr>
      </w:pPr>
      <w:r w:rsidRPr="008E63AC">
        <w:rPr>
          <w:sz w:val="22"/>
          <w:szCs w:val="22"/>
        </w:rPr>
        <w:t xml:space="preserve">We hope this submission will assist the Committee in preparing its review of Australia’s </w:t>
      </w:r>
      <w:r w:rsidR="08FE54B7" w:rsidRPr="008E63AC">
        <w:rPr>
          <w:sz w:val="22"/>
          <w:szCs w:val="22"/>
        </w:rPr>
        <w:t>R</w:t>
      </w:r>
      <w:r w:rsidRPr="008E63AC">
        <w:rPr>
          <w:sz w:val="22"/>
          <w:szCs w:val="22"/>
        </w:rPr>
        <w:t>eport</w:t>
      </w:r>
      <w:r w:rsidR="054746F5" w:rsidRPr="008E63AC">
        <w:rPr>
          <w:sz w:val="22"/>
          <w:szCs w:val="22"/>
        </w:rPr>
        <w:t xml:space="preserve">. If you have any questions, please contact Lisa Ira (Expert Advisor – International &amp; Human Rights, PWDA) at </w:t>
      </w:r>
      <w:hyperlink r:id="rId13">
        <w:r w:rsidR="054746F5" w:rsidRPr="008E63AC">
          <w:rPr>
            <w:rStyle w:val="Hyperlink"/>
            <w:sz w:val="22"/>
            <w:szCs w:val="22"/>
          </w:rPr>
          <w:t>lisai@pwd.org.au</w:t>
        </w:r>
      </w:hyperlink>
      <w:r w:rsidR="054746F5" w:rsidRPr="008E63AC">
        <w:rPr>
          <w:sz w:val="22"/>
          <w:szCs w:val="22"/>
        </w:rPr>
        <w:t xml:space="preserve">. </w:t>
      </w:r>
      <w:bookmarkEnd w:id="9"/>
      <w:bookmarkEnd w:id="14"/>
      <w:bookmarkEnd w:id="15"/>
    </w:p>
    <w:p w14:paraId="3EA61A02" w14:textId="77777777" w:rsidR="00194373" w:rsidRDefault="00194373" w:rsidP="00652BF8">
      <w:pPr>
        <w:spacing w:line="240" w:lineRule="auto"/>
        <w:rPr>
          <w:sz w:val="22"/>
          <w:szCs w:val="22"/>
        </w:rPr>
      </w:pPr>
    </w:p>
    <w:p w14:paraId="1A800078" w14:textId="77777777" w:rsidR="00194373" w:rsidRDefault="00194373" w:rsidP="00652BF8">
      <w:pPr>
        <w:spacing w:line="240" w:lineRule="auto"/>
        <w:rPr>
          <w:sz w:val="22"/>
          <w:szCs w:val="22"/>
        </w:rPr>
      </w:pPr>
    </w:p>
    <w:p w14:paraId="10FBE1BE" w14:textId="77777777" w:rsidR="00194373" w:rsidRDefault="00194373" w:rsidP="00652BF8">
      <w:pPr>
        <w:spacing w:line="240" w:lineRule="auto"/>
        <w:rPr>
          <w:sz w:val="22"/>
          <w:szCs w:val="22"/>
        </w:rPr>
      </w:pPr>
    </w:p>
    <w:p w14:paraId="6B32DEC0" w14:textId="77777777" w:rsidR="00194373" w:rsidRDefault="00194373" w:rsidP="00652BF8">
      <w:pPr>
        <w:spacing w:line="240" w:lineRule="auto"/>
        <w:rPr>
          <w:sz w:val="22"/>
          <w:szCs w:val="22"/>
        </w:rPr>
      </w:pPr>
    </w:p>
    <w:p w14:paraId="0F4E4ABC" w14:textId="77777777" w:rsidR="00194373" w:rsidRDefault="00194373" w:rsidP="00652BF8">
      <w:pPr>
        <w:spacing w:line="240" w:lineRule="auto"/>
        <w:rPr>
          <w:sz w:val="22"/>
          <w:szCs w:val="22"/>
        </w:rPr>
      </w:pPr>
    </w:p>
    <w:p w14:paraId="7958BE7E" w14:textId="77777777" w:rsidR="00194373" w:rsidRDefault="00194373" w:rsidP="00652BF8">
      <w:pPr>
        <w:spacing w:line="240" w:lineRule="auto"/>
        <w:rPr>
          <w:sz w:val="22"/>
          <w:szCs w:val="22"/>
        </w:rPr>
      </w:pPr>
    </w:p>
    <w:p w14:paraId="5D97CA4A" w14:textId="77777777" w:rsidR="00194373" w:rsidRDefault="00194373" w:rsidP="00652BF8">
      <w:pPr>
        <w:spacing w:line="240" w:lineRule="auto"/>
        <w:rPr>
          <w:sz w:val="22"/>
          <w:szCs w:val="22"/>
        </w:rPr>
      </w:pPr>
    </w:p>
    <w:p w14:paraId="5FA61F6E" w14:textId="77777777" w:rsidR="00194373" w:rsidRDefault="00194373" w:rsidP="00652BF8">
      <w:pPr>
        <w:spacing w:line="240" w:lineRule="auto"/>
        <w:rPr>
          <w:sz w:val="22"/>
          <w:szCs w:val="22"/>
        </w:rPr>
      </w:pPr>
    </w:p>
    <w:p w14:paraId="263366CF" w14:textId="5A82B7A5" w:rsidR="008E63AC" w:rsidRPr="00652BF8" w:rsidRDefault="1D7ACD29" w:rsidP="00652BF8">
      <w:pPr>
        <w:pStyle w:val="Heading1"/>
        <w:rPr>
          <w:sz w:val="36"/>
          <w:szCs w:val="36"/>
        </w:rPr>
      </w:pPr>
      <w:bookmarkStart w:id="17" w:name="_Toc219209841"/>
      <w:r w:rsidRPr="00652BF8">
        <w:rPr>
          <w:sz w:val="36"/>
          <w:szCs w:val="36"/>
        </w:rPr>
        <w:lastRenderedPageBreak/>
        <w:t xml:space="preserve">Part 1 – </w:t>
      </w:r>
      <w:r w:rsidR="69BD6329" w:rsidRPr="00652BF8">
        <w:rPr>
          <w:sz w:val="36"/>
          <w:szCs w:val="36"/>
        </w:rPr>
        <w:t>Preliminary matters</w:t>
      </w:r>
      <w:bookmarkEnd w:id="17"/>
      <w:r w:rsidRPr="00652BF8">
        <w:rPr>
          <w:sz w:val="36"/>
          <w:szCs w:val="36"/>
        </w:rPr>
        <w:t xml:space="preserve"> </w:t>
      </w:r>
      <w:r w:rsidR="098CE1A4" w:rsidRPr="00652BF8">
        <w:rPr>
          <w:sz w:val="36"/>
          <w:szCs w:val="36"/>
        </w:rPr>
        <w:t xml:space="preserve"> </w:t>
      </w:r>
    </w:p>
    <w:p w14:paraId="5109E335" w14:textId="38A7226F" w:rsidR="00AF361E" w:rsidRPr="00E70F07" w:rsidRDefault="410D337D" w:rsidP="001270DB">
      <w:pPr>
        <w:pStyle w:val="Heading3"/>
        <w:numPr>
          <w:ilvl w:val="0"/>
          <w:numId w:val="24"/>
        </w:numPr>
        <w:spacing w:line="240" w:lineRule="auto"/>
        <w:rPr>
          <w:lang w:val="en-US"/>
        </w:rPr>
      </w:pPr>
      <w:bookmarkStart w:id="18" w:name="_Toc219209842"/>
      <w:r w:rsidRPr="7CD4A099">
        <w:rPr>
          <w:lang w:val="en-US"/>
        </w:rPr>
        <w:t>Disability to form part of follow-up recommendations</w:t>
      </w:r>
      <w:bookmarkEnd w:id="18"/>
      <w:r w:rsidRPr="7CD4A099">
        <w:rPr>
          <w:lang w:val="en-US"/>
        </w:rPr>
        <w:t xml:space="preserve"> </w:t>
      </w:r>
    </w:p>
    <w:p w14:paraId="035E3DE7" w14:textId="6527742C" w:rsidR="00AF361E" w:rsidRPr="008E63AC" w:rsidRDefault="7EC4BD59" w:rsidP="001270DB">
      <w:pPr>
        <w:spacing w:line="240" w:lineRule="auto"/>
        <w:rPr>
          <w:sz w:val="22"/>
          <w:szCs w:val="22"/>
        </w:rPr>
      </w:pPr>
      <w:r w:rsidRPr="008E63AC">
        <w:rPr>
          <w:sz w:val="22"/>
          <w:szCs w:val="22"/>
        </w:rPr>
        <w:t>We encourage the Committee to include disability in its priority follow</w:t>
      </w:r>
      <w:r w:rsidR="004B7ED8">
        <w:rPr>
          <w:sz w:val="22"/>
          <w:szCs w:val="22"/>
        </w:rPr>
        <w:t>-</w:t>
      </w:r>
      <w:r w:rsidRPr="008E63AC">
        <w:rPr>
          <w:sz w:val="22"/>
          <w:szCs w:val="22"/>
        </w:rPr>
        <w:t xml:space="preserve">up recommendations. </w:t>
      </w:r>
      <w:r w:rsidR="4F6E07C7" w:rsidRPr="008E63AC">
        <w:rPr>
          <w:sz w:val="22"/>
          <w:szCs w:val="22"/>
        </w:rPr>
        <w:t>The</w:t>
      </w:r>
      <w:r w:rsidR="5139EC49" w:rsidRPr="008E63AC">
        <w:rPr>
          <w:sz w:val="22"/>
          <w:szCs w:val="22"/>
        </w:rPr>
        <w:t xml:space="preserve"> ICESCR Committee</w:t>
      </w:r>
      <w:r w:rsidR="4F6E07C7" w:rsidRPr="008E63AC">
        <w:rPr>
          <w:sz w:val="22"/>
          <w:szCs w:val="22"/>
        </w:rPr>
        <w:t xml:space="preserve"> previously</w:t>
      </w:r>
      <w:r w:rsidR="5139EC49" w:rsidRPr="008E63AC">
        <w:rPr>
          <w:sz w:val="22"/>
          <w:szCs w:val="22"/>
        </w:rPr>
        <w:t xml:space="preserve"> recommended that Australia takes effective measures to prevent and address violence and abuse against people with disability</w:t>
      </w:r>
      <w:r w:rsidR="410D337D" w:rsidRPr="008E63AC">
        <w:rPr>
          <w:sz w:val="22"/>
          <w:szCs w:val="22"/>
        </w:rPr>
        <w:t>.</w:t>
      </w:r>
      <w:r w:rsidR="00AF361E" w:rsidRPr="008E63AC">
        <w:rPr>
          <w:rStyle w:val="FootnoteReference"/>
          <w:sz w:val="22"/>
          <w:szCs w:val="22"/>
        </w:rPr>
        <w:footnoteReference w:id="1"/>
      </w:r>
      <w:r w:rsidR="410D337D" w:rsidRPr="008E63AC">
        <w:rPr>
          <w:sz w:val="22"/>
          <w:szCs w:val="22"/>
        </w:rPr>
        <w:t xml:space="preserve"> As set out in this submission, these concerns remain unresolved. </w:t>
      </w:r>
    </w:p>
    <w:p w14:paraId="51796BA2" w14:textId="15DFCE74" w:rsidR="00AF361E" w:rsidRPr="008E63AC" w:rsidRDefault="5139EC49" w:rsidP="001270DB">
      <w:pPr>
        <w:spacing w:line="240" w:lineRule="auto"/>
        <w:rPr>
          <w:sz w:val="22"/>
          <w:szCs w:val="22"/>
        </w:rPr>
      </w:pPr>
      <w:r w:rsidRPr="008E63AC">
        <w:rPr>
          <w:sz w:val="22"/>
          <w:szCs w:val="22"/>
        </w:rPr>
        <w:t xml:space="preserve">Australia established </w:t>
      </w:r>
      <w:r w:rsidR="6C35C8E7" w:rsidRPr="008E63AC">
        <w:rPr>
          <w:sz w:val="22"/>
          <w:szCs w:val="22"/>
        </w:rPr>
        <w:t>a</w:t>
      </w:r>
      <w:r w:rsidR="410D337D" w:rsidRPr="008E63AC">
        <w:rPr>
          <w:sz w:val="22"/>
          <w:szCs w:val="22"/>
        </w:rPr>
        <w:t xml:space="preserve"> Royal Commission into Violence, Abuse, Neglect and Exploitation of People with Disability (Disability Royal Commission)</w:t>
      </w:r>
      <w:r w:rsidRPr="008E63AC">
        <w:rPr>
          <w:sz w:val="22"/>
          <w:szCs w:val="22"/>
        </w:rPr>
        <w:t xml:space="preserve"> </w:t>
      </w:r>
      <w:r w:rsidR="410D337D" w:rsidRPr="008E63AC">
        <w:rPr>
          <w:sz w:val="22"/>
          <w:szCs w:val="22"/>
        </w:rPr>
        <w:t>to address systemic and widespread violence, abuse and neglect</w:t>
      </w:r>
      <w:r w:rsidRPr="008E63AC">
        <w:rPr>
          <w:sz w:val="22"/>
          <w:szCs w:val="22"/>
        </w:rPr>
        <w:t>. However, Australia</w:t>
      </w:r>
      <w:r w:rsidR="410D337D" w:rsidRPr="008E63AC">
        <w:rPr>
          <w:sz w:val="22"/>
          <w:szCs w:val="22"/>
        </w:rPr>
        <w:t xml:space="preserve"> ha</w:t>
      </w:r>
      <w:r w:rsidRPr="008E63AC">
        <w:rPr>
          <w:sz w:val="22"/>
          <w:szCs w:val="22"/>
        </w:rPr>
        <w:t>s</w:t>
      </w:r>
      <w:r w:rsidR="410D337D" w:rsidRPr="008E63AC">
        <w:rPr>
          <w:sz w:val="22"/>
          <w:szCs w:val="22"/>
        </w:rPr>
        <w:t xml:space="preserve"> not fully accepted or effectively implemented </w:t>
      </w:r>
      <w:r w:rsidRPr="008E63AC">
        <w:rPr>
          <w:sz w:val="22"/>
          <w:szCs w:val="22"/>
        </w:rPr>
        <w:t xml:space="preserve">many </w:t>
      </w:r>
      <w:r w:rsidR="6C35C8E7" w:rsidRPr="008E63AC">
        <w:rPr>
          <w:sz w:val="22"/>
          <w:szCs w:val="22"/>
        </w:rPr>
        <w:t xml:space="preserve">of </w:t>
      </w:r>
      <w:r w:rsidRPr="008E63AC">
        <w:rPr>
          <w:sz w:val="22"/>
          <w:szCs w:val="22"/>
        </w:rPr>
        <w:t>the Disability Royal Commission’s recommendations</w:t>
      </w:r>
      <w:r w:rsidR="410D337D" w:rsidRPr="008E63AC">
        <w:rPr>
          <w:sz w:val="22"/>
          <w:szCs w:val="22"/>
        </w:rPr>
        <w:t>.</w:t>
      </w:r>
      <w:r w:rsidR="00AF361E" w:rsidRPr="008E63AC">
        <w:rPr>
          <w:rStyle w:val="FootnoteReference"/>
          <w:sz w:val="22"/>
          <w:szCs w:val="22"/>
        </w:rPr>
        <w:footnoteReference w:id="2"/>
      </w:r>
      <w:r w:rsidR="410D337D" w:rsidRPr="008E63AC">
        <w:rPr>
          <w:sz w:val="22"/>
          <w:szCs w:val="22"/>
        </w:rPr>
        <w:t xml:space="preserve"> </w:t>
      </w:r>
    </w:p>
    <w:p w14:paraId="3A22FFD7" w14:textId="080642F0" w:rsidR="00AF361E" w:rsidRPr="008E63AC" w:rsidRDefault="410D337D" w:rsidP="001270DB">
      <w:pPr>
        <w:spacing w:line="240" w:lineRule="auto"/>
        <w:rPr>
          <w:sz w:val="22"/>
          <w:szCs w:val="22"/>
        </w:rPr>
      </w:pPr>
      <w:r w:rsidRPr="008E63AC">
        <w:rPr>
          <w:sz w:val="22"/>
          <w:szCs w:val="22"/>
        </w:rPr>
        <w:t xml:space="preserve">In addition, the Committee on the Rights of Persons with Disabilities has identified persistent shortcomings in Australia’s implementation of its obligations relating to the economic, social and cultural rights of people with disability and </w:t>
      </w:r>
      <w:r w:rsidR="269508A4" w:rsidRPr="008E63AC">
        <w:rPr>
          <w:sz w:val="22"/>
          <w:szCs w:val="22"/>
        </w:rPr>
        <w:t xml:space="preserve">many of </w:t>
      </w:r>
      <w:r w:rsidRPr="008E63AC">
        <w:rPr>
          <w:sz w:val="22"/>
          <w:szCs w:val="22"/>
        </w:rPr>
        <w:t>its recommendations remain unimplemented.</w:t>
      </w:r>
      <w:r w:rsidR="00AF361E" w:rsidRPr="008E63AC">
        <w:rPr>
          <w:rStyle w:val="FootnoteReference"/>
          <w:sz w:val="22"/>
          <w:szCs w:val="22"/>
        </w:rPr>
        <w:footnoteReference w:id="3"/>
      </w:r>
      <w:r w:rsidRPr="008E63AC">
        <w:rPr>
          <w:sz w:val="22"/>
          <w:szCs w:val="22"/>
        </w:rPr>
        <w:t xml:space="preserve"> </w:t>
      </w:r>
    </w:p>
    <w:p w14:paraId="6BBDBAB6" w14:textId="0FBF071D" w:rsidR="00AF361E" w:rsidRPr="008E63AC" w:rsidRDefault="410D337D" w:rsidP="001270DB">
      <w:pPr>
        <w:spacing w:line="240" w:lineRule="auto"/>
        <w:rPr>
          <w:sz w:val="22"/>
          <w:szCs w:val="22"/>
        </w:rPr>
      </w:pPr>
      <w:r w:rsidRPr="008E63AC">
        <w:rPr>
          <w:b/>
          <w:bCs/>
          <w:sz w:val="22"/>
          <w:szCs w:val="22"/>
        </w:rPr>
        <w:t>Recommendation 1:</w:t>
      </w:r>
      <w:r w:rsidRPr="008E63AC">
        <w:rPr>
          <w:sz w:val="22"/>
          <w:szCs w:val="22"/>
        </w:rPr>
        <w:t xml:space="preserve"> The Committee should include disability in its priority follow up recommendations and recommend that Australia take</w:t>
      </w:r>
      <w:r w:rsidR="0019780E">
        <w:rPr>
          <w:sz w:val="22"/>
          <w:szCs w:val="22"/>
        </w:rPr>
        <w:t>s</w:t>
      </w:r>
      <w:r w:rsidRPr="008E63AC">
        <w:rPr>
          <w:sz w:val="22"/>
          <w:szCs w:val="22"/>
        </w:rPr>
        <w:t xml:space="preserve"> concrete, time bound and co-designed measures to address violence, abuse and neglect of people with disability and to ensure the effective enjoyment of economic, social and cultural rights by people with disability on an equal basis with others. </w:t>
      </w:r>
    </w:p>
    <w:p w14:paraId="68B0CFA0" w14:textId="0FAB1F44" w:rsidR="00AF361E" w:rsidRPr="001A0F73" w:rsidRDefault="410D337D" w:rsidP="001270DB">
      <w:pPr>
        <w:pStyle w:val="Heading3"/>
        <w:numPr>
          <w:ilvl w:val="0"/>
          <w:numId w:val="24"/>
        </w:numPr>
        <w:spacing w:line="240" w:lineRule="auto"/>
      </w:pPr>
      <w:bookmarkStart w:id="19" w:name="_Toc219209843"/>
      <w:r>
        <w:t>External affairs power</w:t>
      </w:r>
      <w:bookmarkEnd w:id="19"/>
    </w:p>
    <w:p w14:paraId="621A2289" w14:textId="6C4DB086" w:rsidR="00AF361E" w:rsidRPr="008E63AC" w:rsidRDefault="1C911B9D" w:rsidP="001270DB">
      <w:pPr>
        <w:spacing w:line="240" w:lineRule="auto"/>
        <w:rPr>
          <w:sz w:val="22"/>
          <w:szCs w:val="22"/>
        </w:rPr>
      </w:pPr>
      <w:r w:rsidRPr="008E63AC">
        <w:rPr>
          <w:sz w:val="22"/>
          <w:szCs w:val="22"/>
        </w:rPr>
        <w:t>We note that t</w:t>
      </w:r>
      <w:r w:rsidR="25C97CF5" w:rsidRPr="008E63AC">
        <w:rPr>
          <w:sz w:val="22"/>
          <w:szCs w:val="22"/>
        </w:rPr>
        <w:t xml:space="preserve">he </w:t>
      </w:r>
      <w:r w:rsidR="410D337D" w:rsidRPr="008E63AC">
        <w:rPr>
          <w:sz w:val="22"/>
          <w:szCs w:val="22"/>
        </w:rPr>
        <w:t>Australian Government</w:t>
      </w:r>
      <w:r w:rsidR="009D24F0">
        <w:rPr>
          <w:sz w:val="22"/>
          <w:szCs w:val="22"/>
        </w:rPr>
        <w:t xml:space="preserve"> </w:t>
      </w:r>
      <w:r w:rsidR="5607DD55" w:rsidRPr="008E63AC">
        <w:rPr>
          <w:sz w:val="22"/>
          <w:szCs w:val="22"/>
        </w:rPr>
        <w:t xml:space="preserve">has </w:t>
      </w:r>
      <w:r w:rsidR="410D337D" w:rsidRPr="008E63AC">
        <w:rPr>
          <w:sz w:val="22"/>
          <w:szCs w:val="22"/>
        </w:rPr>
        <w:t xml:space="preserve">legislative power under </w:t>
      </w:r>
      <w:r w:rsidR="00555CA0">
        <w:rPr>
          <w:sz w:val="22"/>
          <w:szCs w:val="22"/>
        </w:rPr>
        <w:t>S</w:t>
      </w:r>
      <w:r w:rsidR="410D337D" w:rsidRPr="008E63AC">
        <w:rPr>
          <w:sz w:val="22"/>
          <w:szCs w:val="22"/>
        </w:rPr>
        <w:t>ection 51 (xxix)</w:t>
      </w:r>
      <w:r w:rsidR="00C32EE9">
        <w:rPr>
          <w:sz w:val="22"/>
          <w:szCs w:val="22"/>
        </w:rPr>
        <w:t xml:space="preserve"> </w:t>
      </w:r>
      <w:r w:rsidR="410D337D" w:rsidRPr="008E63AC">
        <w:rPr>
          <w:sz w:val="22"/>
          <w:szCs w:val="22"/>
        </w:rPr>
        <w:t>of the Constitution to implement ICESCR. The Australian Government can use this power to implement treaties, including ICESCR, despite the subject matter being traditionally within a state’s legislative power.</w:t>
      </w:r>
      <w:r w:rsidR="00AF361E" w:rsidRPr="008E63AC">
        <w:rPr>
          <w:rStyle w:val="FootnoteReference"/>
          <w:sz w:val="22"/>
          <w:szCs w:val="22"/>
        </w:rPr>
        <w:footnoteReference w:id="4"/>
      </w:r>
      <w:r w:rsidR="410D337D" w:rsidRPr="008E63AC">
        <w:rPr>
          <w:sz w:val="22"/>
          <w:szCs w:val="22"/>
        </w:rPr>
        <w:t xml:space="preserve"> </w:t>
      </w:r>
    </w:p>
    <w:p w14:paraId="1FABD3D0" w14:textId="675FF1F2" w:rsidR="00AF361E" w:rsidRPr="008E63AC" w:rsidRDefault="410D337D" w:rsidP="001270DB">
      <w:pPr>
        <w:spacing w:line="240" w:lineRule="auto"/>
        <w:rPr>
          <w:sz w:val="22"/>
          <w:szCs w:val="22"/>
        </w:rPr>
      </w:pPr>
      <w:r w:rsidRPr="008E63AC">
        <w:rPr>
          <w:b/>
          <w:bCs/>
          <w:sz w:val="22"/>
          <w:szCs w:val="22"/>
        </w:rPr>
        <w:t xml:space="preserve">Recommendation 2: </w:t>
      </w:r>
      <w:r w:rsidRPr="008E63AC">
        <w:rPr>
          <w:sz w:val="22"/>
          <w:szCs w:val="22"/>
        </w:rPr>
        <w:t>The Committee should recommend that Australia u</w:t>
      </w:r>
      <w:r w:rsidR="00FB4D4C">
        <w:rPr>
          <w:sz w:val="22"/>
          <w:szCs w:val="22"/>
        </w:rPr>
        <w:t>ses</w:t>
      </w:r>
      <w:r w:rsidRPr="008E63AC">
        <w:rPr>
          <w:sz w:val="22"/>
          <w:szCs w:val="22"/>
        </w:rPr>
        <w:t xml:space="preserve"> its external affairs power under </w:t>
      </w:r>
      <w:r w:rsidR="00C32EE9">
        <w:rPr>
          <w:sz w:val="22"/>
          <w:szCs w:val="22"/>
        </w:rPr>
        <w:t>S</w:t>
      </w:r>
      <w:r w:rsidRPr="008E63AC">
        <w:rPr>
          <w:sz w:val="22"/>
          <w:szCs w:val="22"/>
        </w:rPr>
        <w:t>ection 51(xxix) of the Constitution to enact national legislation to implement ICESCR where action by states and territories is inadequate to ensure the effective enjoyment of ICESCR rights.</w:t>
      </w:r>
    </w:p>
    <w:p w14:paraId="1DE99793" w14:textId="7C777ECD" w:rsidR="00AF361E" w:rsidRPr="0081797A" w:rsidRDefault="410D337D" w:rsidP="001270DB">
      <w:pPr>
        <w:pStyle w:val="Heading3"/>
        <w:numPr>
          <w:ilvl w:val="0"/>
          <w:numId w:val="24"/>
        </w:numPr>
        <w:spacing w:line="240" w:lineRule="auto"/>
      </w:pPr>
      <w:bookmarkStart w:id="20" w:name="_Toc219209844"/>
      <w:r>
        <w:t xml:space="preserve">National </w:t>
      </w:r>
      <w:r w:rsidR="6C35C8E7">
        <w:t>H</w:t>
      </w:r>
      <w:r>
        <w:t xml:space="preserve">uman </w:t>
      </w:r>
      <w:r w:rsidR="6C35C8E7">
        <w:t>R</w:t>
      </w:r>
      <w:r>
        <w:t xml:space="preserve">ights </w:t>
      </w:r>
      <w:r w:rsidR="6C35C8E7">
        <w:t>A</w:t>
      </w:r>
      <w:r>
        <w:t>ct</w:t>
      </w:r>
      <w:bookmarkEnd w:id="20"/>
    </w:p>
    <w:p w14:paraId="2568A10B" w14:textId="61EFCEF8" w:rsidR="00AF361E" w:rsidRPr="008E63AC" w:rsidRDefault="410D337D" w:rsidP="001270DB">
      <w:pPr>
        <w:spacing w:line="240" w:lineRule="auto"/>
        <w:rPr>
          <w:sz w:val="22"/>
          <w:szCs w:val="22"/>
        </w:rPr>
      </w:pPr>
      <w:r w:rsidRPr="008E63AC">
        <w:rPr>
          <w:sz w:val="22"/>
          <w:szCs w:val="22"/>
        </w:rPr>
        <w:t xml:space="preserve">The absence of a </w:t>
      </w:r>
      <w:r w:rsidR="6C35C8E7" w:rsidRPr="008E63AC">
        <w:rPr>
          <w:sz w:val="22"/>
          <w:szCs w:val="22"/>
        </w:rPr>
        <w:t>n</w:t>
      </w:r>
      <w:r w:rsidRPr="008E63AC">
        <w:rPr>
          <w:sz w:val="22"/>
          <w:szCs w:val="22"/>
        </w:rPr>
        <w:t xml:space="preserve">ational Human Rights Act in Australia leaves ICESCR rights fragmented and weakly protected in domestic law, with disproportionate impacts on people with disability. As recognised by the Parliamentary Joint Committee on Human Rights in its 2024 </w:t>
      </w:r>
      <w:r w:rsidRPr="008E63AC">
        <w:rPr>
          <w:sz w:val="22"/>
          <w:szCs w:val="22"/>
        </w:rPr>
        <w:lastRenderedPageBreak/>
        <w:t>review of Australia’s human rights framework, a national Human Rights Act could incorporate immediately realisable economic, social and cultural rights obligations</w:t>
      </w:r>
      <w:r w:rsidR="0015396A">
        <w:rPr>
          <w:sz w:val="22"/>
          <w:szCs w:val="22"/>
        </w:rPr>
        <w:t>.</w:t>
      </w:r>
    </w:p>
    <w:p w14:paraId="3FD7A54B" w14:textId="1044003B" w:rsidR="00A4032A" w:rsidRPr="008E63AC" w:rsidRDefault="410D337D" w:rsidP="001270DB">
      <w:pPr>
        <w:spacing w:after="0" w:line="240" w:lineRule="auto"/>
        <w:rPr>
          <w:b/>
          <w:bCs/>
          <w:sz w:val="22"/>
          <w:szCs w:val="22"/>
        </w:rPr>
      </w:pPr>
      <w:r w:rsidRPr="008E63AC">
        <w:rPr>
          <w:b/>
          <w:bCs/>
          <w:sz w:val="22"/>
          <w:szCs w:val="22"/>
        </w:rPr>
        <w:t xml:space="preserve">Recommendation 3: </w:t>
      </w:r>
      <w:r w:rsidRPr="008E63AC">
        <w:rPr>
          <w:sz w:val="22"/>
          <w:szCs w:val="22"/>
        </w:rPr>
        <w:t>That Australia enacts a national Human Rights Act that gives domestic effect to its international human rights obligations, including immediately realisable economic, social and cultural rights obligations</w:t>
      </w:r>
      <w:r w:rsidR="29C023C0" w:rsidRPr="008E63AC">
        <w:rPr>
          <w:sz w:val="22"/>
          <w:szCs w:val="22"/>
        </w:rPr>
        <w:t>.</w:t>
      </w:r>
    </w:p>
    <w:p w14:paraId="586CAACA" w14:textId="312FAE8F" w:rsidR="003A2B3F" w:rsidRPr="00D8743E" w:rsidRDefault="5CE9E30E" w:rsidP="001270DB">
      <w:pPr>
        <w:pStyle w:val="Heading1"/>
        <w:spacing w:line="240" w:lineRule="auto"/>
        <w:rPr>
          <w:sz w:val="36"/>
          <w:szCs w:val="36"/>
        </w:rPr>
      </w:pPr>
      <w:bookmarkStart w:id="21" w:name="_Toc219209845"/>
      <w:r w:rsidRPr="00D8743E">
        <w:rPr>
          <w:sz w:val="36"/>
          <w:szCs w:val="36"/>
        </w:rPr>
        <w:t xml:space="preserve">Part 2 </w:t>
      </w:r>
      <w:r w:rsidR="6E237869" w:rsidRPr="00D8743E">
        <w:rPr>
          <w:sz w:val="36"/>
          <w:szCs w:val="36"/>
        </w:rPr>
        <w:t>–</w:t>
      </w:r>
      <w:r w:rsidRPr="00D8743E">
        <w:rPr>
          <w:sz w:val="36"/>
          <w:szCs w:val="36"/>
        </w:rPr>
        <w:t xml:space="preserve"> </w:t>
      </w:r>
      <w:r w:rsidR="00C4272E" w:rsidRPr="00D8743E">
        <w:rPr>
          <w:sz w:val="36"/>
          <w:szCs w:val="36"/>
        </w:rPr>
        <w:t>Disability-specific sections</w:t>
      </w:r>
      <w:bookmarkEnd w:id="21"/>
    </w:p>
    <w:p w14:paraId="5BE0F9A6" w14:textId="4D5FF010" w:rsidR="003A2B3F" w:rsidRPr="003A2B3F" w:rsidRDefault="6E237869" w:rsidP="001270DB">
      <w:pPr>
        <w:pStyle w:val="Heading3"/>
        <w:numPr>
          <w:ilvl w:val="0"/>
          <w:numId w:val="17"/>
        </w:numPr>
        <w:spacing w:line="240" w:lineRule="auto"/>
      </w:pPr>
      <w:bookmarkStart w:id="22" w:name="_Toc219209846"/>
      <w:r>
        <w:t>Australian Disability Strategy [94-97]</w:t>
      </w:r>
      <w:bookmarkEnd w:id="22"/>
    </w:p>
    <w:p w14:paraId="60D62F38" w14:textId="6A8A38CA" w:rsidR="003A2B3F" w:rsidRPr="008E63AC" w:rsidRDefault="6E237869" w:rsidP="001270DB">
      <w:pPr>
        <w:spacing w:line="240" w:lineRule="auto"/>
        <w:rPr>
          <w:sz w:val="22"/>
          <w:szCs w:val="22"/>
          <w:lang w:val="en-US"/>
        </w:rPr>
      </w:pPr>
      <w:r w:rsidRPr="008E63AC">
        <w:rPr>
          <w:sz w:val="22"/>
          <w:szCs w:val="22"/>
          <w:lang w:val="en-US"/>
        </w:rPr>
        <w:t xml:space="preserve">We </w:t>
      </w:r>
      <w:r w:rsidR="00F70182">
        <w:rPr>
          <w:sz w:val="22"/>
          <w:szCs w:val="22"/>
          <w:lang w:val="en-US"/>
        </w:rPr>
        <w:t>acknowledge</w:t>
      </w:r>
      <w:r w:rsidRPr="008E63AC">
        <w:rPr>
          <w:sz w:val="22"/>
          <w:szCs w:val="22"/>
          <w:lang w:val="en-US"/>
        </w:rPr>
        <w:t xml:space="preserve"> the </w:t>
      </w:r>
      <w:r w:rsidRPr="008E63AC">
        <w:rPr>
          <w:sz w:val="22"/>
          <w:szCs w:val="22"/>
        </w:rPr>
        <w:t>Australia’s Disability Strategy</w:t>
      </w:r>
      <w:r w:rsidR="00E724FF">
        <w:rPr>
          <w:sz w:val="22"/>
          <w:szCs w:val="22"/>
        </w:rPr>
        <w:t xml:space="preserve">’s </w:t>
      </w:r>
      <w:r w:rsidRPr="008E63AC">
        <w:rPr>
          <w:sz w:val="22"/>
          <w:szCs w:val="22"/>
        </w:rPr>
        <w:t>(the Strategy</w:t>
      </w:r>
      <w:r w:rsidR="00F70182">
        <w:rPr>
          <w:sz w:val="22"/>
          <w:szCs w:val="22"/>
        </w:rPr>
        <w:t>)</w:t>
      </w:r>
      <w:r w:rsidRPr="008E63AC">
        <w:rPr>
          <w:sz w:val="22"/>
          <w:szCs w:val="22"/>
        </w:rPr>
        <w:t> </w:t>
      </w:r>
      <w:r w:rsidRPr="008E63AC">
        <w:rPr>
          <w:sz w:val="22"/>
          <w:szCs w:val="22"/>
          <w:lang w:val="en-US"/>
        </w:rPr>
        <w:t>national visibility</w:t>
      </w:r>
      <w:r w:rsidR="320B01E2" w:rsidRPr="008E63AC">
        <w:rPr>
          <w:sz w:val="22"/>
          <w:szCs w:val="22"/>
          <w:lang w:val="en-US"/>
        </w:rPr>
        <w:t xml:space="preserve"> and commitment to inclusion.</w:t>
      </w:r>
      <w:r w:rsidRPr="008E63AC">
        <w:rPr>
          <w:sz w:val="22"/>
          <w:szCs w:val="22"/>
          <w:lang w:val="en-US"/>
        </w:rPr>
        <w:t xml:space="preserve"> However, the Strategy </w:t>
      </w:r>
      <w:r w:rsidR="57DE9EF0" w:rsidRPr="008E63AC">
        <w:rPr>
          <w:sz w:val="22"/>
          <w:szCs w:val="22"/>
          <w:lang w:val="en-US"/>
        </w:rPr>
        <w:t>fails</w:t>
      </w:r>
      <w:r w:rsidR="320B01E2" w:rsidRPr="008E63AC">
        <w:rPr>
          <w:sz w:val="22"/>
          <w:szCs w:val="22"/>
          <w:lang w:val="en-US"/>
        </w:rPr>
        <w:t xml:space="preserve"> to </w:t>
      </w:r>
      <w:r w:rsidRPr="008E63AC">
        <w:rPr>
          <w:sz w:val="22"/>
          <w:szCs w:val="22"/>
          <w:lang w:val="en-US"/>
        </w:rPr>
        <w:t>consistently translat</w:t>
      </w:r>
      <w:r w:rsidR="320B01E2" w:rsidRPr="008E63AC">
        <w:rPr>
          <w:sz w:val="22"/>
          <w:szCs w:val="22"/>
          <w:lang w:val="en-US"/>
        </w:rPr>
        <w:t>e</w:t>
      </w:r>
      <w:r w:rsidRPr="008E63AC">
        <w:rPr>
          <w:sz w:val="22"/>
          <w:szCs w:val="22"/>
          <w:lang w:val="en-US"/>
        </w:rPr>
        <w:t xml:space="preserve"> into real impact for people with disability.</w:t>
      </w:r>
      <w:r w:rsidRPr="008E63AC">
        <w:rPr>
          <w:b/>
          <w:bCs/>
          <w:sz w:val="22"/>
          <w:szCs w:val="22"/>
          <w:lang w:val="en-US"/>
        </w:rPr>
        <w:t xml:space="preserve"> </w:t>
      </w:r>
      <w:r w:rsidRPr="008E63AC">
        <w:rPr>
          <w:sz w:val="22"/>
          <w:szCs w:val="22"/>
          <w:lang w:val="en-US"/>
        </w:rPr>
        <w:t xml:space="preserve">For example, </w:t>
      </w:r>
      <w:r w:rsidR="497D1C89" w:rsidRPr="008E63AC">
        <w:rPr>
          <w:sz w:val="22"/>
          <w:szCs w:val="22"/>
          <w:lang w:val="en-US"/>
        </w:rPr>
        <w:t xml:space="preserve">statistics show that </w:t>
      </w:r>
      <w:r w:rsidRPr="008E63AC">
        <w:rPr>
          <w:sz w:val="22"/>
          <w:szCs w:val="22"/>
          <w:lang w:val="en-US"/>
        </w:rPr>
        <w:t>the unemployment gap for people with disability remains unchanged and social participation has regressed.</w:t>
      </w:r>
      <w:r w:rsidR="003A2B3F" w:rsidRPr="008E63AC">
        <w:rPr>
          <w:rStyle w:val="FootnoteReference"/>
          <w:sz w:val="22"/>
          <w:szCs w:val="22"/>
          <w:lang w:val="en-US"/>
        </w:rPr>
        <w:footnoteReference w:id="5"/>
      </w:r>
      <w:r w:rsidRPr="008E63AC">
        <w:rPr>
          <w:sz w:val="22"/>
          <w:szCs w:val="22"/>
          <w:lang w:val="en-US"/>
        </w:rPr>
        <w:t xml:space="preserve"> We are also concerned that the Strategy is not aligned with the CRPD nor framed within the human rights model of disability.</w:t>
      </w:r>
      <w:r w:rsidR="003A2B3F" w:rsidRPr="008E63AC">
        <w:rPr>
          <w:rStyle w:val="FootnoteReference"/>
          <w:sz w:val="22"/>
          <w:szCs w:val="22"/>
          <w:lang w:val="en-US"/>
        </w:rPr>
        <w:footnoteReference w:id="6"/>
      </w:r>
    </w:p>
    <w:p w14:paraId="13DE4FFD" w14:textId="1CB843A1" w:rsidR="003A2B3F" w:rsidRPr="008E63AC" w:rsidRDefault="562876C9" w:rsidP="001270DB">
      <w:pPr>
        <w:spacing w:line="240" w:lineRule="auto"/>
        <w:rPr>
          <w:rStyle w:val="Strong"/>
          <w:sz w:val="22"/>
          <w:szCs w:val="22"/>
        </w:rPr>
      </w:pPr>
      <w:r w:rsidRPr="008E63AC">
        <w:rPr>
          <w:rStyle w:val="Strong"/>
          <w:sz w:val="22"/>
          <w:szCs w:val="22"/>
        </w:rPr>
        <w:t xml:space="preserve">People with disability from </w:t>
      </w:r>
      <w:r w:rsidR="1CE631A0" w:rsidRPr="008E63AC">
        <w:rPr>
          <w:rStyle w:val="Strong"/>
          <w:sz w:val="22"/>
          <w:szCs w:val="22"/>
        </w:rPr>
        <w:t>CALD</w:t>
      </w:r>
      <w:r w:rsidRPr="008E63AC">
        <w:rPr>
          <w:rStyle w:val="Strong"/>
          <w:sz w:val="22"/>
          <w:szCs w:val="22"/>
        </w:rPr>
        <w:t xml:space="preserve"> backgrounds</w:t>
      </w:r>
      <w:r w:rsidR="00C01C2F">
        <w:rPr>
          <w:rStyle w:val="Strong"/>
          <w:sz w:val="22"/>
          <w:szCs w:val="22"/>
        </w:rPr>
        <w:t xml:space="preserve"> and women with disability</w:t>
      </w:r>
    </w:p>
    <w:p w14:paraId="51E98646" w14:textId="17D54171" w:rsidR="003A2B3F" w:rsidRPr="00C32EE9" w:rsidRDefault="6E237869" w:rsidP="00C32EE9">
      <w:pPr>
        <w:spacing w:line="240" w:lineRule="auto"/>
        <w:rPr>
          <w:rFonts w:cstheme="minorHAnsi"/>
          <w:sz w:val="22"/>
          <w:szCs w:val="22"/>
        </w:rPr>
      </w:pPr>
      <w:r w:rsidRPr="008E63AC">
        <w:rPr>
          <w:sz w:val="22"/>
          <w:szCs w:val="22"/>
        </w:rPr>
        <w:t xml:space="preserve">The Strategy does not adequately address the intersectional discrimination experienced by people with disability </w:t>
      </w:r>
      <w:r w:rsidR="562876C9" w:rsidRPr="008E63AC">
        <w:rPr>
          <w:sz w:val="22"/>
          <w:szCs w:val="22"/>
        </w:rPr>
        <w:t xml:space="preserve">from </w:t>
      </w:r>
      <w:r w:rsidR="1CE631A0" w:rsidRPr="008E63AC">
        <w:rPr>
          <w:sz w:val="22"/>
          <w:szCs w:val="22"/>
        </w:rPr>
        <w:t>CALD</w:t>
      </w:r>
      <w:r w:rsidR="562876C9" w:rsidRPr="008E63AC">
        <w:rPr>
          <w:sz w:val="22"/>
          <w:szCs w:val="22"/>
        </w:rPr>
        <w:t xml:space="preserve"> backgrounds</w:t>
      </w:r>
      <w:r w:rsidRPr="008E63AC">
        <w:rPr>
          <w:sz w:val="22"/>
          <w:szCs w:val="22"/>
        </w:rPr>
        <w:t>. Without culturally-disaggregated disability data</w:t>
      </w:r>
      <w:r w:rsidR="2FE96252" w:rsidRPr="008E63AC">
        <w:rPr>
          <w:sz w:val="22"/>
          <w:szCs w:val="22"/>
        </w:rPr>
        <w:t>,</w:t>
      </w:r>
      <w:r w:rsidR="003A2B3F" w:rsidRPr="008E63AC">
        <w:rPr>
          <w:rStyle w:val="FootnoteReference"/>
          <w:sz w:val="22"/>
          <w:szCs w:val="22"/>
        </w:rPr>
        <w:footnoteReference w:id="7"/>
      </w:r>
      <w:r w:rsidRPr="008E63AC">
        <w:rPr>
          <w:sz w:val="22"/>
          <w:szCs w:val="22"/>
        </w:rPr>
        <w:t xml:space="preserve"> the Strategy cannot effectively identify or address the specific barriers facing people </w:t>
      </w:r>
      <w:r w:rsidRPr="00C32EE9">
        <w:rPr>
          <w:rFonts w:cstheme="minorHAnsi"/>
          <w:sz w:val="22"/>
          <w:szCs w:val="22"/>
        </w:rPr>
        <w:t xml:space="preserve">with disability from </w:t>
      </w:r>
      <w:r w:rsidR="1CE631A0" w:rsidRPr="00C32EE9">
        <w:rPr>
          <w:rFonts w:cstheme="minorHAnsi"/>
          <w:sz w:val="22"/>
          <w:szCs w:val="22"/>
        </w:rPr>
        <w:t>CALD</w:t>
      </w:r>
      <w:r w:rsidRPr="00C32EE9">
        <w:rPr>
          <w:rFonts w:cstheme="minorHAnsi"/>
          <w:sz w:val="22"/>
          <w:szCs w:val="22"/>
        </w:rPr>
        <w:t xml:space="preserve"> backgrounds</w:t>
      </w:r>
      <w:r w:rsidR="76B46670" w:rsidRPr="00C32EE9">
        <w:rPr>
          <w:rFonts w:cstheme="minorHAnsi"/>
          <w:sz w:val="22"/>
          <w:szCs w:val="22"/>
        </w:rPr>
        <w:t xml:space="preserve"> and develop targeted policy responses.</w:t>
      </w:r>
      <w:r w:rsidR="00B07966">
        <w:rPr>
          <w:rFonts w:cstheme="minorHAnsi"/>
          <w:sz w:val="22"/>
          <w:szCs w:val="22"/>
        </w:rPr>
        <w:t xml:space="preserve"> </w:t>
      </w:r>
      <w:r w:rsidRPr="00C32EE9">
        <w:rPr>
          <w:rFonts w:cstheme="minorHAnsi"/>
          <w:sz w:val="22"/>
          <w:szCs w:val="22"/>
        </w:rPr>
        <w:t xml:space="preserve">The Strategy is also deficient in its gender responsiveness, which limits its capacity to address inequalities affecting women and gender-diverse people with disability. </w:t>
      </w:r>
    </w:p>
    <w:p w14:paraId="48433A29" w14:textId="2BBA30AB" w:rsidR="003A2B3F" w:rsidRPr="008E63AC" w:rsidRDefault="6E237869" w:rsidP="001270DB">
      <w:pPr>
        <w:spacing w:line="240" w:lineRule="auto"/>
        <w:rPr>
          <w:sz w:val="22"/>
          <w:szCs w:val="22"/>
        </w:rPr>
      </w:pPr>
      <w:r w:rsidRPr="008E63AC">
        <w:rPr>
          <w:b/>
          <w:bCs/>
          <w:sz w:val="22"/>
          <w:szCs w:val="22"/>
        </w:rPr>
        <w:t xml:space="preserve">Recommendation 4: </w:t>
      </w:r>
      <w:r w:rsidRPr="008E63AC">
        <w:rPr>
          <w:sz w:val="22"/>
          <w:szCs w:val="22"/>
        </w:rPr>
        <w:t>That Australia strengthens Australia’s Disability Strategy 2021-2031 by</w:t>
      </w:r>
      <w:r w:rsidR="003549B3" w:rsidRPr="008E63AC">
        <w:rPr>
          <w:sz w:val="22"/>
          <w:szCs w:val="22"/>
        </w:rPr>
        <w:t xml:space="preserve"> </w:t>
      </w:r>
      <w:r w:rsidRPr="008E63AC">
        <w:rPr>
          <w:sz w:val="22"/>
          <w:szCs w:val="22"/>
        </w:rPr>
        <w:t>ensuring it is aligned to the CRPD and is framed within the human rights model of disability</w:t>
      </w:r>
      <w:r w:rsidR="57DE9EF0" w:rsidRPr="008E63AC">
        <w:rPr>
          <w:sz w:val="22"/>
          <w:szCs w:val="22"/>
        </w:rPr>
        <w:t>; and</w:t>
      </w:r>
      <w:r w:rsidR="00055AE0" w:rsidRPr="008E63AC">
        <w:rPr>
          <w:sz w:val="22"/>
          <w:szCs w:val="22"/>
        </w:rPr>
        <w:t xml:space="preserve"> </w:t>
      </w:r>
      <w:r w:rsidRPr="008E63AC">
        <w:rPr>
          <w:sz w:val="22"/>
          <w:szCs w:val="22"/>
        </w:rPr>
        <w:t xml:space="preserve">ensuring </w:t>
      </w:r>
      <w:r w:rsidR="00055AE0" w:rsidRPr="008E63AC">
        <w:rPr>
          <w:sz w:val="22"/>
          <w:szCs w:val="22"/>
        </w:rPr>
        <w:t xml:space="preserve">that </w:t>
      </w:r>
      <w:r w:rsidRPr="008E63AC">
        <w:rPr>
          <w:sz w:val="22"/>
          <w:szCs w:val="22"/>
        </w:rPr>
        <w:t xml:space="preserve">it translates into measurable improvements in outcomes for people with disability, including through the systematic collection and use of disaggregated data by disability, cultural and linguistic background, sex and gender. </w:t>
      </w:r>
    </w:p>
    <w:p w14:paraId="65E41E37" w14:textId="734FCDF9" w:rsidR="003A2B3F" w:rsidRPr="003A2B3F" w:rsidRDefault="6E237869" w:rsidP="001270DB">
      <w:pPr>
        <w:pStyle w:val="Heading3"/>
        <w:numPr>
          <w:ilvl w:val="0"/>
          <w:numId w:val="17"/>
        </w:numPr>
        <w:spacing w:line="240" w:lineRule="auto"/>
      </w:pPr>
      <w:bookmarkStart w:id="23" w:name="_Toc219209847"/>
      <w:r>
        <w:t>Disability Royal Commission [98]</w:t>
      </w:r>
      <w:bookmarkEnd w:id="23"/>
    </w:p>
    <w:p w14:paraId="7B681904" w14:textId="5D7B3FB3" w:rsidR="003A2B3F" w:rsidRPr="008E63AC" w:rsidRDefault="6E237869" w:rsidP="001270DB">
      <w:pPr>
        <w:spacing w:line="240" w:lineRule="auto"/>
        <w:rPr>
          <w:sz w:val="22"/>
          <w:szCs w:val="22"/>
          <w:lang w:val="en-US"/>
        </w:rPr>
      </w:pPr>
      <w:r w:rsidRPr="008E63AC">
        <w:rPr>
          <w:sz w:val="22"/>
          <w:szCs w:val="22"/>
          <w:lang w:val="en-US"/>
        </w:rPr>
        <w:t>Australia’s Report outlines that the Disability Royal Commission was established in 2019 as a response to community concerns about violence, neglect, abuse and exploitation of people with disability.</w:t>
      </w:r>
      <w:r w:rsidR="003A2B3F" w:rsidRPr="008E63AC">
        <w:rPr>
          <w:rStyle w:val="FootnoteReference"/>
          <w:sz w:val="22"/>
          <w:szCs w:val="22"/>
          <w:lang w:val="en-US"/>
        </w:rPr>
        <w:footnoteReference w:id="8"/>
      </w:r>
      <w:r w:rsidRPr="008E63AC">
        <w:rPr>
          <w:sz w:val="22"/>
          <w:szCs w:val="22"/>
          <w:lang w:val="en-US"/>
        </w:rPr>
        <w:t xml:space="preserve"> In 2023, the Disability Royal Commission released its final report, containing recommendations which address ma</w:t>
      </w:r>
      <w:r w:rsidR="12975314" w:rsidRPr="008E63AC">
        <w:rPr>
          <w:sz w:val="22"/>
          <w:szCs w:val="22"/>
          <w:lang w:val="en-US"/>
        </w:rPr>
        <w:t>n</w:t>
      </w:r>
      <w:r w:rsidRPr="008E63AC">
        <w:rPr>
          <w:sz w:val="22"/>
          <w:szCs w:val="22"/>
          <w:lang w:val="en-US"/>
        </w:rPr>
        <w:t>y ICESCR rights, such as the right to work, education and participation in cultural life.</w:t>
      </w:r>
      <w:r w:rsidR="003A2B3F" w:rsidRPr="008E63AC">
        <w:rPr>
          <w:rStyle w:val="FootnoteReference"/>
          <w:sz w:val="22"/>
          <w:szCs w:val="22"/>
          <w:lang w:val="en-US"/>
        </w:rPr>
        <w:footnoteReference w:id="9"/>
      </w:r>
      <w:r w:rsidRPr="008E63AC">
        <w:rPr>
          <w:sz w:val="22"/>
          <w:szCs w:val="22"/>
          <w:lang w:val="en-US"/>
        </w:rPr>
        <w:t xml:space="preserve"> </w:t>
      </w:r>
    </w:p>
    <w:p w14:paraId="58650724" w14:textId="5F9D56C6" w:rsidR="003A2B3F" w:rsidRPr="008E63AC" w:rsidRDefault="6E237869" w:rsidP="001270DB">
      <w:pPr>
        <w:spacing w:line="240" w:lineRule="auto"/>
        <w:rPr>
          <w:sz w:val="22"/>
          <w:szCs w:val="22"/>
          <w:lang w:val="en-US"/>
        </w:rPr>
      </w:pPr>
      <w:r w:rsidRPr="008E63AC">
        <w:rPr>
          <w:sz w:val="22"/>
          <w:szCs w:val="22"/>
          <w:lang w:val="en-US"/>
        </w:rPr>
        <w:lastRenderedPageBreak/>
        <w:t xml:space="preserve">In 2024, </w:t>
      </w:r>
      <w:r w:rsidR="47923EAD" w:rsidRPr="008E63AC">
        <w:rPr>
          <w:sz w:val="22"/>
          <w:szCs w:val="22"/>
          <w:lang w:val="en-US"/>
        </w:rPr>
        <w:t>t</w:t>
      </w:r>
      <w:r w:rsidRPr="008E63AC">
        <w:rPr>
          <w:sz w:val="22"/>
          <w:szCs w:val="22"/>
          <w:lang w:val="en-US"/>
        </w:rPr>
        <w:t>he Australian Government responded to the Disability Royal Commission’s report, fully accepting only 13</w:t>
      </w:r>
      <w:r w:rsidRPr="008E63AC">
        <w:rPr>
          <w:b/>
          <w:bCs/>
          <w:sz w:val="22"/>
          <w:szCs w:val="22"/>
          <w:lang w:val="en-US"/>
        </w:rPr>
        <w:t xml:space="preserve"> </w:t>
      </w:r>
      <w:r w:rsidRPr="008E63AC">
        <w:rPr>
          <w:sz w:val="22"/>
          <w:szCs w:val="22"/>
          <w:lang w:val="en-US"/>
        </w:rPr>
        <w:t>of the 172 recommendations that were within its remit.</w:t>
      </w:r>
      <w:r w:rsidR="003A2B3F" w:rsidRPr="008E63AC">
        <w:rPr>
          <w:rStyle w:val="FootnoteReference"/>
          <w:sz w:val="22"/>
          <w:szCs w:val="22"/>
          <w:lang w:val="en-US"/>
        </w:rPr>
        <w:footnoteReference w:id="10"/>
      </w:r>
      <w:r w:rsidRPr="008E63AC">
        <w:rPr>
          <w:sz w:val="22"/>
          <w:szCs w:val="22"/>
          <w:lang w:val="en-US"/>
        </w:rPr>
        <w:t xml:space="preserve"> After years of tireless advocacy, and sharing traumatic experiences publicly, many in the disability community were deeply disappointed by the Australian Government’s response.</w:t>
      </w:r>
      <w:r w:rsidR="003A2B3F" w:rsidRPr="008E63AC">
        <w:rPr>
          <w:rStyle w:val="FootnoteReference"/>
          <w:sz w:val="22"/>
          <w:szCs w:val="22"/>
          <w:lang w:val="en-US"/>
        </w:rPr>
        <w:footnoteReference w:id="11"/>
      </w:r>
      <w:r w:rsidR="3EB9EA58" w:rsidRPr="008E63AC">
        <w:rPr>
          <w:sz w:val="22"/>
          <w:szCs w:val="22"/>
          <w:lang w:val="en-US"/>
        </w:rPr>
        <w:t xml:space="preserve"> </w:t>
      </w:r>
      <w:r w:rsidR="6A09FEE2" w:rsidRPr="008E63AC">
        <w:rPr>
          <w:sz w:val="22"/>
          <w:szCs w:val="22"/>
          <w:lang w:val="en-US"/>
        </w:rPr>
        <w:t xml:space="preserve">We </w:t>
      </w:r>
      <w:r w:rsidR="3EB9EA58" w:rsidRPr="008E63AC">
        <w:rPr>
          <w:sz w:val="22"/>
          <w:szCs w:val="22"/>
          <w:lang w:val="en-US"/>
        </w:rPr>
        <w:t>are</w:t>
      </w:r>
      <w:r w:rsidR="6A09FEE2" w:rsidRPr="008E63AC">
        <w:rPr>
          <w:sz w:val="22"/>
          <w:szCs w:val="22"/>
          <w:lang w:val="en-US"/>
        </w:rPr>
        <w:t xml:space="preserve"> concern</w:t>
      </w:r>
      <w:r w:rsidR="3EB9EA58" w:rsidRPr="008E63AC">
        <w:rPr>
          <w:sz w:val="22"/>
          <w:szCs w:val="22"/>
          <w:lang w:val="en-US"/>
        </w:rPr>
        <w:t>ed about the Australian Government’s lack of progress on many recommendations, including:</w:t>
      </w:r>
    </w:p>
    <w:p w14:paraId="36CFDA2D" w14:textId="20ECCF97" w:rsidR="003A2B3F" w:rsidRPr="00DE7AB8" w:rsidRDefault="6E237869" w:rsidP="001270DB">
      <w:pPr>
        <w:pStyle w:val="Heading5"/>
        <w:spacing w:line="240" w:lineRule="auto"/>
      </w:pPr>
      <w:r>
        <w:t>Ending segregation</w:t>
      </w:r>
    </w:p>
    <w:p w14:paraId="5E58281E" w14:textId="77777777" w:rsidR="00F54927" w:rsidRPr="008E63AC" w:rsidRDefault="2543FBD5" w:rsidP="001270DB">
      <w:pPr>
        <w:spacing w:line="240" w:lineRule="auto"/>
        <w:rPr>
          <w:b/>
          <w:bCs/>
          <w:sz w:val="22"/>
          <w:szCs w:val="22"/>
        </w:rPr>
      </w:pPr>
      <w:r w:rsidRPr="008E63AC">
        <w:rPr>
          <w:sz w:val="22"/>
          <w:szCs w:val="22"/>
        </w:rPr>
        <w:t>The CRPD Committee has criticised Australia’s continued segregation of people with disability in education, work and housing.</w:t>
      </w:r>
      <w:r w:rsidR="00F54927" w:rsidRPr="008E63AC">
        <w:rPr>
          <w:rStyle w:val="FootnoteReference"/>
          <w:sz w:val="22"/>
          <w:szCs w:val="22"/>
        </w:rPr>
        <w:footnoteReference w:id="12"/>
      </w:r>
      <w:r w:rsidRPr="008E63AC">
        <w:rPr>
          <w:sz w:val="22"/>
          <w:szCs w:val="22"/>
        </w:rPr>
        <w:t xml:space="preserve"> </w:t>
      </w:r>
      <w:r w:rsidR="6E237869" w:rsidRPr="008E63AC">
        <w:rPr>
          <w:sz w:val="22"/>
          <w:szCs w:val="22"/>
        </w:rPr>
        <w:t>Segregated settings isolate individuals from community life, restrict autonomy and choice, entrench low expectations</w:t>
      </w:r>
      <w:r w:rsidR="4C0088DF" w:rsidRPr="008E63AC">
        <w:rPr>
          <w:sz w:val="22"/>
          <w:szCs w:val="22"/>
        </w:rPr>
        <w:t xml:space="preserve"> </w:t>
      </w:r>
      <w:r w:rsidR="6E237869" w:rsidRPr="008E63AC">
        <w:rPr>
          <w:sz w:val="22"/>
          <w:szCs w:val="22"/>
        </w:rPr>
        <w:t xml:space="preserve">and </w:t>
      </w:r>
      <w:r w:rsidR="4C0088DF" w:rsidRPr="008E63AC">
        <w:rPr>
          <w:sz w:val="22"/>
          <w:szCs w:val="22"/>
        </w:rPr>
        <w:t>are</w:t>
      </w:r>
      <w:r w:rsidR="6E237869" w:rsidRPr="008E63AC">
        <w:rPr>
          <w:sz w:val="22"/>
          <w:szCs w:val="22"/>
        </w:rPr>
        <w:t xml:space="preserve"> associated with heightened risks of violence, abuse, neglect and exploitation.</w:t>
      </w:r>
      <w:r w:rsidR="003A2B3F" w:rsidRPr="008E63AC">
        <w:rPr>
          <w:rStyle w:val="FootnoteReference"/>
          <w:sz w:val="22"/>
          <w:szCs w:val="22"/>
        </w:rPr>
        <w:footnoteReference w:id="13"/>
      </w:r>
      <w:r w:rsidR="6E237869" w:rsidRPr="008E63AC">
        <w:rPr>
          <w:sz w:val="22"/>
          <w:szCs w:val="22"/>
        </w:rPr>
        <w:t xml:space="preserve"> </w:t>
      </w:r>
      <w:r w:rsidR="4C0088DF" w:rsidRPr="008E63AC">
        <w:rPr>
          <w:b/>
          <w:bCs/>
          <w:sz w:val="22"/>
          <w:szCs w:val="22"/>
        </w:rPr>
        <w:t xml:space="preserve"> </w:t>
      </w:r>
    </w:p>
    <w:p w14:paraId="7E1157A8" w14:textId="2475AE24" w:rsidR="003A2B3F" w:rsidRPr="008E63AC" w:rsidRDefault="6E237869" w:rsidP="001270DB">
      <w:pPr>
        <w:spacing w:line="240" w:lineRule="auto"/>
        <w:rPr>
          <w:b/>
          <w:bCs/>
          <w:sz w:val="22"/>
          <w:szCs w:val="22"/>
        </w:rPr>
      </w:pPr>
      <w:r w:rsidRPr="008E63AC">
        <w:rPr>
          <w:sz w:val="22"/>
          <w:szCs w:val="22"/>
        </w:rPr>
        <w:t xml:space="preserve">Recognising segregation itself as a structural driver of harm, some </w:t>
      </w:r>
      <w:r w:rsidR="00720E35">
        <w:rPr>
          <w:sz w:val="22"/>
          <w:szCs w:val="22"/>
        </w:rPr>
        <w:t xml:space="preserve">Commissioners of the </w:t>
      </w:r>
      <w:r w:rsidRPr="008E63AC">
        <w:rPr>
          <w:sz w:val="22"/>
          <w:szCs w:val="22"/>
        </w:rPr>
        <w:t>Disability Royal Commission recommended phasing out segregated education (recommendations 7.14-7.15),</w:t>
      </w:r>
      <w:r w:rsidR="003A2B3F" w:rsidRPr="008E63AC">
        <w:rPr>
          <w:rStyle w:val="FootnoteReference"/>
          <w:sz w:val="22"/>
          <w:szCs w:val="22"/>
        </w:rPr>
        <w:footnoteReference w:id="14"/>
      </w:r>
      <w:r w:rsidRPr="008E63AC">
        <w:rPr>
          <w:sz w:val="22"/>
          <w:szCs w:val="22"/>
        </w:rPr>
        <w:t xml:space="preserve"> </w:t>
      </w:r>
      <w:r w:rsidRPr="008E63AC">
        <w:rPr>
          <w:color w:val="000000" w:themeColor="text1"/>
          <w:sz w:val="22"/>
          <w:szCs w:val="22"/>
        </w:rPr>
        <w:t>ending subminimum wages and segregated</w:t>
      </w:r>
      <w:r w:rsidRPr="00441326">
        <w:rPr>
          <w:color w:val="000000" w:themeColor="text1"/>
        </w:rPr>
        <w:t xml:space="preserve"> employment </w:t>
      </w:r>
      <w:r w:rsidRPr="008E63AC">
        <w:rPr>
          <w:color w:val="000000" w:themeColor="text1"/>
          <w:sz w:val="22"/>
          <w:szCs w:val="22"/>
        </w:rPr>
        <w:t>(recommendations 7.31-7.32)</w:t>
      </w:r>
      <w:r w:rsidR="23E1FAB9" w:rsidRPr="008E63AC">
        <w:rPr>
          <w:color w:val="000000" w:themeColor="text1"/>
          <w:sz w:val="22"/>
          <w:szCs w:val="22"/>
        </w:rPr>
        <w:t xml:space="preserve"> and</w:t>
      </w:r>
      <w:r w:rsidRPr="008E63AC">
        <w:rPr>
          <w:color w:val="000000" w:themeColor="text1"/>
          <w:sz w:val="22"/>
          <w:szCs w:val="22"/>
        </w:rPr>
        <w:t xml:space="preserve"> the </w:t>
      </w:r>
      <w:r w:rsidRPr="008E63AC">
        <w:rPr>
          <w:sz w:val="22"/>
          <w:szCs w:val="22"/>
        </w:rPr>
        <w:t xml:space="preserve">phasing out of group homes (recommendation 7.43). </w:t>
      </w:r>
    </w:p>
    <w:p w14:paraId="7A5CC130" w14:textId="3288E40E" w:rsidR="003A2B3F" w:rsidRPr="008E63AC" w:rsidRDefault="6E237869" w:rsidP="001270DB">
      <w:pPr>
        <w:spacing w:line="240" w:lineRule="auto"/>
        <w:rPr>
          <w:sz w:val="22"/>
          <w:szCs w:val="22"/>
        </w:rPr>
      </w:pPr>
      <w:r w:rsidRPr="008E63AC">
        <w:rPr>
          <w:sz w:val="22"/>
          <w:szCs w:val="22"/>
        </w:rPr>
        <w:t xml:space="preserve">Unfortunately, the Australian Government </w:t>
      </w:r>
      <w:r w:rsidR="5CB8074C" w:rsidRPr="008E63AC">
        <w:rPr>
          <w:sz w:val="22"/>
          <w:szCs w:val="22"/>
        </w:rPr>
        <w:t>no</w:t>
      </w:r>
      <w:r w:rsidRPr="008E63AC">
        <w:rPr>
          <w:sz w:val="22"/>
          <w:szCs w:val="22"/>
        </w:rPr>
        <w:t>ted recommendations 7.14-7.15 to phase out segregated education.</w:t>
      </w:r>
      <w:r w:rsidR="003A2B3F" w:rsidRPr="008E63AC">
        <w:rPr>
          <w:rStyle w:val="FootnoteReference"/>
          <w:sz w:val="22"/>
          <w:szCs w:val="22"/>
        </w:rPr>
        <w:footnoteReference w:id="15"/>
      </w:r>
      <w:r w:rsidRPr="008E63AC">
        <w:rPr>
          <w:sz w:val="22"/>
          <w:szCs w:val="22"/>
        </w:rPr>
        <w:t xml:space="preserve"> In its</w:t>
      </w:r>
      <w:r w:rsidR="0F714242" w:rsidRPr="008E63AC">
        <w:rPr>
          <w:sz w:val="22"/>
          <w:szCs w:val="22"/>
        </w:rPr>
        <w:t xml:space="preserve"> December 2025</w:t>
      </w:r>
      <w:r w:rsidRPr="008E63AC">
        <w:rPr>
          <w:sz w:val="22"/>
          <w:szCs w:val="22"/>
        </w:rPr>
        <w:t xml:space="preserve"> Disability Royal Commission Progress Update, recommendations 7.31-7.32 to end subminimum wages and segregated employment remain ‘subject to further consideration’, although we acknowledge that the Government commenced consultations on the way forward for supported and open employment in 2025.</w:t>
      </w:r>
      <w:r w:rsidR="003A2B3F" w:rsidRPr="008E63AC">
        <w:rPr>
          <w:rStyle w:val="FootnoteReference"/>
          <w:sz w:val="22"/>
          <w:szCs w:val="22"/>
        </w:rPr>
        <w:footnoteReference w:id="16"/>
      </w:r>
      <w:r w:rsidRPr="008E63AC">
        <w:rPr>
          <w:sz w:val="22"/>
          <w:szCs w:val="22"/>
        </w:rPr>
        <w:t xml:space="preserve"> Recommendation 7.43 to phase out group homes within 15 years remains ‘subject to further consideration’, with a note that Governments have not yet commenced working together on the recommendation, but that ‘all governments remain committed to considering this recommendation further’.</w:t>
      </w:r>
      <w:r w:rsidR="003A2B3F" w:rsidRPr="008E63AC">
        <w:rPr>
          <w:rStyle w:val="FootnoteReference"/>
          <w:sz w:val="22"/>
          <w:szCs w:val="22"/>
        </w:rPr>
        <w:footnoteReference w:id="17"/>
      </w:r>
      <w:r w:rsidRPr="008E63AC">
        <w:rPr>
          <w:sz w:val="22"/>
          <w:szCs w:val="22"/>
        </w:rPr>
        <w:t xml:space="preserve"> </w:t>
      </w:r>
    </w:p>
    <w:p w14:paraId="32079A27" w14:textId="4B37B3A2" w:rsidR="003A2B3F" w:rsidRPr="008E63AC" w:rsidRDefault="6E237869" w:rsidP="001270DB">
      <w:pPr>
        <w:spacing w:line="240" w:lineRule="auto"/>
        <w:rPr>
          <w:sz w:val="22"/>
          <w:szCs w:val="22"/>
        </w:rPr>
      </w:pPr>
      <w:r w:rsidRPr="008E63AC">
        <w:rPr>
          <w:b/>
          <w:bCs/>
          <w:sz w:val="22"/>
          <w:szCs w:val="22"/>
        </w:rPr>
        <w:t xml:space="preserve">Recommendation 5: </w:t>
      </w:r>
      <w:r w:rsidRPr="008E63AC">
        <w:rPr>
          <w:sz w:val="22"/>
          <w:szCs w:val="22"/>
        </w:rPr>
        <w:t xml:space="preserve">That Australia fully accepts and provides a timebound, transparent </w:t>
      </w:r>
      <w:r w:rsidR="6185DDA0" w:rsidRPr="008E63AC">
        <w:rPr>
          <w:sz w:val="22"/>
          <w:szCs w:val="22"/>
        </w:rPr>
        <w:t xml:space="preserve">and co-designed </w:t>
      </w:r>
      <w:r w:rsidRPr="008E63AC">
        <w:rPr>
          <w:sz w:val="22"/>
          <w:szCs w:val="22"/>
        </w:rPr>
        <w:t xml:space="preserve">plan to implement Disability Royal Commission recommendations 7.14-7.15 (ending segregated education), recommendations 7.31-7.32 (ending subminimum wages and segregated employment) and recommendation 7.43 (phasing out group homes). </w:t>
      </w:r>
    </w:p>
    <w:p w14:paraId="015DF8DE" w14:textId="501BFE21" w:rsidR="003A2B3F" w:rsidRDefault="6185DDA0" w:rsidP="001270DB">
      <w:pPr>
        <w:pStyle w:val="Heading5"/>
        <w:spacing w:line="240" w:lineRule="auto"/>
        <w:rPr>
          <w:lang w:val="en-US"/>
        </w:rPr>
      </w:pPr>
      <w:r w:rsidRPr="7CD4A099">
        <w:rPr>
          <w:lang w:val="en-US"/>
        </w:rPr>
        <w:t>Disability discrimination</w:t>
      </w:r>
    </w:p>
    <w:p w14:paraId="1175FAEC" w14:textId="27E8EEBF" w:rsidR="003A2B3F" w:rsidRPr="008E63AC" w:rsidRDefault="009C5744" w:rsidP="001270DB">
      <w:pPr>
        <w:spacing w:line="240" w:lineRule="auto"/>
        <w:rPr>
          <w:sz w:val="22"/>
          <w:szCs w:val="22"/>
          <w:lang w:val="en-US"/>
        </w:rPr>
      </w:pPr>
      <w:r>
        <w:rPr>
          <w:sz w:val="22"/>
          <w:szCs w:val="22"/>
          <w:lang w:val="en-US"/>
        </w:rPr>
        <w:t>The</w:t>
      </w:r>
      <w:r w:rsidR="6E237869" w:rsidRPr="008E63AC">
        <w:rPr>
          <w:sz w:val="22"/>
          <w:szCs w:val="22"/>
          <w:lang w:val="en-US"/>
        </w:rPr>
        <w:t xml:space="preserve"> Australian Government’s review of the </w:t>
      </w:r>
      <w:r w:rsidR="6E237869" w:rsidRPr="00BE4489">
        <w:rPr>
          <w:i/>
          <w:iCs/>
          <w:sz w:val="22"/>
          <w:szCs w:val="22"/>
          <w:lang w:val="en-US"/>
        </w:rPr>
        <w:t xml:space="preserve">Disability Discrimination Act 1992 </w:t>
      </w:r>
      <w:r w:rsidR="6E237869" w:rsidRPr="008E63AC">
        <w:rPr>
          <w:sz w:val="22"/>
          <w:szCs w:val="22"/>
          <w:lang w:val="en-US"/>
        </w:rPr>
        <w:t>(</w:t>
      </w:r>
      <w:proofErr w:type="spellStart"/>
      <w:r w:rsidR="6E237869" w:rsidRPr="008E63AC">
        <w:rPr>
          <w:sz w:val="22"/>
          <w:szCs w:val="22"/>
          <w:lang w:val="en-US"/>
        </w:rPr>
        <w:t>Cth</w:t>
      </w:r>
      <w:proofErr w:type="spellEnd"/>
      <w:r w:rsidR="6E237869" w:rsidRPr="008E63AC">
        <w:rPr>
          <w:sz w:val="22"/>
          <w:szCs w:val="22"/>
          <w:lang w:val="en-US"/>
        </w:rPr>
        <w:t xml:space="preserve">) commenced </w:t>
      </w:r>
      <w:r w:rsidR="7A82D13D" w:rsidRPr="008E63AC">
        <w:rPr>
          <w:sz w:val="22"/>
          <w:szCs w:val="22"/>
          <w:lang w:val="en-US"/>
        </w:rPr>
        <w:t>i</w:t>
      </w:r>
      <w:r w:rsidR="6E237869" w:rsidRPr="008E63AC">
        <w:rPr>
          <w:sz w:val="22"/>
          <w:szCs w:val="22"/>
          <w:lang w:val="en-US"/>
        </w:rPr>
        <w:t>n 2025.</w:t>
      </w:r>
      <w:r w:rsidR="003A2B3F" w:rsidRPr="008E63AC">
        <w:rPr>
          <w:rStyle w:val="FootnoteReference"/>
          <w:sz w:val="22"/>
          <w:szCs w:val="22"/>
          <w:lang w:val="en-US"/>
        </w:rPr>
        <w:footnoteReference w:id="18"/>
      </w:r>
      <w:r w:rsidR="6E237869" w:rsidRPr="008E63AC">
        <w:rPr>
          <w:sz w:val="22"/>
          <w:szCs w:val="22"/>
          <w:lang w:val="en-US"/>
        </w:rPr>
        <w:t xml:space="preserve"> However, we are concerned about the lack of clear timeframes for </w:t>
      </w:r>
      <w:r w:rsidR="6E237869" w:rsidRPr="008E63AC">
        <w:rPr>
          <w:sz w:val="22"/>
          <w:szCs w:val="22"/>
          <w:lang w:val="en-US"/>
        </w:rPr>
        <w:lastRenderedPageBreak/>
        <w:t xml:space="preserve">the </w:t>
      </w:r>
      <w:r w:rsidR="7A82D13D" w:rsidRPr="008E63AC">
        <w:rPr>
          <w:sz w:val="22"/>
          <w:szCs w:val="22"/>
          <w:lang w:val="en-US"/>
        </w:rPr>
        <w:t xml:space="preserve">review’s </w:t>
      </w:r>
      <w:proofErr w:type="spellStart"/>
      <w:r w:rsidR="6E237869" w:rsidRPr="008E63AC">
        <w:rPr>
          <w:sz w:val="22"/>
          <w:szCs w:val="22"/>
          <w:lang w:val="en-US"/>
        </w:rPr>
        <w:t>finalisation</w:t>
      </w:r>
      <w:proofErr w:type="spellEnd"/>
      <w:r w:rsidR="6E237869" w:rsidRPr="008E63AC">
        <w:rPr>
          <w:sz w:val="22"/>
          <w:szCs w:val="22"/>
          <w:lang w:val="en-US"/>
        </w:rPr>
        <w:t xml:space="preserve"> and </w:t>
      </w:r>
      <w:r w:rsidR="7A82D13D" w:rsidRPr="008E63AC">
        <w:rPr>
          <w:sz w:val="22"/>
          <w:szCs w:val="22"/>
          <w:lang w:val="en-US"/>
        </w:rPr>
        <w:t xml:space="preserve">subsequent </w:t>
      </w:r>
      <w:r w:rsidR="6E237869" w:rsidRPr="008E63AC">
        <w:rPr>
          <w:sz w:val="22"/>
          <w:szCs w:val="22"/>
          <w:lang w:val="en-US"/>
        </w:rPr>
        <w:t xml:space="preserve">development of legislation. Urgent reform is needed, as the current legislation relies heavily on burdensome individual complaints processes and is </w:t>
      </w:r>
      <w:r w:rsidR="7A82D13D" w:rsidRPr="008E63AC">
        <w:rPr>
          <w:sz w:val="22"/>
          <w:szCs w:val="22"/>
          <w:lang w:val="en-US"/>
        </w:rPr>
        <w:t>compromised by broad exceptions for duty-holders</w:t>
      </w:r>
      <w:r w:rsidR="6E237869" w:rsidRPr="008E63AC">
        <w:rPr>
          <w:sz w:val="22"/>
          <w:szCs w:val="22"/>
          <w:lang w:val="en-US"/>
        </w:rPr>
        <w:t>.</w:t>
      </w:r>
      <w:r w:rsidR="003A2B3F" w:rsidRPr="008E63AC">
        <w:rPr>
          <w:rStyle w:val="FootnoteReference"/>
          <w:sz w:val="22"/>
          <w:szCs w:val="22"/>
          <w:lang w:val="en-US"/>
        </w:rPr>
        <w:footnoteReference w:id="19"/>
      </w:r>
    </w:p>
    <w:p w14:paraId="7627E1DC" w14:textId="2521DF66" w:rsidR="003A2B3F" w:rsidRPr="008E63AC" w:rsidRDefault="6E237869" w:rsidP="001270DB">
      <w:pPr>
        <w:spacing w:line="240" w:lineRule="auto"/>
        <w:rPr>
          <w:sz w:val="22"/>
          <w:szCs w:val="22"/>
          <w:lang w:val="en-US"/>
        </w:rPr>
      </w:pPr>
      <w:r w:rsidRPr="008E63AC">
        <w:rPr>
          <w:b/>
          <w:bCs/>
          <w:sz w:val="22"/>
          <w:szCs w:val="22"/>
          <w:lang w:val="en-US"/>
        </w:rPr>
        <w:t xml:space="preserve">Recommendation 6: </w:t>
      </w:r>
      <w:r w:rsidRPr="008E63AC">
        <w:rPr>
          <w:sz w:val="22"/>
          <w:szCs w:val="22"/>
          <w:lang w:val="en-US"/>
        </w:rPr>
        <w:t xml:space="preserve">That the Australian Government provides a transparent timeframe for the </w:t>
      </w:r>
      <w:proofErr w:type="spellStart"/>
      <w:r w:rsidRPr="008E63AC">
        <w:rPr>
          <w:sz w:val="22"/>
          <w:szCs w:val="22"/>
          <w:lang w:val="en-US"/>
        </w:rPr>
        <w:t>finalisation</w:t>
      </w:r>
      <w:proofErr w:type="spellEnd"/>
      <w:r w:rsidRPr="008E63AC">
        <w:rPr>
          <w:sz w:val="22"/>
          <w:szCs w:val="22"/>
          <w:lang w:val="en-US"/>
        </w:rPr>
        <w:t xml:space="preserve"> of the </w:t>
      </w:r>
      <w:r w:rsidRPr="00BE4489">
        <w:rPr>
          <w:i/>
          <w:iCs/>
          <w:sz w:val="22"/>
          <w:szCs w:val="22"/>
          <w:lang w:val="en-US"/>
        </w:rPr>
        <w:t>Disability Discrimination Act 1992</w:t>
      </w:r>
      <w:r w:rsidRPr="008E63AC">
        <w:rPr>
          <w:sz w:val="22"/>
          <w:szCs w:val="22"/>
          <w:lang w:val="en-US"/>
        </w:rPr>
        <w:t xml:space="preserve"> (</w:t>
      </w:r>
      <w:proofErr w:type="spellStart"/>
      <w:r w:rsidRPr="008E63AC">
        <w:rPr>
          <w:sz w:val="22"/>
          <w:szCs w:val="22"/>
          <w:lang w:val="en-US"/>
        </w:rPr>
        <w:t>Cth</w:t>
      </w:r>
      <w:proofErr w:type="spellEnd"/>
      <w:r w:rsidRPr="008E63AC">
        <w:rPr>
          <w:sz w:val="22"/>
          <w:szCs w:val="22"/>
          <w:lang w:val="en-US"/>
        </w:rPr>
        <w:t>) Review and development of legislation.</w:t>
      </w:r>
      <w:r w:rsidR="6185DDA0" w:rsidRPr="008E63AC">
        <w:rPr>
          <w:sz w:val="22"/>
          <w:szCs w:val="22"/>
          <w:lang w:val="en-US"/>
        </w:rPr>
        <w:t xml:space="preserve"> </w:t>
      </w:r>
      <w:r w:rsidRPr="008E63AC">
        <w:rPr>
          <w:sz w:val="22"/>
          <w:szCs w:val="22"/>
          <w:lang w:val="en-US"/>
        </w:rPr>
        <w:t xml:space="preserve">The legislation must be developed in co-design with people with disability </w:t>
      </w:r>
      <w:r w:rsidR="00CA0489">
        <w:rPr>
          <w:sz w:val="22"/>
          <w:szCs w:val="22"/>
          <w:lang w:val="en-US"/>
        </w:rPr>
        <w:t xml:space="preserve">and </w:t>
      </w:r>
      <w:r w:rsidRPr="008E63AC">
        <w:rPr>
          <w:sz w:val="22"/>
          <w:szCs w:val="22"/>
          <w:lang w:val="en-US"/>
        </w:rPr>
        <w:t xml:space="preserve">our representative </w:t>
      </w:r>
      <w:proofErr w:type="spellStart"/>
      <w:r w:rsidRPr="008E63AC">
        <w:rPr>
          <w:sz w:val="22"/>
          <w:szCs w:val="22"/>
          <w:lang w:val="en-US"/>
        </w:rPr>
        <w:t>organisations</w:t>
      </w:r>
      <w:proofErr w:type="spellEnd"/>
      <w:r w:rsidRPr="008E63AC">
        <w:rPr>
          <w:sz w:val="22"/>
          <w:szCs w:val="22"/>
          <w:lang w:val="en-US"/>
        </w:rPr>
        <w:t xml:space="preserve">. </w:t>
      </w:r>
    </w:p>
    <w:p w14:paraId="3E45C8F2" w14:textId="3BB8E1F1" w:rsidR="001A26BF" w:rsidRPr="00720E1D" w:rsidRDefault="401F369A" w:rsidP="001270DB">
      <w:pPr>
        <w:pStyle w:val="Heading5"/>
        <w:spacing w:line="240" w:lineRule="auto"/>
      </w:pPr>
      <w:r>
        <w:t>Violence against people with disability</w:t>
      </w:r>
    </w:p>
    <w:p w14:paraId="2D20260C" w14:textId="18671833" w:rsidR="00074358" w:rsidRPr="008E63AC" w:rsidRDefault="002A5754" w:rsidP="001270DB">
      <w:pPr>
        <w:spacing w:line="240" w:lineRule="auto"/>
        <w:rPr>
          <w:sz w:val="22"/>
          <w:szCs w:val="22"/>
        </w:rPr>
      </w:pPr>
      <w:r>
        <w:rPr>
          <w:sz w:val="22"/>
          <w:szCs w:val="22"/>
        </w:rPr>
        <w:t>The</w:t>
      </w:r>
      <w:r w:rsidR="699EDDA9" w:rsidRPr="008E63AC">
        <w:rPr>
          <w:sz w:val="22"/>
          <w:szCs w:val="22"/>
        </w:rPr>
        <w:t xml:space="preserve"> Australian Government’s </w:t>
      </w:r>
      <w:r>
        <w:rPr>
          <w:sz w:val="22"/>
          <w:szCs w:val="22"/>
        </w:rPr>
        <w:t>has recently commenced work to</w:t>
      </w:r>
      <w:r w:rsidR="466EF48A" w:rsidRPr="008E63AC">
        <w:rPr>
          <w:sz w:val="22"/>
          <w:szCs w:val="22"/>
        </w:rPr>
        <w:t xml:space="preserve"> develop a Disability Support Quality and Safeguarding Framework (the Framework) and Disability Support Ecosystem Safeguarding Strategy (the Strategy) to prevent and address violence, abuse and neglect against people with disability.</w:t>
      </w:r>
      <w:r w:rsidR="00C90C03" w:rsidRPr="008E63AC">
        <w:rPr>
          <w:rStyle w:val="FootnoteReference"/>
          <w:sz w:val="22"/>
          <w:szCs w:val="22"/>
        </w:rPr>
        <w:footnoteReference w:id="20"/>
      </w:r>
      <w:r w:rsidR="466EF48A" w:rsidRPr="008E63AC">
        <w:rPr>
          <w:sz w:val="22"/>
          <w:szCs w:val="22"/>
        </w:rPr>
        <w:t xml:space="preserve"> </w:t>
      </w:r>
      <w:r w:rsidR="65423231" w:rsidRPr="008E63AC">
        <w:rPr>
          <w:sz w:val="22"/>
          <w:szCs w:val="22"/>
        </w:rPr>
        <w:t xml:space="preserve"> </w:t>
      </w:r>
    </w:p>
    <w:p w14:paraId="20CFCDDD" w14:textId="63726982" w:rsidR="00045940" w:rsidRPr="008E63AC" w:rsidRDefault="7EB5F536" w:rsidP="001270DB">
      <w:pPr>
        <w:spacing w:line="240" w:lineRule="auto"/>
        <w:rPr>
          <w:sz w:val="22"/>
          <w:szCs w:val="22"/>
        </w:rPr>
      </w:pPr>
      <w:r w:rsidRPr="008E63AC">
        <w:rPr>
          <w:b/>
          <w:bCs/>
          <w:sz w:val="22"/>
          <w:szCs w:val="22"/>
        </w:rPr>
        <w:t>Recommendation</w:t>
      </w:r>
      <w:r w:rsidR="00FF3FB5">
        <w:rPr>
          <w:b/>
          <w:bCs/>
          <w:sz w:val="22"/>
          <w:szCs w:val="22"/>
        </w:rPr>
        <w:t xml:space="preserve"> 7: </w:t>
      </w:r>
      <w:r w:rsidR="65423231" w:rsidRPr="008E63AC">
        <w:rPr>
          <w:sz w:val="22"/>
          <w:szCs w:val="22"/>
        </w:rPr>
        <w:t xml:space="preserve">The Framework and Strategy </w:t>
      </w:r>
      <w:r w:rsidR="466EF48A" w:rsidRPr="008E63AC">
        <w:rPr>
          <w:sz w:val="22"/>
          <w:szCs w:val="22"/>
        </w:rPr>
        <w:t xml:space="preserve">must </w:t>
      </w:r>
      <w:r w:rsidRPr="008E63AC">
        <w:rPr>
          <w:sz w:val="22"/>
          <w:szCs w:val="22"/>
        </w:rPr>
        <w:t xml:space="preserve">be co-designed with people with disability, </w:t>
      </w:r>
      <w:r w:rsidR="466EF48A" w:rsidRPr="008E63AC">
        <w:rPr>
          <w:sz w:val="22"/>
          <w:szCs w:val="22"/>
        </w:rPr>
        <w:t xml:space="preserve">embed a human rights approach to safeguarding and </w:t>
      </w:r>
      <w:r w:rsidRPr="008E63AC">
        <w:rPr>
          <w:sz w:val="22"/>
          <w:szCs w:val="22"/>
        </w:rPr>
        <w:t>expressly</w:t>
      </w:r>
      <w:r w:rsidR="466EF48A" w:rsidRPr="008E63AC">
        <w:rPr>
          <w:sz w:val="22"/>
          <w:szCs w:val="22"/>
        </w:rPr>
        <w:t xml:space="preserve"> reference the </w:t>
      </w:r>
      <w:r w:rsidR="65423231" w:rsidRPr="008E63AC">
        <w:rPr>
          <w:sz w:val="22"/>
          <w:szCs w:val="22"/>
        </w:rPr>
        <w:t>CRPD</w:t>
      </w:r>
      <w:r w:rsidR="466EF48A" w:rsidRPr="008E63AC">
        <w:rPr>
          <w:sz w:val="22"/>
          <w:szCs w:val="22"/>
        </w:rPr>
        <w:t xml:space="preserve"> and Australia’s other core human rights treaties.</w:t>
      </w:r>
    </w:p>
    <w:p w14:paraId="7A0AC9BB" w14:textId="74BE24C2" w:rsidR="007D29AD" w:rsidRPr="008E63AC" w:rsidRDefault="2779D713" w:rsidP="001270DB">
      <w:pPr>
        <w:spacing w:line="240" w:lineRule="auto"/>
        <w:rPr>
          <w:b/>
          <w:bCs/>
          <w:sz w:val="22"/>
          <w:szCs w:val="22"/>
        </w:rPr>
      </w:pPr>
      <w:r w:rsidRPr="008E63AC">
        <w:rPr>
          <w:rStyle w:val="Strong"/>
          <w:sz w:val="22"/>
          <w:szCs w:val="22"/>
        </w:rPr>
        <w:t>People with disability from CALD backgrounds</w:t>
      </w:r>
    </w:p>
    <w:p w14:paraId="163AC47B" w14:textId="302F0828" w:rsidR="001A26BF" w:rsidRPr="008E63AC" w:rsidRDefault="602DABDE" w:rsidP="001270DB">
      <w:pPr>
        <w:spacing w:line="240" w:lineRule="auto"/>
        <w:rPr>
          <w:sz w:val="22"/>
          <w:szCs w:val="22"/>
        </w:rPr>
      </w:pPr>
      <w:r w:rsidRPr="008E63AC">
        <w:rPr>
          <w:sz w:val="22"/>
          <w:szCs w:val="22"/>
        </w:rPr>
        <w:t>The Disability Royal Commission found</w:t>
      </w:r>
      <w:r w:rsidR="401F369A" w:rsidRPr="008E63AC">
        <w:rPr>
          <w:sz w:val="22"/>
          <w:szCs w:val="22"/>
        </w:rPr>
        <w:t xml:space="preserve"> that people with disability from </w:t>
      </w:r>
      <w:r w:rsidR="1CE631A0" w:rsidRPr="008E63AC">
        <w:rPr>
          <w:sz w:val="22"/>
          <w:szCs w:val="22"/>
        </w:rPr>
        <w:t>CALD</w:t>
      </w:r>
      <w:r w:rsidR="401F369A" w:rsidRPr="008E63AC">
        <w:rPr>
          <w:sz w:val="22"/>
          <w:szCs w:val="22"/>
        </w:rPr>
        <w:t xml:space="preserve"> backgrounds are at higher risk of experiencing violence and abuse when compared to the general population of people with disability,</w:t>
      </w:r>
      <w:r w:rsidR="00D12E8F">
        <w:rPr>
          <w:sz w:val="22"/>
          <w:szCs w:val="22"/>
        </w:rPr>
        <w:t xml:space="preserve"> </w:t>
      </w:r>
      <w:r w:rsidR="401F369A" w:rsidRPr="008E63AC">
        <w:rPr>
          <w:sz w:val="22"/>
          <w:szCs w:val="22"/>
        </w:rPr>
        <w:t>and are also less likely to have access to support.</w:t>
      </w:r>
      <w:r w:rsidR="001A26BF" w:rsidRPr="008E63AC">
        <w:rPr>
          <w:rStyle w:val="FootnoteReference"/>
          <w:sz w:val="22"/>
          <w:szCs w:val="22"/>
        </w:rPr>
        <w:footnoteReference w:id="21"/>
      </w:r>
      <w:r w:rsidR="401F369A" w:rsidRPr="008E63AC">
        <w:rPr>
          <w:sz w:val="22"/>
          <w:szCs w:val="22"/>
        </w:rPr>
        <w:t xml:space="preserve"> </w:t>
      </w:r>
    </w:p>
    <w:p w14:paraId="679070FB" w14:textId="2B696E1F" w:rsidR="001A26BF" w:rsidRPr="008E63AC" w:rsidRDefault="401F369A" w:rsidP="001270DB">
      <w:pPr>
        <w:spacing w:line="240" w:lineRule="auto"/>
        <w:rPr>
          <w:sz w:val="22"/>
          <w:szCs w:val="22"/>
        </w:rPr>
      </w:pPr>
      <w:r w:rsidRPr="008E63AC">
        <w:rPr>
          <w:sz w:val="22"/>
          <w:szCs w:val="22"/>
        </w:rPr>
        <w:t xml:space="preserve">We are concerned that the Australian Government's response to the Royal Commission (July 2024) does not include specific measures to address the heightened vulnerability of people with disability from </w:t>
      </w:r>
      <w:r w:rsidR="1CE631A0" w:rsidRPr="008E63AC">
        <w:rPr>
          <w:sz w:val="22"/>
          <w:szCs w:val="22"/>
        </w:rPr>
        <w:t>CALD</w:t>
      </w:r>
      <w:r w:rsidRPr="008E63AC">
        <w:rPr>
          <w:sz w:val="22"/>
          <w:szCs w:val="22"/>
        </w:rPr>
        <w:t xml:space="preserve"> backgrounds.</w:t>
      </w:r>
    </w:p>
    <w:p w14:paraId="212A938F" w14:textId="288BAFE8" w:rsidR="00575916" w:rsidRPr="008E63AC" w:rsidRDefault="401F369A" w:rsidP="001270DB">
      <w:pPr>
        <w:spacing w:line="240" w:lineRule="auto"/>
        <w:rPr>
          <w:sz w:val="22"/>
          <w:szCs w:val="22"/>
        </w:rPr>
      </w:pPr>
      <w:r w:rsidRPr="008E63AC">
        <w:rPr>
          <w:b/>
          <w:bCs/>
          <w:sz w:val="22"/>
          <w:szCs w:val="22"/>
        </w:rPr>
        <w:t xml:space="preserve">Recommendation </w:t>
      </w:r>
      <w:r w:rsidR="00FF3FB5">
        <w:rPr>
          <w:b/>
          <w:bCs/>
          <w:sz w:val="22"/>
          <w:szCs w:val="22"/>
        </w:rPr>
        <w:t>8</w:t>
      </w:r>
      <w:r w:rsidRPr="008E63AC">
        <w:rPr>
          <w:b/>
          <w:bCs/>
          <w:sz w:val="22"/>
          <w:szCs w:val="22"/>
        </w:rPr>
        <w:t xml:space="preserve">: </w:t>
      </w:r>
      <w:r w:rsidRPr="008E63AC">
        <w:rPr>
          <w:sz w:val="22"/>
          <w:szCs w:val="22"/>
        </w:rPr>
        <w:t>That the Australian Government</w:t>
      </w:r>
      <w:r w:rsidR="226A7236" w:rsidRPr="008E63AC">
        <w:rPr>
          <w:sz w:val="22"/>
          <w:szCs w:val="22"/>
        </w:rPr>
        <w:t xml:space="preserve"> e</w:t>
      </w:r>
      <w:r w:rsidRPr="008E63AC">
        <w:rPr>
          <w:sz w:val="22"/>
          <w:szCs w:val="22"/>
        </w:rPr>
        <w:t>nsures that national safeguarding frameworks are accessible in community languages and delivered through culturally competent services</w:t>
      </w:r>
      <w:r w:rsidR="226A7236" w:rsidRPr="008E63AC">
        <w:rPr>
          <w:sz w:val="22"/>
          <w:szCs w:val="22"/>
        </w:rPr>
        <w:t>;</w:t>
      </w:r>
      <w:r w:rsidR="6FBB27FF" w:rsidRPr="008E63AC">
        <w:rPr>
          <w:sz w:val="22"/>
          <w:szCs w:val="22"/>
        </w:rPr>
        <w:t xml:space="preserve"> and</w:t>
      </w:r>
      <w:r w:rsidR="226A7236" w:rsidRPr="008E63AC">
        <w:rPr>
          <w:sz w:val="22"/>
          <w:szCs w:val="22"/>
        </w:rPr>
        <w:t xml:space="preserve"> e</w:t>
      </w:r>
      <w:r w:rsidRPr="008E63AC">
        <w:rPr>
          <w:sz w:val="22"/>
          <w:szCs w:val="22"/>
        </w:rPr>
        <w:t>nsures that violence prevention and response systems address intersectional discrimination through culturally-informed, trauma</w:t>
      </w:r>
      <w:r w:rsidR="7007187C" w:rsidRPr="008E63AC">
        <w:rPr>
          <w:sz w:val="22"/>
          <w:szCs w:val="22"/>
        </w:rPr>
        <w:t xml:space="preserve">-responsive </w:t>
      </w:r>
      <w:r w:rsidRPr="008E63AC">
        <w:rPr>
          <w:sz w:val="22"/>
          <w:szCs w:val="22"/>
        </w:rPr>
        <w:t>approaches</w:t>
      </w:r>
      <w:r w:rsidR="7D234DD1" w:rsidRPr="008E63AC">
        <w:rPr>
          <w:sz w:val="22"/>
          <w:szCs w:val="22"/>
        </w:rPr>
        <w:t>.</w:t>
      </w:r>
    </w:p>
    <w:p w14:paraId="75217C78" w14:textId="0C63D83D" w:rsidR="001A26BF" w:rsidRPr="000461C6" w:rsidRDefault="401F369A" w:rsidP="001270DB">
      <w:pPr>
        <w:pStyle w:val="Heading3"/>
        <w:numPr>
          <w:ilvl w:val="0"/>
          <w:numId w:val="17"/>
        </w:numPr>
        <w:spacing w:line="240" w:lineRule="auto"/>
      </w:pPr>
      <w:bookmarkStart w:id="24" w:name="_Toc219209848"/>
      <w:r>
        <w:t>N</w:t>
      </w:r>
      <w:r w:rsidR="2B661C72">
        <w:t xml:space="preserve">ational Disability Insurance Scheme (NDIS) </w:t>
      </w:r>
      <w:r>
        <w:t>[99-108]</w:t>
      </w:r>
      <w:bookmarkEnd w:id="24"/>
    </w:p>
    <w:p w14:paraId="20B0F1D8" w14:textId="0332565F" w:rsidR="001A26BF" w:rsidRPr="008E63AC" w:rsidRDefault="401F369A" w:rsidP="001270DB">
      <w:pPr>
        <w:spacing w:line="240" w:lineRule="auto"/>
        <w:rPr>
          <w:sz w:val="22"/>
          <w:szCs w:val="22"/>
          <w:lang w:val="en-US"/>
        </w:rPr>
      </w:pPr>
      <w:r w:rsidRPr="008E63AC">
        <w:rPr>
          <w:sz w:val="22"/>
          <w:szCs w:val="22"/>
          <w:lang w:val="en-US"/>
        </w:rPr>
        <w:t xml:space="preserve">We </w:t>
      </w:r>
      <w:proofErr w:type="spellStart"/>
      <w:r w:rsidR="00BC5BFE">
        <w:rPr>
          <w:sz w:val="22"/>
          <w:szCs w:val="22"/>
          <w:lang w:val="en-US"/>
        </w:rPr>
        <w:t>recognise</w:t>
      </w:r>
      <w:proofErr w:type="spellEnd"/>
      <w:r w:rsidR="00BC5BFE">
        <w:rPr>
          <w:sz w:val="22"/>
          <w:szCs w:val="22"/>
          <w:lang w:val="en-US"/>
        </w:rPr>
        <w:t xml:space="preserve"> </w:t>
      </w:r>
      <w:r w:rsidRPr="008E63AC">
        <w:rPr>
          <w:sz w:val="22"/>
          <w:szCs w:val="22"/>
          <w:lang w:val="en-US"/>
        </w:rPr>
        <w:t>the Government’s emphasis on co-</w:t>
      </w:r>
      <w:r w:rsidR="2B661C72" w:rsidRPr="008E63AC">
        <w:rPr>
          <w:sz w:val="22"/>
          <w:szCs w:val="22"/>
          <w:lang w:val="en-US"/>
        </w:rPr>
        <w:t>design in</w:t>
      </w:r>
      <w:r w:rsidRPr="008E63AC">
        <w:rPr>
          <w:sz w:val="22"/>
          <w:szCs w:val="22"/>
          <w:lang w:val="en-US"/>
        </w:rPr>
        <w:t xml:space="preserve"> NDIS reforms, however, the momentum for genuine co-design has waned. Recent NDIS reforms have led to many being exited from the scheme. We are concerned that government-funded supports outside the NDIS, known as ‘foundational supports’, have not been properly established, leaving some people in limbo</w:t>
      </w:r>
      <w:r w:rsidRPr="008E63AC">
        <w:rPr>
          <w:sz w:val="22"/>
          <w:szCs w:val="22"/>
        </w:rPr>
        <w:t>.</w:t>
      </w:r>
      <w:r w:rsidR="001A26BF" w:rsidRPr="008E63AC">
        <w:rPr>
          <w:rStyle w:val="FootnoteReference"/>
          <w:sz w:val="22"/>
          <w:szCs w:val="22"/>
        </w:rPr>
        <w:footnoteReference w:id="22"/>
      </w:r>
      <w:r w:rsidRPr="008E63AC">
        <w:rPr>
          <w:sz w:val="22"/>
          <w:szCs w:val="22"/>
        </w:rPr>
        <w:t xml:space="preserve"> </w:t>
      </w:r>
    </w:p>
    <w:p w14:paraId="3F3AB4D3" w14:textId="108F4805" w:rsidR="001A26BF" w:rsidRPr="008E63AC" w:rsidRDefault="401F369A" w:rsidP="001270DB">
      <w:pPr>
        <w:spacing w:line="240" w:lineRule="auto"/>
        <w:rPr>
          <w:b/>
          <w:bCs/>
          <w:sz w:val="22"/>
          <w:szCs w:val="22"/>
          <w:lang w:val="en-US"/>
        </w:rPr>
      </w:pPr>
      <w:r w:rsidRPr="008E63AC">
        <w:rPr>
          <w:b/>
          <w:bCs/>
          <w:sz w:val="22"/>
          <w:szCs w:val="22"/>
          <w:lang w:val="en-US"/>
        </w:rPr>
        <w:lastRenderedPageBreak/>
        <w:t xml:space="preserve">Recommendation </w:t>
      </w:r>
      <w:r w:rsidR="00FF3FB5">
        <w:rPr>
          <w:b/>
          <w:bCs/>
          <w:sz w:val="22"/>
          <w:szCs w:val="22"/>
          <w:lang w:val="en-US"/>
        </w:rPr>
        <w:t>9</w:t>
      </w:r>
      <w:r w:rsidRPr="008E63AC">
        <w:rPr>
          <w:b/>
          <w:bCs/>
          <w:sz w:val="22"/>
          <w:szCs w:val="22"/>
          <w:lang w:val="en-US"/>
        </w:rPr>
        <w:t xml:space="preserve">: </w:t>
      </w:r>
      <w:r w:rsidRPr="008E63AC">
        <w:rPr>
          <w:sz w:val="22"/>
          <w:szCs w:val="22"/>
          <w:lang w:val="en-US"/>
        </w:rPr>
        <w:t>That the Australian Government engages in genuine co-design in all NDIS reforms and ensures that foundational supports are established before exiting people from the NDIS.</w:t>
      </w:r>
      <w:r w:rsidRPr="008E63AC">
        <w:rPr>
          <w:b/>
          <w:bCs/>
          <w:sz w:val="22"/>
          <w:szCs w:val="22"/>
          <w:lang w:val="en-US"/>
        </w:rPr>
        <w:t xml:space="preserve"> </w:t>
      </w:r>
    </w:p>
    <w:p w14:paraId="594DC82F" w14:textId="06CD5D6C" w:rsidR="00287ED5" w:rsidRPr="003A2B3F" w:rsidRDefault="4241A64F" w:rsidP="001270DB">
      <w:pPr>
        <w:spacing w:line="240" w:lineRule="auto"/>
        <w:rPr>
          <w:rStyle w:val="Strong"/>
        </w:rPr>
      </w:pPr>
      <w:r w:rsidRPr="7CD4A099">
        <w:rPr>
          <w:rStyle w:val="Strong"/>
        </w:rPr>
        <w:t xml:space="preserve">People with disability from </w:t>
      </w:r>
      <w:r w:rsidR="1CE631A0" w:rsidRPr="7CD4A099">
        <w:rPr>
          <w:rStyle w:val="Strong"/>
        </w:rPr>
        <w:t>CALD</w:t>
      </w:r>
      <w:r w:rsidRPr="7CD4A099">
        <w:rPr>
          <w:rStyle w:val="Strong"/>
        </w:rPr>
        <w:t xml:space="preserve"> backgrounds</w:t>
      </w:r>
    </w:p>
    <w:p w14:paraId="0B30DD1C" w14:textId="34AA9AA7" w:rsidR="00575916" w:rsidRPr="008E63AC" w:rsidRDefault="2B661C72" w:rsidP="001270DB">
      <w:pPr>
        <w:spacing w:line="240" w:lineRule="auto"/>
        <w:rPr>
          <w:sz w:val="22"/>
          <w:szCs w:val="22"/>
          <w:lang w:val="en-US"/>
        </w:rPr>
      </w:pPr>
      <w:r w:rsidRPr="008E63AC">
        <w:rPr>
          <w:sz w:val="22"/>
          <w:szCs w:val="22"/>
          <w:lang w:val="en-US"/>
        </w:rPr>
        <w:t xml:space="preserve">People with disability from </w:t>
      </w:r>
      <w:r w:rsidR="1CE631A0" w:rsidRPr="008E63AC">
        <w:rPr>
          <w:sz w:val="22"/>
          <w:szCs w:val="22"/>
          <w:lang w:val="en-US"/>
        </w:rPr>
        <w:t>CALD</w:t>
      </w:r>
      <w:r w:rsidRPr="008E63AC">
        <w:rPr>
          <w:sz w:val="22"/>
          <w:szCs w:val="22"/>
          <w:lang w:val="en-US"/>
        </w:rPr>
        <w:t xml:space="preserve"> backgrounds are also underrepresented in NDIS participation statistics. Australia’s report states that '[a]s at 31 March 2023, there were 592,059 participants in the scheme, including 44,689 participants identifying as Aboriginal and Torres Strait Islander and 54,201 participants identifying as culturally or linguistically diverse'.</w:t>
      </w:r>
      <w:r w:rsidR="00575916" w:rsidRPr="008E63AC">
        <w:rPr>
          <w:rStyle w:val="FootnoteReference"/>
          <w:sz w:val="22"/>
          <w:szCs w:val="22"/>
          <w:lang w:val="en-US"/>
        </w:rPr>
        <w:footnoteReference w:id="23"/>
      </w:r>
      <w:r w:rsidR="68F28B61" w:rsidRPr="008E63AC">
        <w:rPr>
          <w:sz w:val="22"/>
          <w:szCs w:val="22"/>
          <w:lang w:val="en-US"/>
        </w:rPr>
        <w:t xml:space="preserve"> This translates to approximately 9.2% of the total NDIS participants identifying as being from </w:t>
      </w:r>
      <w:r w:rsidR="1CE631A0" w:rsidRPr="008E63AC">
        <w:rPr>
          <w:sz w:val="22"/>
          <w:szCs w:val="22"/>
          <w:lang w:val="en-US"/>
        </w:rPr>
        <w:t>CALD</w:t>
      </w:r>
      <w:r w:rsidR="68F28B61" w:rsidRPr="008E63AC">
        <w:rPr>
          <w:sz w:val="22"/>
          <w:szCs w:val="22"/>
          <w:lang w:val="en-US"/>
        </w:rPr>
        <w:t xml:space="preserve"> backgrounds.</w:t>
      </w:r>
      <w:r w:rsidR="00C96E7C" w:rsidRPr="008E63AC">
        <w:rPr>
          <w:rStyle w:val="FootnoteReference"/>
          <w:sz w:val="22"/>
          <w:szCs w:val="22"/>
          <w:lang w:val="en-US"/>
        </w:rPr>
        <w:footnoteReference w:id="24"/>
      </w:r>
      <w:r w:rsidR="68F28B61" w:rsidRPr="008E63AC">
        <w:rPr>
          <w:sz w:val="22"/>
          <w:szCs w:val="22"/>
          <w:lang w:val="en-US"/>
        </w:rPr>
        <w:t xml:space="preserve"> </w:t>
      </w:r>
      <w:r w:rsidRPr="008E63AC">
        <w:rPr>
          <w:sz w:val="22"/>
          <w:szCs w:val="22"/>
          <w:lang w:val="en-US"/>
        </w:rPr>
        <w:t>However, one in every four people with disability in Australia is culturally and linguistically diverse</w:t>
      </w:r>
      <w:r w:rsidR="00F419FB" w:rsidRPr="008E63AC">
        <w:rPr>
          <w:sz w:val="22"/>
          <w:szCs w:val="22"/>
          <w:lang w:val="en-US"/>
        </w:rPr>
        <w:t>.</w:t>
      </w:r>
      <w:r w:rsidR="000E34D1" w:rsidRPr="008E63AC">
        <w:rPr>
          <w:rStyle w:val="FootnoteReference"/>
          <w:sz w:val="22"/>
          <w:szCs w:val="22"/>
          <w:lang w:val="en-US"/>
        </w:rPr>
        <w:footnoteReference w:id="25"/>
      </w:r>
      <w:r w:rsidR="003B0FD6">
        <w:rPr>
          <w:sz w:val="22"/>
          <w:szCs w:val="22"/>
          <w:lang w:val="en-US"/>
        </w:rPr>
        <w:t xml:space="preserve"> </w:t>
      </w:r>
      <w:r w:rsidRPr="008E63AC">
        <w:rPr>
          <w:sz w:val="22"/>
          <w:szCs w:val="22"/>
          <w:lang w:val="en-US"/>
        </w:rPr>
        <w:t xml:space="preserve">This means </w:t>
      </w:r>
      <w:r w:rsidR="1CE631A0" w:rsidRPr="008E63AC">
        <w:rPr>
          <w:sz w:val="22"/>
          <w:szCs w:val="22"/>
          <w:lang w:val="en-US"/>
        </w:rPr>
        <w:t>CALD</w:t>
      </w:r>
      <w:r w:rsidRPr="008E63AC">
        <w:rPr>
          <w:sz w:val="22"/>
          <w:szCs w:val="22"/>
          <w:lang w:val="en-US"/>
        </w:rPr>
        <w:t xml:space="preserve"> representation in the NDIS should be approximately 25%, but is actually less than half of that expected level.</w:t>
      </w:r>
    </w:p>
    <w:p w14:paraId="6C321201" w14:textId="668DA601" w:rsidR="00575916" w:rsidRPr="008E63AC" w:rsidRDefault="2B661C72" w:rsidP="001270DB">
      <w:pPr>
        <w:spacing w:line="240" w:lineRule="auto"/>
        <w:rPr>
          <w:sz w:val="22"/>
          <w:szCs w:val="22"/>
          <w:lang w:val="en-US"/>
        </w:rPr>
      </w:pPr>
      <w:r w:rsidRPr="008E63AC">
        <w:rPr>
          <w:sz w:val="22"/>
          <w:szCs w:val="22"/>
          <w:lang w:val="en-US"/>
        </w:rPr>
        <w:t xml:space="preserve">Low participation rates can be explained by the multiple barriers that people with disability from </w:t>
      </w:r>
      <w:r w:rsidR="1CE631A0" w:rsidRPr="008E63AC">
        <w:rPr>
          <w:sz w:val="22"/>
          <w:szCs w:val="22"/>
          <w:lang w:val="en-US"/>
        </w:rPr>
        <w:t>CALD</w:t>
      </w:r>
      <w:r w:rsidRPr="008E63AC">
        <w:rPr>
          <w:sz w:val="22"/>
          <w:szCs w:val="22"/>
          <w:lang w:val="en-US"/>
        </w:rPr>
        <w:t xml:space="preserve"> backgrounds face, including</w:t>
      </w:r>
      <w:r w:rsidR="02BBF30B" w:rsidRPr="008E63AC">
        <w:rPr>
          <w:sz w:val="22"/>
          <w:szCs w:val="22"/>
          <w:lang w:val="en-US"/>
        </w:rPr>
        <w:t xml:space="preserve"> </w:t>
      </w:r>
      <w:r w:rsidR="02BBF30B" w:rsidRPr="008E63AC">
        <w:rPr>
          <w:sz w:val="22"/>
          <w:szCs w:val="22"/>
        </w:rPr>
        <w:t>l</w:t>
      </w:r>
      <w:r w:rsidRPr="008E63AC">
        <w:rPr>
          <w:sz w:val="22"/>
          <w:szCs w:val="22"/>
        </w:rPr>
        <w:t>anguage barriers and literacy issues</w:t>
      </w:r>
      <w:r w:rsidR="02BBF30B" w:rsidRPr="008E63AC">
        <w:rPr>
          <w:sz w:val="22"/>
          <w:szCs w:val="22"/>
        </w:rPr>
        <w:t>, l</w:t>
      </w:r>
      <w:r w:rsidRPr="008E63AC">
        <w:rPr>
          <w:sz w:val="22"/>
          <w:szCs w:val="22"/>
        </w:rPr>
        <w:t>ack of awareness of available supports and eligibility criteria</w:t>
      </w:r>
      <w:r w:rsidR="02BBF30B" w:rsidRPr="008E63AC">
        <w:rPr>
          <w:sz w:val="22"/>
          <w:szCs w:val="22"/>
        </w:rPr>
        <w:t>, c</w:t>
      </w:r>
      <w:r w:rsidRPr="008E63AC">
        <w:rPr>
          <w:sz w:val="22"/>
          <w:szCs w:val="22"/>
        </w:rPr>
        <w:t xml:space="preserve">ultural preferences for family care over formal support systems </w:t>
      </w:r>
      <w:r w:rsidR="02BBF30B" w:rsidRPr="008E63AC">
        <w:rPr>
          <w:sz w:val="22"/>
          <w:szCs w:val="22"/>
          <w:lang w:val="en-US"/>
        </w:rPr>
        <w:t>and l</w:t>
      </w:r>
      <w:r w:rsidRPr="008E63AC">
        <w:rPr>
          <w:sz w:val="22"/>
          <w:szCs w:val="22"/>
        </w:rPr>
        <w:t>ack of cultural competence among service providers</w:t>
      </w:r>
      <w:r w:rsidR="02BBF30B" w:rsidRPr="008E63AC">
        <w:rPr>
          <w:sz w:val="22"/>
          <w:szCs w:val="22"/>
        </w:rPr>
        <w:t>.</w:t>
      </w:r>
      <w:r w:rsidR="00C96E7C" w:rsidRPr="008E63AC">
        <w:rPr>
          <w:rStyle w:val="FootnoteReference"/>
          <w:sz w:val="22"/>
          <w:szCs w:val="22"/>
        </w:rPr>
        <w:footnoteReference w:id="26"/>
      </w:r>
    </w:p>
    <w:p w14:paraId="57E9942B" w14:textId="4F75ACEE" w:rsidR="00575916" w:rsidRPr="00FF3FB5" w:rsidRDefault="2B661C72" w:rsidP="001270DB">
      <w:pPr>
        <w:spacing w:line="240" w:lineRule="auto"/>
        <w:rPr>
          <w:lang w:val="en-US"/>
        </w:rPr>
      </w:pPr>
      <w:r w:rsidRPr="008E63AC">
        <w:rPr>
          <w:sz w:val="22"/>
          <w:szCs w:val="22"/>
          <w:lang w:val="en-US"/>
        </w:rPr>
        <w:t xml:space="preserve">We </w:t>
      </w:r>
      <w:r w:rsidR="68F28B61" w:rsidRPr="008E63AC">
        <w:rPr>
          <w:sz w:val="22"/>
          <w:szCs w:val="22"/>
          <w:lang w:val="en-US"/>
        </w:rPr>
        <w:t>note</w:t>
      </w:r>
      <w:r w:rsidRPr="008E63AC">
        <w:rPr>
          <w:sz w:val="22"/>
          <w:szCs w:val="22"/>
          <w:lang w:val="en-US"/>
        </w:rPr>
        <w:t xml:space="preserve"> the development of the NDIS Cultural and Linguistic Diversity (</w:t>
      </w:r>
      <w:r w:rsidR="1CE631A0" w:rsidRPr="008E63AC">
        <w:rPr>
          <w:sz w:val="22"/>
          <w:szCs w:val="22"/>
          <w:lang w:val="en-US"/>
        </w:rPr>
        <w:t>CALD</w:t>
      </w:r>
      <w:r w:rsidRPr="008E63AC">
        <w:rPr>
          <w:sz w:val="22"/>
          <w:szCs w:val="22"/>
          <w:lang w:val="en-US"/>
        </w:rPr>
        <w:t xml:space="preserve">) Strategy 2024-2028 (NDIS </w:t>
      </w:r>
      <w:r w:rsidR="1CE631A0" w:rsidRPr="008E63AC">
        <w:rPr>
          <w:sz w:val="22"/>
          <w:szCs w:val="22"/>
          <w:lang w:val="en-US"/>
        </w:rPr>
        <w:t>CALD</w:t>
      </w:r>
      <w:r w:rsidRPr="008E63AC">
        <w:rPr>
          <w:sz w:val="22"/>
          <w:szCs w:val="22"/>
          <w:lang w:val="en-US"/>
        </w:rPr>
        <w:t xml:space="preserve"> Strategy), which was co-designed with over 800 people from </w:t>
      </w:r>
      <w:r w:rsidR="1CE631A0" w:rsidRPr="008E63AC">
        <w:rPr>
          <w:sz w:val="22"/>
          <w:szCs w:val="22"/>
          <w:lang w:val="en-US"/>
        </w:rPr>
        <w:t>CALD</w:t>
      </w:r>
      <w:r w:rsidRPr="008E63AC">
        <w:rPr>
          <w:sz w:val="22"/>
          <w:szCs w:val="22"/>
          <w:lang w:val="en-US"/>
        </w:rPr>
        <w:t xml:space="preserve"> backgrounds. The NDIS </w:t>
      </w:r>
      <w:r w:rsidR="1CE631A0" w:rsidRPr="008E63AC">
        <w:rPr>
          <w:sz w:val="22"/>
          <w:szCs w:val="22"/>
          <w:lang w:val="en-US"/>
        </w:rPr>
        <w:t>CALD</w:t>
      </w:r>
      <w:r w:rsidRPr="008E63AC">
        <w:rPr>
          <w:sz w:val="22"/>
          <w:szCs w:val="22"/>
          <w:lang w:val="en-US"/>
        </w:rPr>
        <w:t xml:space="preserve"> Strategy commits to improving systems and processes to support </w:t>
      </w:r>
      <w:r w:rsidR="1CE631A0" w:rsidRPr="008E63AC">
        <w:rPr>
          <w:sz w:val="22"/>
          <w:szCs w:val="22"/>
          <w:lang w:val="en-US"/>
        </w:rPr>
        <w:t>CALD</w:t>
      </w:r>
      <w:r w:rsidRPr="008E63AC">
        <w:rPr>
          <w:sz w:val="22"/>
          <w:szCs w:val="22"/>
          <w:lang w:val="en-US"/>
        </w:rPr>
        <w:t xml:space="preserve"> participants. The NDIA has committed to publishing annual reports on actions </w:t>
      </w:r>
      <w:r w:rsidRPr="00FF3FB5">
        <w:rPr>
          <w:sz w:val="22"/>
          <w:szCs w:val="22"/>
          <w:lang w:val="en-US"/>
        </w:rPr>
        <w:t xml:space="preserve">delivered under the </w:t>
      </w:r>
      <w:r w:rsidR="1CE631A0" w:rsidRPr="00FF3FB5">
        <w:rPr>
          <w:sz w:val="22"/>
          <w:szCs w:val="22"/>
          <w:lang w:val="en-US"/>
        </w:rPr>
        <w:t>CALD</w:t>
      </w:r>
      <w:r w:rsidRPr="00FF3FB5">
        <w:rPr>
          <w:sz w:val="22"/>
          <w:szCs w:val="22"/>
          <w:lang w:val="en-US"/>
        </w:rPr>
        <w:t xml:space="preserve"> Strategy and Action Plan.</w:t>
      </w:r>
      <w:r w:rsidR="00C96E7C" w:rsidRPr="00FF3FB5">
        <w:rPr>
          <w:rStyle w:val="FootnoteReference"/>
          <w:sz w:val="22"/>
          <w:szCs w:val="22"/>
          <w:lang w:val="en-US"/>
        </w:rPr>
        <w:footnoteReference w:id="27"/>
      </w:r>
    </w:p>
    <w:p w14:paraId="1A65DBEA" w14:textId="499001D2" w:rsidR="00575916" w:rsidRPr="008E63AC" w:rsidRDefault="2B661C72" w:rsidP="001270DB">
      <w:pPr>
        <w:spacing w:line="240" w:lineRule="auto"/>
        <w:rPr>
          <w:b/>
          <w:bCs/>
          <w:sz w:val="22"/>
          <w:szCs w:val="22"/>
          <w:lang w:val="en-US"/>
        </w:rPr>
      </w:pPr>
      <w:r w:rsidRPr="00FF3FB5">
        <w:rPr>
          <w:b/>
          <w:bCs/>
          <w:sz w:val="22"/>
          <w:szCs w:val="22"/>
          <w:lang w:val="en-US"/>
        </w:rPr>
        <w:t xml:space="preserve">Recommendation 10: </w:t>
      </w:r>
      <w:r w:rsidR="048C8653" w:rsidRPr="00FF3FB5">
        <w:rPr>
          <w:sz w:val="22"/>
          <w:szCs w:val="22"/>
          <w:lang w:val="en-US"/>
        </w:rPr>
        <w:t>That</w:t>
      </w:r>
      <w:r w:rsidR="048C8653" w:rsidRPr="008E63AC">
        <w:rPr>
          <w:sz w:val="22"/>
          <w:szCs w:val="22"/>
          <w:lang w:val="en-US"/>
        </w:rPr>
        <w:t xml:space="preserve"> t</w:t>
      </w:r>
      <w:r w:rsidRPr="008E63AC">
        <w:rPr>
          <w:sz w:val="22"/>
          <w:szCs w:val="22"/>
          <w:lang w:val="en-US"/>
        </w:rPr>
        <w:t>he NDIS</w:t>
      </w:r>
      <w:r w:rsidR="0081104F" w:rsidRPr="008E63AC">
        <w:rPr>
          <w:sz w:val="22"/>
          <w:szCs w:val="22"/>
          <w:lang w:val="en-US"/>
        </w:rPr>
        <w:t xml:space="preserve"> </w:t>
      </w:r>
      <w:r w:rsidRPr="008E63AC">
        <w:rPr>
          <w:sz w:val="22"/>
          <w:szCs w:val="22"/>
          <w:lang w:val="en-US"/>
        </w:rPr>
        <w:t>develop</w:t>
      </w:r>
      <w:r w:rsidR="048C8653" w:rsidRPr="008E63AC">
        <w:rPr>
          <w:sz w:val="22"/>
          <w:szCs w:val="22"/>
          <w:lang w:val="en-US"/>
        </w:rPr>
        <w:t>s</w:t>
      </w:r>
      <w:r w:rsidRPr="008E63AC">
        <w:rPr>
          <w:sz w:val="22"/>
          <w:szCs w:val="22"/>
          <w:lang w:val="en-US"/>
        </w:rPr>
        <w:t xml:space="preserve"> and implement</w:t>
      </w:r>
      <w:r w:rsidR="596D6A4D" w:rsidRPr="008E63AC">
        <w:rPr>
          <w:sz w:val="22"/>
          <w:szCs w:val="22"/>
          <w:lang w:val="en-US"/>
        </w:rPr>
        <w:t>s</w:t>
      </w:r>
      <w:r w:rsidRPr="008E63AC">
        <w:rPr>
          <w:sz w:val="22"/>
          <w:szCs w:val="22"/>
          <w:lang w:val="en-US"/>
        </w:rPr>
        <w:t xml:space="preserve"> a comprehensive action plan addressing the </w:t>
      </w:r>
      <w:r w:rsidR="1CE631A0" w:rsidRPr="008E63AC">
        <w:rPr>
          <w:sz w:val="22"/>
          <w:szCs w:val="22"/>
          <w:lang w:val="en-US"/>
        </w:rPr>
        <w:t>CALD</w:t>
      </w:r>
      <w:r w:rsidRPr="008E63AC">
        <w:rPr>
          <w:sz w:val="22"/>
          <w:szCs w:val="22"/>
          <w:lang w:val="en-US"/>
        </w:rPr>
        <w:t xml:space="preserve"> participation gap, with measurable targets to achieve proportional representation. All NDIS data reporting must include disaggregation by cultural and linguistic background to enable monitoring of intersectional outcomes.</w:t>
      </w:r>
    </w:p>
    <w:p w14:paraId="3815542F" w14:textId="77777777" w:rsidR="00677FAE" w:rsidRPr="008E63AC" w:rsidRDefault="678242B0" w:rsidP="001270DB">
      <w:pPr>
        <w:spacing w:line="240" w:lineRule="auto"/>
        <w:rPr>
          <w:rStyle w:val="Strong"/>
          <w:sz w:val="22"/>
          <w:szCs w:val="22"/>
        </w:rPr>
      </w:pPr>
      <w:r w:rsidRPr="008E63AC">
        <w:rPr>
          <w:rStyle w:val="Strong"/>
          <w:sz w:val="22"/>
          <w:szCs w:val="22"/>
        </w:rPr>
        <w:t>Women and girls with disability</w:t>
      </w:r>
    </w:p>
    <w:p w14:paraId="5B12CAF4" w14:textId="77777777" w:rsidR="001A26BF" w:rsidRPr="008E63AC" w:rsidRDefault="401F369A" w:rsidP="001270DB">
      <w:pPr>
        <w:spacing w:line="240" w:lineRule="auto"/>
        <w:rPr>
          <w:sz w:val="22"/>
          <w:szCs w:val="22"/>
        </w:rPr>
      </w:pPr>
      <w:r w:rsidRPr="008E63AC">
        <w:rPr>
          <w:sz w:val="22"/>
          <w:szCs w:val="22"/>
        </w:rPr>
        <w:t>Disability prevalence in the male and female population is almost identical,</w:t>
      </w:r>
      <w:r w:rsidR="001A26BF" w:rsidRPr="008E63AC">
        <w:rPr>
          <w:rStyle w:val="FootnoteReference"/>
          <w:sz w:val="22"/>
          <w:szCs w:val="22"/>
        </w:rPr>
        <w:footnoteReference w:id="28"/>
      </w:r>
      <w:r w:rsidRPr="008E63AC">
        <w:rPr>
          <w:sz w:val="22"/>
          <w:szCs w:val="22"/>
        </w:rPr>
        <w:t xml:space="preserve"> yet female participation rates have remained steady at 37% - 38% since the inception of the NDIS.</w:t>
      </w:r>
      <w:r w:rsidR="001A26BF" w:rsidRPr="008E63AC">
        <w:rPr>
          <w:rStyle w:val="FootnoteReference"/>
          <w:sz w:val="22"/>
          <w:szCs w:val="22"/>
        </w:rPr>
        <w:footnoteReference w:id="29"/>
      </w:r>
      <w:r w:rsidRPr="008E63AC">
        <w:rPr>
          <w:sz w:val="22"/>
          <w:szCs w:val="22"/>
        </w:rPr>
        <w:t xml:space="preserve"> From age</w:t>
      </w:r>
      <w:r w:rsidRPr="008E63AC">
        <w:rPr>
          <w:b/>
          <w:bCs/>
          <w:sz w:val="22"/>
          <w:szCs w:val="22"/>
        </w:rPr>
        <w:t xml:space="preserve"> </w:t>
      </w:r>
      <w:r w:rsidRPr="008E63AC">
        <w:rPr>
          <w:sz w:val="22"/>
          <w:szCs w:val="22"/>
        </w:rPr>
        <w:t>15, male access approvals outpace those for women (and applicants recorded as ‘other’), and the gap widens in every age band through to 64.</w:t>
      </w:r>
      <w:r w:rsidR="001A26BF" w:rsidRPr="008E63AC">
        <w:rPr>
          <w:rStyle w:val="FootnoteReference"/>
          <w:sz w:val="22"/>
          <w:szCs w:val="22"/>
        </w:rPr>
        <w:footnoteReference w:id="30"/>
      </w:r>
      <w:r w:rsidRPr="008E63AC">
        <w:rPr>
          <w:sz w:val="22"/>
          <w:szCs w:val="22"/>
        </w:rPr>
        <w:t xml:space="preserve"> Alarmingly, data recently revealed under a Freedom of Information request indicates that</w:t>
      </w:r>
      <w:r w:rsidRPr="008E63AC">
        <w:rPr>
          <w:b/>
          <w:bCs/>
          <w:sz w:val="22"/>
          <w:szCs w:val="22"/>
        </w:rPr>
        <w:t xml:space="preserve"> </w:t>
      </w:r>
      <w:r w:rsidRPr="008E63AC">
        <w:rPr>
          <w:rStyle w:val="Strong"/>
          <w:b w:val="0"/>
          <w:bCs w:val="0"/>
          <w:sz w:val="22"/>
          <w:szCs w:val="22"/>
        </w:rPr>
        <w:t xml:space="preserve">female participants are </w:t>
      </w:r>
      <w:r w:rsidRPr="008E63AC">
        <w:rPr>
          <w:rStyle w:val="Strong"/>
          <w:b w:val="0"/>
          <w:bCs w:val="0"/>
          <w:sz w:val="22"/>
          <w:szCs w:val="22"/>
        </w:rPr>
        <w:lastRenderedPageBreak/>
        <w:t>exiting the NDIS at higher rates than male participants</w:t>
      </w:r>
      <w:r w:rsidRPr="008E63AC">
        <w:rPr>
          <w:sz w:val="22"/>
          <w:szCs w:val="22"/>
        </w:rPr>
        <w:t>.</w:t>
      </w:r>
      <w:r w:rsidR="001A26BF" w:rsidRPr="008E63AC">
        <w:rPr>
          <w:rStyle w:val="FootnoteReference"/>
          <w:sz w:val="22"/>
          <w:szCs w:val="22"/>
        </w:rPr>
        <w:footnoteReference w:id="31"/>
      </w:r>
      <w:r w:rsidRPr="008E63AC">
        <w:rPr>
          <w:sz w:val="22"/>
          <w:szCs w:val="22"/>
        </w:rPr>
        <w:t xml:space="preserve"> Public government reporting, however, has not acknowledged or explained this phenomenon. </w:t>
      </w:r>
    </w:p>
    <w:p w14:paraId="3CC7E7C2" w14:textId="6B5B96FB" w:rsidR="001A26BF" w:rsidRPr="00B2248D" w:rsidRDefault="401F369A" w:rsidP="001270DB">
      <w:pPr>
        <w:pStyle w:val="Heading3"/>
        <w:numPr>
          <w:ilvl w:val="0"/>
          <w:numId w:val="17"/>
        </w:numPr>
        <w:spacing w:line="240" w:lineRule="auto"/>
      </w:pPr>
      <w:bookmarkStart w:id="25" w:name="_Toc219209849"/>
      <w:r>
        <w:t>Disability employment [109-115]</w:t>
      </w:r>
      <w:bookmarkEnd w:id="25"/>
    </w:p>
    <w:p w14:paraId="4F79B7A9" w14:textId="5279CD43" w:rsidR="435B9EC4" w:rsidRDefault="435B9EC4" w:rsidP="001270DB">
      <w:pPr>
        <w:spacing w:line="240" w:lineRule="auto"/>
        <w:rPr>
          <w:rStyle w:val="Strong"/>
          <w:b w:val="0"/>
          <w:bCs w:val="0"/>
        </w:rPr>
      </w:pPr>
      <w:r w:rsidRPr="7CD4A099">
        <w:rPr>
          <w:rStyle w:val="Strong"/>
          <w:b w:val="0"/>
          <w:bCs w:val="0"/>
        </w:rPr>
        <w:t xml:space="preserve">As mentioned earlier, we support a phasing out of segregated employment. This must of course be accompanied by measures to increase the employment of people with disability in mainstream workplaces. </w:t>
      </w:r>
      <w:r w:rsidR="2CA87110" w:rsidRPr="7CD4A099">
        <w:rPr>
          <w:rStyle w:val="Strong"/>
          <w:b w:val="0"/>
          <w:bCs w:val="0"/>
        </w:rPr>
        <w:t xml:space="preserve">We note that prejudicial attitudes are a key barrier to inclusive employment and </w:t>
      </w:r>
      <w:r w:rsidR="3F7C2FD4" w:rsidRPr="7CD4A099">
        <w:rPr>
          <w:rStyle w:val="Strong"/>
          <w:b w:val="0"/>
          <w:bCs w:val="0"/>
        </w:rPr>
        <w:t>further work is needed to change attitudes in the private</w:t>
      </w:r>
      <w:r w:rsidR="00C9072C">
        <w:rPr>
          <w:rStyle w:val="Strong"/>
          <w:b w:val="0"/>
          <w:bCs w:val="0"/>
        </w:rPr>
        <w:t>, public</w:t>
      </w:r>
      <w:r w:rsidR="3F7C2FD4" w:rsidRPr="7CD4A099">
        <w:rPr>
          <w:rStyle w:val="Strong"/>
          <w:b w:val="0"/>
          <w:bCs w:val="0"/>
        </w:rPr>
        <w:t xml:space="preserve"> and community sectors.</w:t>
      </w:r>
    </w:p>
    <w:p w14:paraId="476EB5F7" w14:textId="32A582E0" w:rsidR="00AF1976" w:rsidRPr="00C9072C" w:rsidRDefault="66589343" w:rsidP="001270DB">
      <w:pPr>
        <w:spacing w:line="240" w:lineRule="auto"/>
        <w:rPr>
          <w:rStyle w:val="Strong"/>
          <w:sz w:val="22"/>
          <w:szCs w:val="22"/>
        </w:rPr>
      </w:pPr>
      <w:r w:rsidRPr="00C9072C">
        <w:rPr>
          <w:rStyle w:val="Strong"/>
          <w:sz w:val="22"/>
          <w:szCs w:val="22"/>
        </w:rPr>
        <w:t xml:space="preserve">People with disability from </w:t>
      </w:r>
      <w:r w:rsidR="1CE631A0" w:rsidRPr="00C9072C">
        <w:rPr>
          <w:rStyle w:val="Strong"/>
          <w:sz w:val="22"/>
          <w:szCs w:val="22"/>
        </w:rPr>
        <w:t>CALD</w:t>
      </w:r>
      <w:r w:rsidRPr="00C9072C">
        <w:rPr>
          <w:rStyle w:val="Strong"/>
          <w:sz w:val="22"/>
          <w:szCs w:val="22"/>
        </w:rPr>
        <w:t xml:space="preserve"> backgrounds</w:t>
      </w:r>
    </w:p>
    <w:p w14:paraId="357C30F9" w14:textId="4BEA65A1" w:rsidR="008F29BA" w:rsidRPr="008E63AC" w:rsidRDefault="5E93C52A" w:rsidP="001270DB">
      <w:pPr>
        <w:spacing w:line="240" w:lineRule="auto"/>
        <w:rPr>
          <w:sz w:val="22"/>
          <w:szCs w:val="22"/>
          <w:lang w:val="en-US"/>
        </w:rPr>
      </w:pPr>
      <w:r w:rsidRPr="008E63AC">
        <w:rPr>
          <w:sz w:val="22"/>
          <w:szCs w:val="22"/>
          <w:lang w:val="en-US"/>
        </w:rPr>
        <w:t xml:space="preserve">We are concerned about the lack of disaggregated data on employment of people with disability from </w:t>
      </w:r>
      <w:r w:rsidR="1CE631A0" w:rsidRPr="008E63AC">
        <w:rPr>
          <w:sz w:val="22"/>
          <w:szCs w:val="22"/>
          <w:lang w:val="en-US"/>
        </w:rPr>
        <w:t>CALD</w:t>
      </w:r>
      <w:r w:rsidRPr="008E63AC">
        <w:rPr>
          <w:sz w:val="22"/>
          <w:szCs w:val="22"/>
          <w:lang w:val="en-US"/>
        </w:rPr>
        <w:t xml:space="preserve"> backgrounds. Australia’s report does not provide disaggregated data on employment rates for people with disability from </w:t>
      </w:r>
      <w:r w:rsidR="1CE631A0" w:rsidRPr="008E63AC">
        <w:rPr>
          <w:sz w:val="22"/>
          <w:szCs w:val="22"/>
          <w:lang w:val="en-US"/>
        </w:rPr>
        <w:t>CALD</w:t>
      </w:r>
      <w:r w:rsidRPr="008E63AC">
        <w:rPr>
          <w:sz w:val="22"/>
          <w:szCs w:val="22"/>
          <w:lang w:val="en-US"/>
        </w:rPr>
        <w:t xml:space="preserve"> backgrounds, making intersectional disadvantage invisible. </w:t>
      </w:r>
    </w:p>
    <w:p w14:paraId="786F9D4A" w14:textId="2E69088E" w:rsidR="008F29BA" w:rsidRPr="008E63AC" w:rsidRDefault="5E93C52A" w:rsidP="001270DB">
      <w:pPr>
        <w:spacing w:line="240" w:lineRule="auto"/>
        <w:rPr>
          <w:sz w:val="22"/>
          <w:szCs w:val="22"/>
          <w:lang w:val="en-US"/>
        </w:rPr>
      </w:pPr>
      <w:r w:rsidRPr="008E63AC">
        <w:rPr>
          <w:sz w:val="22"/>
          <w:szCs w:val="22"/>
          <w:lang w:val="en-US"/>
        </w:rPr>
        <w:t>Paragraph 110 of Australia’s report states that '[</w:t>
      </w:r>
      <w:proofErr w:type="spellStart"/>
      <w:r w:rsidRPr="008E63AC">
        <w:rPr>
          <w:sz w:val="22"/>
          <w:szCs w:val="22"/>
          <w:lang w:val="en-US"/>
        </w:rPr>
        <w:t>i</w:t>
      </w:r>
      <w:proofErr w:type="spellEnd"/>
      <w:r w:rsidRPr="008E63AC">
        <w:rPr>
          <w:sz w:val="22"/>
          <w:szCs w:val="22"/>
          <w:lang w:val="en-US"/>
        </w:rPr>
        <w:t>]n the 2023–24 Budget, the Australian Government committed $52.7 million over 4 years to create ongoing employment opportunities for people with disability with high support needs'.</w:t>
      </w:r>
      <w:r w:rsidR="008F29BA" w:rsidRPr="008E63AC">
        <w:rPr>
          <w:rStyle w:val="FootnoteReference"/>
          <w:sz w:val="22"/>
          <w:szCs w:val="22"/>
          <w:lang w:val="en-US"/>
        </w:rPr>
        <w:footnoteReference w:id="32"/>
      </w:r>
      <w:r w:rsidRPr="008E63AC">
        <w:rPr>
          <w:sz w:val="22"/>
          <w:szCs w:val="22"/>
          <w:lang w:val="en-US"/>
        </w:rPr>
        <w:t xml:space="preserve"> However, there is no data on how people with disability from </w:t>
      </w:r>
      <w:r w:rsidR="1CE631A0" w:rsidRPr="008E63AC">
        <w:rPr>
          <w:sz w:val="22"/>
          <w:szCs w:val="22"/>
          <w:lang w:val="en-US"/>
        </w:rPr>
        <w:t>CALD</w:t>
      </w:r>
      <w:r w:rsidRPr="008E63AC">
        <w:rPr>
          <w:sz w:val="22"/>
          <w:szCs w:val="22"/>
          <w:lang w:val="en-US"/>
        </w:rPr>
        <w:t xml:space="preserve"> backgrounds will benefit from this investment. Similarly, paragraph 113 of Australia’s report states that '[t]he proportion of Australian Public Service employees with disability has increased over time, with 4.9% of Australian Public Service employees identifying as living with disability as at December 2022', but does not provide data on people with disability from </w:t>
      </w:r>
      <w:r w:rsidR="1CE631A0" w:rsidRPr="008E63AC">
        <w:rPr>
          <w:sz w:val="22"/>
          <w:szCs w:val="22"/>
          <w:lang w:val="en-US"/>
        </w:rPr>
        <w:t>CALD</w:t>
      </w:r>
      <w:r w:rsidRPr="008E63AC">
        <w:rPr>
          <w:sz w:val="22"/>
          <w:szCs w:val="22"/>
          <w:lang w:val="en-US"/>
        </w:rPr>
        <w:t xml:space="preserve"> backgrounds.</w:t>
      </w:r>
      <w:r w:rsidR="008F29BA" w:rsidRPr="008E63AC">
        <w:rPr>
          <w:rStyle w:val="FootnoteReference"/>
          <w:sz w:val="22"/>
          <w:szCs w:val="22"/>
          <w:lang w:val="en-US"/>
        </w:rPr>
        <w:footnoteReference w:id="33"/>
      </w:r>
      <w:r w:rsidRPr="008E63AC">
        <w:rPr>
          <w:sz w:val="22"/>
          <w:szCs w:val="22"/>
          <w:lang w:val="en-US"/>
        </w:rPr>
        <w:t xml:space="preserve"> </w:t>
      </w:r>
    </w:p>
    <w:p w14:paraId="6CF2221B" w14:textId="7A0024EB" w:rsidR="008F29BA" w:rsidRPr="008E63AC" w:rsidRDefault="34B8C8A9" w:rsidP="001270DB">
      <w:pPr>
        <w:spacing w:line="240" w:lineRule="auto"/>
        <w:rPr>
          <w:sz w:val="22"/>
          <w:szCs w:val="22"/>
          <w:lang w:val="en-US"/>
        </w:rPr>
      </w:pPr>
      <w:r w:rsidRPr="008E63AC">
        <w:rPr>
          <w:sz w:val="22"/>
          <w:szCs w:val="22"/>
          <w:lang w:val="en-US"/>
        </w:rPr>
        <w:t>P</w:t>
      </w:r>
      <w:r w:rsidR="5E93C52A" w:rsidRPr="008E63AC">
        <w:rPr>
          <w:sz w:val="22"/>
          <w:szCs w:val="22"/>
          <w:lang w:val="en-US"/>
        </w:rPr>
        <w:t xml:space="preserve">eople with disability from </w:t>
      </w:r>
      <w:r w:rsidR="1CE631A0" w:rsidRPr="008E63AC">
        <w:rPr>
          <w:sz w:val="22"/>
          <w:szCs w:val="22"/>
          <w:lang w:val="en-US"/>
        </w:rPr>
        <w:t>CALD</w:t>
      </w:r>
      <w:r w:rsidR="5E93C52A" w:rsidRPr="008E63AC">
        <w:rPr>
          <w:sz w:val="22"/>
          <w:szCs w:val="22"/>
          <w:lang w:val="en-US"/>
        </w:rPr>
        <w:t xml:space="preserve"> backgrounds experience compounded barriers to employment.</w:t>
      </w:r>
      <w:r w:rsidR="00602252" w:rsidRPr="008E63AC">
        <w:rPr>
          <w:rStyle w:val="FootnoteReference"/>
          <w:sz w:val="22"/>
          <w:szCs w:val="22"/>
          <w:lang w:val="en-US"/>
        </w:rPr>
        <w:footnoteReference w:id="34"/>
      </w:r>
      <w:r w:rsidR="5E93C52A" w:rsidRPr="008E63AC">
        <w:rPr>
          <w:sz w:val="22"/>
          <w:szCs w:val="22"/>
          <w:lang w:val="en-US"/>
        </w:rPr>
        <w:t xml:space="preserve"> People with disability from </w:t>
      </w:r>
      <w:r w:rsidR="1CE631A0" w:rsidRPr="008E63AC">
        <w:rPr>
          <w:sz w:val="22"/>
          <w:szCs w:val="22"/>
          <w:lang w:val="en-US"/>
        </w:rPr>
        <w:t>CALD</w:t>
      </w:r>
      <w:r w:rsidR="5E93C52A" w:rsidRPr="008E63AC">
        <w:rPr>
          <w:sz w:val="22"/>
          <w:szCs w:val="22"/>
          <w:lang w:val="en-US"/>
        </w:rPr>
        <w:t xml:space="preserve"> backgrounds are not a homogenous group. They include people with varied cultural identities, migration pathways, languages, and family and community structures. Research shows that </w:t>
      </w:r>
      <w:r w:rsidR="2BF662FE" w:rsidRPr="008E63AC">
        <w:rPr>
          <w:sz w:val="22"/>
          <w:szCs w:val="22"/>
          <w:lang w:val="en-US"/>
        </w:rPr>
        <w:t>disadvantages do</w:t>
      </w:r>
      <w:r w:rsidR="5E93C52A" w:rsidRPr="008E63AC">
        <w:rPr>
          <w:sz w:val="22"/>
          <w:szCs w:val="22"/>
          <w:lang w:val="en-US"/>
        </w:rPr>
        <w:t xml:space="preserve"> not arise simply</w:t>
      </w:r>
      <w:r w:rsidR="5E93C52A" w:rsidRPr="00E156C2">
        <w:rPr>
          <w:lang w:val="en-US"/>
        </w:rPr>
        <w:t xml:space="preserve"> </w:t>
      </w:r>
      <w:r w:rsidR="5E93C52A" w:rsidRPr="008E63AC">
        <w:rPr>
          <w:sz w:val="22"/>
          <w:szCs w:val="22"/>
          <w:lang w:val="en-US"/>
        </w:rPr>
        <w:t>from cultural or linguistic difference alone, but from how systems are shaped by structural barriers, restrictive migration regimes and institutional norms.</w:t>
      </w:r>
      <w:r w:rsidR="00602252" w:rsidRPr="008E63AC">
        <w:rPr>
          <w:rStyle w:val="FootnoteReference"/>
          <w:sz w:val="22"/>
          <w:szCs w:val="22"/>
          <w:lang w:val="en-US"/>
        </w:rPr>
        <w:footnoteReference w:id="35"/>
      </w:r>
    </w:p>
    <w:p w14:paraId="20135A53" w14:textId="58EDBD2C" w:rsidR="008F29BA" w:rsidRPr="008E63AC" w:rsidRDefault="5E93C52A" w:rsidP="001270DB">
      <w:pPr>
        <w:spacing w:line="240" w:lineRule="auto"/>
        <w:rPr>
          <w:color w:val="00AE9D" w:themeColor="accent6"/>
          <w:sz w:val="22"/>
          <w:szCs w:val="22"/>
          <w:lang w:val="en-US"/>
        </w:rPr>
      </w:pPr>
      <w:r w:rsidRPr="008E63AC">
        <w:rPr>
          <w:sz w:val="22"/>
          <w:szCs w:val="22"/>
          <w:lang w:val="en-US"/>
        </w:rPr>
        <w:t>People with disability from migrant and refugee backgrounds, in particular, experience low workforce participation rates and face numerous structural and social barriers to obtaining meaningful employme</w:t>
      </w:r>
      <w:r w:rsidRPr="00227EB7">
        <w:rPr>
          <w:sz w:val="22"/>
          <w:szCs w:val="22"/>
          <w:lang w:val="en-US"/>
        </w:rPr>
        <w:t>nt.</w:t>
      </w:r>
      <w:r w:rsidR="00CA7EDA" w:rsidRPr="00227EB7">
        <w:rPr>
          <w:rStyle w:val="FootnoteReference"/>
          <w:sz w:val="22"/>
          <w:szCs w:val="22"/>
          <w:lang w:val="en-US"/>
        </w:rPr>
        <w:footnoteReference w:id="36"/>
      </w:r>
    </w:p>
    <w:p w14:paraId="0D0A9EDB" w14:textId="6E7800A2" w:rsidR="008F29BA" w:rsidRPr="008E63AC" w:rsidRDefault="5E93C52A" w:rsidP="001270DB">
      <w:pPr>
        <w:spacing w:line="240" w:lineRule="auto"/>
        <w:rPr>
          <w:sz w:val="22"/>
          <w:szCs w:val="22"/>
          <w:lang w:val="en-US"/>
        </w:rPr>
      </w:pPr>
      <w:r w:rsidRPr="008E63AC">
        <w:rPr>
          <w:b/>
          <w:bCs/>
          <w:sz w:val="22"/>
          <w:szCs w:val="22"/>
          <w:lang w:val="en-US"/>
        </w:rPr>
        <w:t>Recommendation 1</w:t>
      </w:r>
      <w:r w:rsidR="00FF3FB5">
        <w:rPr>
          <w:b/>
          <w:bCs/>
          <w:sz w:val="22"/>
          <w:szCs w:val="22"/>
          <w:lang w:val="en-US"/>
        </w:rPr>
        <w:t>1</w:t>
      </w:r>
      <w:r w:rsidRPr="008E63AC">
        <w:rPr>
          <w:b/>
          <w:bCs/>
          <w:sz w:val="22"/>
          <w:szCs w:val="22"/>
          <w:lang w:val="en-US"/>
        </w:rPr>
        <w:t xml:space="preserve">: </w:t>
      </w:r>
      <w:r w:rsidRPr="008E63AC">
        <w:rPr>
          <w:sz w:val="22"/>
          <w:szCs w:val="22"/>
          <w:lang w:val="en-US"/>
        </w:rPr>
        <w:t xml:space="preserve">That Australia ensures all employment data and reporting is disaggregated by </w:t>
      </w:r>
      <w:r w:rsidR="652E1763" w:rsidRPr="008E63AC">
        <w:rPr>
          <w:sz w:val="22"/>
          <w:szCs w:val="22"/>
          <w:lang w:val="en-US"/>
        </w:rPr>
        <w:t xml:space="preserve">variables capturing information about </w:t>
      </w:r>
      <w:r w:rsidRPr="008E63AC">
        <w:rPr>
          <w:sz w:val="22"/>
          <w:szCs w:val="22"/>
          <w:lang w:val="en-US"/>
        </w:rPr>
        <w:t xml:space="preserve">cultural and linguistic background to identify and address intersectional employment barriers. Employment programs must be </w:t>
      </w:r>
      <w:r w:rsidRPr="008E63AC">
        <w:rPr>
          <w:sz w:val="22"/>
          <w:szCs w:val="22"/>
          <w:lang w:val="en-US"/>
        </w:rPr>
        <w:lastRenderedPageBreak/>
        <w:t xml:space="preserve">culturally responsive and address the specific barriers faced by people with disability from </w:t>
      </w:r>
      <w:r w:rsidR="1CE631A0" w:rsidRPr="008E63AC">
        <w:rPr>
          <w:sz w:val="22"/>
          <w:szCs w:val="22"/>
          <w:lang w:val="en-US"/>
        </w:rPr>
        <w:t>CALD</w:t>
      </w:r>
      <w:r w:rsidRPr="008E63AC">
        <w:rPr>
          <w:sz w:val="22"/>
          <w:szCs w:val="22"/>
          <w:lang w:val="en-US"/>
        </w:rPr>
        <w:t xml:space="preserve"> backgrounds.</w:t>
      </w:r>
    </w:p>
    <w:p w14:paraId="5E485EDC" w14:textId="77777777" w:rsidR="007E5CBA" w:rsidRPr="008E63AC" w:rsidRDefault="2123A3D3" w:rsidP="001270DB">
      <w:pPr>
        <w:spacing w:line="240" w:lineRule="auto"/>
        <w:rPr>
          <w:rStyle w:val="Strong"/>
          <w:sz w:val="22"/>
          <w:szCs w:val="22"/>
        </w:rPr>
      </w:pPr>
      <w:r w:rsidRPr="008E63AC">
        <w:rPr>
          <w:rStyle w:val="Strong"/>
          <w:sz w:val="22"/>
          <w:szCs w:val="22"/>
        </w:rPr>
        <w:t>Women and girls with disability</w:t>
      </w:r>
    </w:p>
    <w:p w14:paraId="6414396A" w14:textId="04A18EC1" w:rsidR="001A26BF" w:rsidRPr="008E63AC" w:rsidRDefault="401F369A" w:rsidP="001270DB">
      <w:pPr>
        <w:spacing w:line="240" w:lineRule="auto"/>
        <w:rPr>
          <w:sz w:val="22"/>
          <w:szCs w:val="22"/>
        </w:rPr>
      </w:pPr>
      <w:r w:rsidRPr="008E63AC">
        <w:rPr>
          <w:sz w:val="22"/>
          <w:szCs w:val="22"/>
        </w:rPr>
        <w:t>In a recent survey by WWDA, 98.7% of respondents who were women with disability</w:t>
      </w:r>
      <w:r w:rsidR="00717911">
        <w:rPr>
          <w:sz w:val="22"/>
          <w:szCs w:val="22"/>
        </w:rPr>
        <w:t xml:space="preserve"> </w:t>
      </w:r>
      <w:r w:rsidRPr="008E63AC">
        <w:rPr>
          <w:sz w:val="22"/>
          <w:szCs w:val="22"/>
        </w:rPr>
        <w:t>reported barriers to finding or keeping work, including discrimination and ableism.</w:t>
      </w:r>
      <w:r w:rsidR="001A26BF" w:rsidRPr="008E63AC">
        <w:rPr>
          <w:rStyle w:val="FootnoteReference"/>
          <w:sz w:val="22"/>
          <w:szCs w:val="22"/>
        </w:rPr>
        <w:footnoteReference w:id="37"/>
      </w:r>
      <w:r w:rsidRPr="008E63AC">
        <w:rPr>
          <w:sz w:val="22"/>
          <w:szCs w:val="22"/>
        </w:rPr>
        <w:t xml:space="preserve"> While we </w:t>
      </w:r>
      <w:r w:rsidR="008956BE">
        <w:rPr>
          <w:sz w:val="22"/>
          <w:szCs w:val="22"/>
        </w:rPr>
        <w:t>note</w:t>
      </w:r>
      <w:r w:rsidR="00CC523B">
        <w:rPr>
          <w:sz w:val="22"/>
          <w:szCs w:val="22"/>
        </w:rPr>
        <w:t xml:space="preserve"> the</w:t>
      </w:r>
      <w:r w:rsidRPr="008E63AC">
        <w:rPr>
          <w:sz w:val="22"/>
          <w:szCs w:val="22"/>
        </w:rPr>
        <w:t xml:space="preserve"> progress toward</w:t>
      </w:r>
      <w:r w:rsidR="00CC77A7">
        <w:rPr>
          <w:sz w:val="22"/>
          <w:szCs w:val="22"/>
        </w:rPr>
        <w:t>s</w:t>
      </w:r>
      <w:r w:rsidRPr="008E63AC">
        <w:rPr>
          <w:sz w:val="22"/>
          <w:szCs w:val="22"/>
        </w:rPr>
        <w:t xml:space="preserve"> A</w:t>
      </w:r>
      <w:r w:rsidR="11CBDD97" w:rsidRPr="008E63AC">
        <w:rPr>
          <w:sz w:val="22"/>
          <w:szCs w:val="22"/>
        </w:rPr>
        <w:t xml:space="preserve">ustralian </w:t>
      </w:r>
      <w:r w:rsidRPr="008E63AC">
        <w:rPr>
          <w:sz w:val="22"/>
          <w:szCs w:val="22"/>
        </w:rPr>
        <w:t>P</w:t>
      </w:r>
      <w:r w:rsidR="11CBDD97" w:rsidRPr="008E63AC">
        <w:rPr>
          <w:sz w:val="22"/>
          <w:szCs w:val="22"/>
        </w:rPr>
        <w:t xml:space="preserve">ublic </w:t>
      </w:r>
      <w:r w:rsidRPr="008E63AC">
        <w:rPr>
          <w:sz w:val="22"/>
          <w:szCs w:val="22"/>
        </w:rPr>
        <w:t>S</w:t>
      </w:r>
      <w:r w:rsidR="11CBDD97" w:rsidRPr="008E63AC">
        <w:rPr>
          <w:sz w:val="22"/>
          <w:szCs w:val="22"/>
        </w:rPr>
        <w:t>ervice</w:t>
      </w:r>
      <w:r w:rsidRPr="008E63AC">
        <w:rPr>
          <w:sz w:val="22"/>
          <w:szCs w:val="22"/>
        </w:rPr>
        <w:t xml:space="preserve"> disability employment targets, Australia’s report does not provide gender-disability disaggregation or data on seniority. Without this, there is no visibility of whether women with disability are accessing leadership or secure roles.</w:t>
      </w:r>
    </w:p>
    <w:p w14:paraId="76EB86B3" w14:textId="30E92A86" w:rsidR="001A26BF" w:rsidRPr="008E63AC" w:rsidRDefault="401F369A" w:rsidP="001270DB">
      <w:pPr>
        <w:spacing w:line="240" w:lineRule="auto"/>
        <w:rPr>
          <w:sz w:val="22"/>
          <w:szCs w:val="22"/>
        </w:rPr>
      </w:pPr>
      <w:r w:rsidRPr="008E63AC">
        <w:rPr>
          <w:b/>
          <w:bCs/>
          <w:sz w:val="22"/>
          <w:szCs w:val="22"/>
        </w:rPr>
        <w:t xml:space="preserve">Recommendation 12: </w:t>
      </w:r>
      <w:r w:rsidRPr="008E63AC">
        <w:rPr>
          <w:sz w:val="22"/>
          <w:szCs w:val="22"/>
        </w:rPr>
        <w:t xml:space="preserve">Australia must ensure that all elements of employment reform </w:t>
      </w:r>
      <w:r w:rsidR="009E3B69">
        <w:rPr>
          <w:sz w:val="22"/>
          <w:szCs w:val="22"/>
        </w:rPr>
        <w:t>are</w:t>
      </w:r>
      <w:r w:rsidRPr="008E63AC">
        <w:rPr>
          <w:sz w:val="22"/>
          <w:szCs w:val="22"/>
        </w:rPr>
        <w:t xml:space="preserve"> co-designed with women and gender-diverse people with disability to ensure that the unique forms of discrimination and abuse against this cohort </w:t>
      </w:r>
      <w:r w:rsidR="009E3B69">
        <w:rPr>
          <w:sz w:val="22"/>
          <w:szCs w:val="22"/>
        </w:rPr>
        <w:t>are</w:t>
      </w:r>
      <w:r w:rsidRPr="008E63AC">
        <w:rPr>
          <w:sz w:val="22"/>
          <w:szCs w:val="22"/>
        </w:rPr>
        <w:t xml:space="preserve"> properly addressed. </w:t>
      </w:r>
    </w:p>
    <w:p w14:paraId="0994B6B3" w14:textId="63CD8AD6" w:rsidR="001A26BF" w:rsidRPr="00F06620" w:rsidRDefault="401F369A" w:rsidP="001270DB">
      <w:pPr>
        <w:pStyle w:val="Heading3"/>
        <w:numPr>
          <w:ilvl w:val="0"/>
          <w:numId w:val="17"/>
        </w:numPr>
        <w:spacing w:line="240" w:lineRule="auto"/>
        <w:rPr>
          <w:lang w:val="en-US"/>
        </w:rPr>
      </w:pPr>
      <w:bookmarkStart w:id="26" w:name="_Toc219209850"/>
      <w:r w:rsidRPr="7CD4A099">
        <w:rPr>
          <w:lang w:val="en-US"/>
        </w:rPr>
        <w:t xml:space="preserve">Forced </w:t>
      </w:r>
      <w:proofErr w:type="spellStart"/>
      <w:r w:rsidRPr="7CD4A099">
        <w:rPr>
          <w:lang w:val="en-US"/>
        </w:rPr>
        <w:t>sterilisation</w:t>
      </w:r>
      <w:proofErr w:type="spellEnd"/>
      <w:r w:rsidRPr="7CD4A099">
        <w:rPr>
          <w:lang w:val="en-US"/>
        </w:rPr>
        <w:t xml:space="preserve"> [116-117]</w:t>
      </w:r>
      <w:bookmarkEnd w:id="26"/>
    </w:p>
    <w:p w14:paraId="24B813AC" w14:textId="6191C6E3" w:rsidR="001A26BF" w:rsidRPr="008E63AC" w:rsidRDefault="496D986C" w:rsidP="001270DB">
      <w:pPr>
        <w:spacing w:line="240" w:lineRule="auto"/>
        <w:rPr>
          <w:sz w:val="22"/>
          <w:szCs w:val="22"/>
        </w:rPr>
      </w:pPr>
      <w:r w:rsidRPr="008E63AC">
        <w:rPr>
          <w:sz w:val="22"/>
          <w:szCs w:val="22"/>
        </w:rPr>
        <w:t>We</w:t>
      </w:r>
      <w:r w:rsidR="401F369A" w:rsidRPr="008E63AC">
        <w:rPr>
          <w:sz w:val="22"/>
          <w:szCs w:val="22"/>
        </w:rPr>
        <w:t xml:space="preserve"> are concerned </w:t>
      </w:r>
      <w:r w:rsidR="11CBDD97" w:rsidRPr="008E63AC">
        <w:rPr>
          <w:sz w:val="22"/>
          <w:szCs w:val="22"/>
        </w:rPr>
        <w:t>that the practice of forced sterilisation continues</w:t>
      </w:r>
      <w:r w:rsidR="007F572B">
        <w:rPr>
          <w:sz w:val="22"/>
          <w:szCs w:val="22"/>
        </w:rPr>
        <w:t xml:space="preserve"> in Australia</w:t>
      </w:r>
      <w:r w:rsidRPr="008E63AC">
        <w:rPr>
          <w:sz w:val="22"/>
          <w:szCs w:val="22"/>
        </w:rPr>
        <w:t xml:space="preserve">. </w:t>
      </w:r>
      <w:r w:rsidR="401F369A" w:rsidRPr="008E63AC">
        <w:rPr>
          <w:sz w:val="22"/>
          <w:szCs w:val="22"/>
        </w:rPr>
        <w:t xml:space="preserve">We reject the use of ‘non-therapeutic’ terminology because it maintains a pathway for sterilisation to be approved under a ‘therapeutic’ label, despite the absence of immediate medical necessity. Contrary to the connotation of ‘therapeutic’ encompassing clinical grounds, these procedures are routinely justified through gendered and ableist assumptions, including that disabled women cannot manage menstruation, should not become pregnant or would be unfit parents. </w:t>
      </w:r>
    </w:p>
    <w:p w14:paraId="18A0AD29" w14:textId="239B98AD" w:rsidR="001A26BF" w:rsidRPr="008E63AC" w:rsidRDefault="401F369A" w:rsidP="001270DB">
      <w:pPr>
        <w:spacing w:line="240" w:lineRule="auto"/>
        <w:rPr>
          <w:sz w:val="22"/>
          <w:szCs w:val="22"/>
        </w:rPr>
      </w:pPr>
      <w:r w:rsidRPr="008E63AC">
        <w:rPr>
          <w:sz w:val="22"/>
          <w:szCs w:val="22"/>
        </w:rPr>
        <w:t>The Disability Royal Commission recommended that the Australian Government, states and territories should legislate by the end of 2024 to prohibit non-therapeutic sterilisation of people with disability, except where there is a threat to the life of the person with disability were the procedure not performed or where an adult with disability has given voluntary and informed consent, with support for decision-making if required.</w:t>
      </w:r>
      <w:r w:rsidR="001A26BF" w:rsidRPr="008E63AC">
        <w:rPr>
          <w:rStyle w:val="FootnoteReference"/>
          <w:sz w:val="22"/>
          <w:szCs w:val="22"/>
        </w:rPr>
        <w:footnoteReference w:id="38"/>
      </w:r>
      <w:r w:rsidR="1BD2B804" w:rsidRPr="008E63AC">
        <w:rPr>
          <w:sz w:val="22"/>
          <w:szCs w:val="22"/>
        </w:rPr>
        <w:t xml:space="preserve"> </w:t>
      </w:r>
      <w:r w:rsidRPr="008E63AC">
        <w:rPr>
          <w:sz w:val="22"/>
          <w:szCs w:val="22"/>
        </w:rPr>
        <w:t>Unfortunately, two years after the Disability Royal Commission, the Australian Government’s Progress Report states that the Government continues to consider the recommendation, with no commitment to its implementation.</w:t>
      </w:r>
      <w:r w:rsidR="001A26BF" w:rsidRPr="008E63AC">
        <w:rPr>
          <w:rStyle w:val="FootnoteReference"/>
          <w:sz w:val="22"/>
          <w:szCs w:val="22"/>
        </w:rPr>
        <w:footnoteReference w:id="39"/>
      </w:r>
    </w:p>
    <w:p w14:paraId="470DC785" w14:textId="500347CE" w:rsidR="00A51F6E" w:rsidRDefault="401F369A" w:rsidP="001270DB">
      <w:pPr>
        <w:spacing w:line="240" w:lineRule="auto"/>
      </w:pPr>
      <w:r w:rsidRPr="008E63AC">
        <w:rPr>
          <w:b/>
          <w:bCs/>
          <w:sz w:val="22"/>
          <w:szCs w:val="22"/>
        </w:rPr>
        <w:t>Recommendation 1</w:t>
      </w:r>
      <w:r w:rsidR="00FF3FB5">
        <w:rPr>
          <w:b/>
          <w:bCs/>
          <w:sz w:val="22"/>
          <w:szCs w:val="22"/>
        </w:rPr>
        <w:t>3</w:t>
      </w:r>
      <w:r w:rsidRPr="008E63AC">
        <w:rPr>
          <w:b/>
          <w:bCs/>
          <w:sz w:val="22"/>
          <w:szCs w:val="22"/>
        </w:rPr>
        <w:t xml:space="preserve">: </w:t>
      </w:r>
      <w:r w:rsidRPr="008E63AC">
        <w:rPr>
          <w:sz w:val="22"/>
          <w:szCs w:val="22"/>
        </w:rPr>
        <w:t>That the Australian Government develops national legislation to prohibit all forms of forced sterilisation, forced contraception and non-consensual menstrual suppression without a person’s free, prior and informed consent. This must be</w:t>
      </w:r>
      <w:r>
        <w:t xml:space="preserve"> </w:t>
      </w:r>
      <w:r w:rsidRPr="008E63AC">
        <w:rPr>
          <w:sz w:val="22"/>
          <w:szCs w:val="22"/>
        </w:rPr>
        <w:t>accompanied by embedding supported decision-making and accessible reproductive healthcare across systems to ensure that sexual and reproductive autonomy is upheld in practice.</w:t>
      </w:r>
    </w:p>
    <w:p w14:paraId="138BE615" w14:textId="34431738" w:rsidR="001A26BF" w:rsidRPr="00D8743E" w:rsidRDefault="401F369A" w:rsidP="001270DB">
      <w:pPr>
        <w:pStyle w:val="Heading1"/>
        <w:spacing w:line="240" w:lineRule="auto"/>
        <w:rPr>
          <w:bCs/>
          <w:sz w:val="36"/>
          <w:szCs w:val="36"/>
        </w:rPr>
      </w:pPr>
      <w:bookmarkStart w:id="27" w:name="_Toc219209851"/>
      <w:r w:rsidRPr="00D8743E">
        <w:rPr>
          <w:sz w:val="36"/>
          <w:szCs w:val="36"/>
        </w:rPr>
        <w:t xml:space="preserve">Part 3 </w:t>
      </w:r>
      <w:r w:rsidR="054746F5" w:rsidRPr="00D8743E">
        <w:rPr>
          <w:sz w:val="36"/>
          <w:szCs w:val="36"/>
        </w:rPr>
        <w:t>–</w:t>
      </w:r>
      <w:r w:rsidRPr="00D8743E">
        <w:rPr>
          <w:sz w:val="36"/>
          <w:szCs w:val="36"/>
        </w:rPr>
        <w:t xml:space="preserve"> </w:t>
      </w:r>
      <w:r w:rsidR="054746F5" w:rsidRPr="00D8743E">
        <w:rPr>
          <w:sz w:val="36"/>
          <w:szCs w:val="36"/>
        </w:rPr>
        <w:t>General sections</w:t>
      </w:r>
      <w:bookmarkEnd w:id="27"/>
    </w:p>
    <w:p w14:paraId="6791C083" w14:textId="560B3772" w:rsidR="00360B7A" w:rsidRPr="003E2E28" w:rsidRDefault="054746F5" w:rsidP="001270DB">
      <w:pPr>
        <w:pStyle w:val="Heading3"/>
        <w:numPr>
          <w:ilvl w:val="0"/>
          <w:numId w:val="28"/>
        </w:numPr>
        <w:spacing w:line="240" w:lineRule="auto"/>
      </w:pPr>
      <w:bookmarkStart w:id="28" w:name="_Toc219209852"/>
      <w:r>
        <w:t>Social security [229–234]</w:t>
      </w:r>
      <w:bookmarkEnd w:id="28"/>
    </w:p>
    <w:p w14:paraId="3B1F3E7F" w14:textId="4B2C7D34" w:rsidR="000D1154" w:rsidRPr="00D27489" w:rsidRDefault="6F8E24C3" w:rsidP="001270DB">
      <w:pPr>
        <w:spacing w:line="240" w:lineRule="auto"/>
        <w:rPr>
          <w:color w:val="000000" w:themeColor="text1"/>
          <w:sz w:val="22"/>
          <w:szCs w:val="22"/>
        </w:rPr>
      </w:pPr>
      <w:r w:rsidRPr="00D27489">
        <w:rPr>
          <w:color w:val="000000" w:themeColor="text1"/>
          <w:sz w:val="22"/>
          <w:szCs w:val="22"/>
        </w:rPr>
        <w:t xml:space="preserve">With the cost of living on the rise, people with </w:t>
      </w:r>
      <w:r w:rsidR="616B8884" w:rsidRPr="00D27489">
        <w:rPr>
          <w:color w:val="000000" w:themeColor="text1"/>
          <w:sz w:val="22"/>
          <w:szCs w:val="22"/>
        </w:rPr>
        <w:t>disability</w:t>
      </w:r>
      <w:r w:rsidRPr="00D27489">
        <w:rPr>
          <w:color w:val="000000" w:themeColor="text1"/>
          <w:sz w:val="22"/>
          <w:szCs w:val="22"/>
        </w:rPr>
        <w:t xml:space="preserve"> who rely on social security payments struggle to maintain an adequate standard of living</w:t>
      </w:r>
      <w:r w:rsidR="4C5D8F40" w:rsidRPr="00D27489">
        <w:rPr>
          <w:color w:val="000000" w:themeColor="text1"/>
          <w:sz w:val="22"/>
          <w:szCs w:val="22"/>
        </w:rPr>
        <w:t xml:space="preserve">, with many living below the poverty </w:t>
      </w:r>
      <w:r w:rsidR="4C5D8F40" w:rsidRPr="00D27489">
        <w:rPr>
          <w:color w:val="000000" w:themeColor="text1"/>
          <w:sz w:val="22"/>
          <w:szCs w:val="22"/>
        </w:rPr>
        <w:lastRenderedPageBreak/>
        <w:t>line.</w:t>
      </w:r>
      <w:r w:rsidR="00360B7A" w:rsidRPr="00D27489">
        <w:rPr>
          <w:rStyle w:val="FootnoteReference"/>
          <w:color w:val="000000" w:themeColor="text1"/>
          <w:sz w:val="22"/>
          <w:szCs w:val="22"/>
        </w:rPr>
        <w:footnoteReference w:id="40"/>
      </w:r>
      <w:r w:rsidR="5527D705" w:rsidRPr="00D27489">
        <w:rPr>
          <w:color w:val="000000" w:themeColor="text1"/>
          <w:sz w:val="22"/>
          <w:szCs w:val="22"/>
        </w:rPr>
        <w:t xml:space="preserve"> </w:t>
      </w:r>
      <w:r w:rsidR="00EF3554" w:rsidRPr="00D27489">
        <w:rPr>
          <w:color w:val="000000" w:themeColor="text1"/>
          <w:sz w:val="22"/>
          <w:szCs w:val="22"/>
        </w:rPr>
        <w:t> </w:t>
      </w:r>
      <w:r w:rsidR="00027AB7" w:rsidRPr="00D27489">
        <w:rPr>
          <w:color w:val="000000" w:themeColor="text1"/>
          <w:sz w:val="22"/>
          <w:szCs w:val="22"/>
        </w:rPr>
        <w:t>P</w:t>
      </w:r>
      <w:r w:rsidR="00EF3554" w:rsidRPr="00D27489">
        <w:rPr>
          <w:color w:val="000000" w:themeColor="text1"/>
          <w:sz w:val="22"/>
          <w:szCs w:val="22"/>
        </w:rPr>
        <w:t xml:space="preserve">eople with disability </w:t>
      </w:r>
      <w:r w:rsidR="001F0069">
        <w:rPr>
          <w:color w:val="000000" w:themeColor="text1"/>
          <w:sz w:val="22"/>
          <w:szCs w:val="22"/>
        </w:rPr>
        <w:t>bear</w:t>
      </w:r>
      <w:r w:rsidR="00EF3554" w:rsidRPr="00D27489">
        <w:rPr>
          <w:color w:val="000000" w:themeColor="text1"/>
          <w:sz w:val="22"/>
          <w:szCs w:val="22"/>
        </w:rPr>
        <w:t xml:space="preserve"> extra costs associated with disability</w:t>
      </w:r>
      <w:r w:rsidR="000D1154" w:rsidRPr="00D27489">
        <w:rPr>
          <w:color w:val="000000" w:themeColor="text1"/>
          <w:sz w:val="22"/>
          <w:szCs w:val="22"/>
        </w:rPr>
        <w:t xml:space="preserve"> </w:t>
      </w:r>
      <w:r w:rsidR="00027AB7" w:rsidRPr="00D27489">
        <w:rPr>
          <w:color w:val="000000" w:themeColor="text1"/>
          <w:sz w:val="22"/>
          <w:szCs w:val="22"/>
        </w:rPr>
        <w:t>and i</w:t>
      </w:r>
      <w:r w:rsidR="00A96088" w:rsidRPr="00D27489">
        <w:rPr>
          <w:color w:val="000000" w:themeColor="text1"/>
          <w:sz w:val="22"/>
          <w:szCs w:val="22"/>
        </w:rPr>
        <w:t>ncome support and associated payments must be increased to reflect this.</w:t>
      </w:r>
      <w:r w:rsidR="00027AB7" w:rsidRPr="00D27489">
        <w:rPr>
          <w:color w:val="000000" w:themeColor="text1"/>
          <w:sz w:val="22"/>
          <w:szCs w:val="22"/>
        </w:rPr>
        <w:t xml:space="preserve"> </w:t>
      </w:r>
    </w:p>
    <w:p w14:paraId="6E5C9DC8" w14:textId="69C5BF5F" w:rsidR="00360B7A" w:rsidRPr="00D27489" w:rsidRDefault="00027AB7" w:rsidP="001270DB">
      <w:pPr>
        <w:spacing w:line="240" w:lineRule="auto"/>
        <w:rPr>
          <w:color w:val="000000" w:themeColor="text1"/>
          <w:sz w:val="22"/>
          <w:szCs w:val="22"/>
        </w:rPr>
      </w:pPr>
      <w:r w:rsidRPr="00D27489">
        <w:rPr>
          <w:color w:val="000000" w:themeColor="text1"/>
          <w:sz w:val="22"/>
          <w:szCs w:val="22"/>
        </w:rPr>
        <w:t>We also note that p</w:t>
      </w:r>
      <w:r w:rsidR="48745611" w:rsidRPr="00D27489">
        <w:rPr>
          <w:color w:val="000000" w:themeColor="text1"/>
          <w:sz w:val="22"/>
          <w:szCs w:val="22"/>
        </w:rPr>
        <w:t>eople with disability face barriers in</w:t>
      </w:r>
      <w:r w:rsidR="054746F5" w:rsidRPr="00D27489">
        <w:rPr>
          <w:color w:val="000000" w:themeColor="text1"/>
          <w:sz w:val="22"/>
          <w:szCs w:val="22"/>
        </w:rPr>
        <w:t xml:space="preserve"> meeting </w:t>
      </w:r>
      <w:r w:rsidR="70E9DF68" w:rsidRPr="00D27489">
        <w:rPr>
          <w:color w:val="000000" w:themeColor="text1"/>
          <w:sz w:val="22"/>
          <w:szCs w:val="22"/>
        </w:rPr>
        <w:t>the</w:t>
      </w:r>
      <w:r w:rsidR="2F59A276" w:rsidRPr="00D27489">
        <w:rPr>
          <w:color w:val="000000" w:themeColor="text1"/>
          <w:sz w:val="22"/>
          <w:szCs w:val="22"/>
        </w:rPr>
        <w:t xml:space="preserve"> Disability Support Pension's (DSP)</w:t>
      </w:r>
      <w:r w:rsidR="70E9DF68" w:rsidRPr="00D27489">
        <w:rPr>
          <w:color w:val="000000" w:themeColor="text1"/>
          <w:sz w:val="22"/>
          <w:szCs w:val="22"/>
        </w:rPr>
        <w:t xml:space="preserve"> </w:t>
      </w:r>
      <w:r w:rsidR="054746F5" w:rsidRPr="00D27489">
        <w:rPr>
          <w:color w:val="000000" w:themeColor="text1"/>
          <w:sz w:val="22"/>
          <w:szCs w:val="22"/>
        </w:rPr>
        <w:t>restrictive eligibility criteria, including the requirement for conditions to be ‘diagnosed, treated and stabilised’, which is incompatible with many chronic and episodic disabilities, where symptoms may fluctuate.</w:t>
      </w:r>
    </w:p>
    <w:p w14:paraId="721DE5E9" w14:textId="318F5067" w:rsidR="00360B7A" w:rsidRPr="00D27489" w:rsidRDefault="054746F5" w:rsidP="001270DB">
      <w:pPr>
        <w:spacing w:line="240" w:lineRule="auto"/>
        <w:rPr>
          <w:sz w:val="22"/>
          <w:szCs w:val="22"/>
        </w:rPr>
      </w:pPr>
      <w:r w:rsidRPr="00D27489">
        <w:rPr>
          <w:b/>
          <w:bCs/>
          <w:sz w:val="22"/>
          <w:szCs w:val="22"/>
        </w:rPr>
        <w:t>Recommendation 1</w:t>
      </w:r>
      <w:r w:rsidR="00FF3FB5">
        <w:rPr>
          <w:b/>
          <w:bCs/>
          <w:sz w:val="22"/>
          <w:szCs w:val="22"/>
        </w:rPr>
        <w:t>4</w:t>
      </w:r>
      <w:r w:rsidRPr="00D27489">
        <w:rPr>
          <w:b/>
          <w:bCs/>
          <w:sz w:val="22"/>
          <w:szCs w:val="22"/>
        </w:rPr>
        <w:t xml:space="preserve">: </w:t>
      </w:r>
      <w:r w:rsidRPr="00D27489">
        <w:rPr>
          <w:sz w:val="22"/>
          <w:szCs w:val="22"/>
        </w:rPr>
        <w:t xml:space="preserve">That Australia ensures that its social security measures, including </w:t>
      </w:r>
      <w:proofErr w:type="spellStart"/>
      <w:r w:rsidRPr="00D27489">
        <w:rPr>
          <w:sz w:val="22"/>
          <w:szCs w:val="22"/>
        </w:rPr>
        <w:t>JobSeeker</w:t>
      </w:r>
      <w:proofErr w:type="spellEnd"/>
      <w:r w:rsidR="598C0773" w:rsidRPr="00D27489">
        <w:rPr>
          <w:sz w:val="22"/>
          <w:szCs w:val="22"/>
        </w:rPr>
        <w:t xml:space="preserve">, the </w:t>
      </w:r>
      <w:r w:rsidRPr="00D27489">
        <w:rPr>
          <w:sz w:val="22"/>
          <w:szCs w:val="22"/>
        </w:rPr>
        <w:t>Disability Support Pension</w:t>
      </w:r>
      <w:r w:rsidR="00A96088" w:rsidRPr="00D27489">
        <w:rPr>
          <w:sz w:val="22"/>
          <w:szCs w:val="22"/>
        </w:rPr>
        <w:t xml:space="preserve"> and </w:t>
      </w:r>
      <w:r w:rsidR="5767575E" w:rsidRPr="00D27489">
        <w:rPr>
          <w:sz w:val="22"/>
          <w:szCs w:val="22"/>
        </w:rPr>
        <w:t>Rent Assistance</w:t>
      </w:r>
      <w:r w:rsidRPr="00D27489">
        <w:rPr>
          <w:sz w:val="22"/>
          <w:szCs w:val="22"/>
        </w:rPr>
        <w:t xml:space="preserve"> are fit for purpose for all people with disability</w:t>
      </w:r>
      <w:r w:rsidR="006C0DBE" w:rsidRPr="00D27489">
        <w:rPr>
          <w:sz w:val="22"/>
          <w:szCs w:val="22"/>
        </w:rPr>
        <w:t>.</w:t>
      </w:r>
      <w:r w:rsidR="37620030" w:rsidRPr="00D27489">
        <w:rPr>
          <w:sz w:val="22"/>
          <w:szCs w:val="22"/>
        </w:rPr>
        <w:t xml:space="preserve"> Payment rates must be increased to ensure people with disability have financial stability and can live above the poverty line. </w:t>
      </w:r>
    </w:p>
    <w:p w14:paraId="16E7FCE9" w14:textId="2FB76BC2" w:rsidR="002A6046" w:rsidRPr="00D27489" w:rsidRDefault="6FF67D67" w:rsidP="001270DB">
      <w:pPr>
        <w:spacing w:line="240" w:lineRule="auto"/>
        <w:rPr>
          <w:rStyle w:val="Strong"/>
          <w:sz w:val="22"/>
          <w:szCs w:val="22"/>
        </w:rPr>
      </w:pPr>
      <w:r w:rsidRPr="00D27489">
        <w:rPr>
          <w:rStyle w:val="Strong"/>
          <w:sz w:val="22"/>
          <w:szCs w:val="22"/>
        </w:rPr>
        <w:t xml:space="preserve">People with disability from </w:t>
      </w:r>
      <w:r w:rsidR="1CE631A0" w:rsidRPr="00D27489">
        <w:rPr>
          <w:rStyle w:val="Strong"/>
          <w:sz w:val="22"/>
          <w:szCs w:val="22"/>
        </w:rPr>
        <w:t>CALD</w:t>
      </w:r>
      <w:r w:rsidRPr="00D27489">
        <w:rPr>
          <w:rStyle w:val="Strong"/>
          <w:sz w:val="22"/>
          <w:szCs w:val="22"/>
        </w:rPr>
        <w:t xml:space="preserve"> backgrounds</w:t>
      </w:r>
    </w:p>
    <w:p w14:paraId="1CC47DA3" w14:textId="68FEACDA" w:rsidR="00360B7A" w:rsidRPr="00D27489" w:rsidRDefault="6FF67D67" w:rsidP="001270DB">
      <w:pPr>
        <w:spacing w:line="240" w:lineRule="auto"/>
        <w:rPr>
          <w:sz w:val="22"/>
          <w:szCs w:val="22"/>
        </w:rPr>
      </w:pPr>
      <w:r w:rsidRPr="00D27489">
        <w:rPr>
          <w:sz w:val="22"/>
          <w:szCs w:val="22"/>
        </w:rPr>
        <w:t>In describing the DSP, Australia’s report</w:t>
      </w:r>
      <w:r w:rsidR="054746F5" w:rsidRPr="00D27489">
        <w:rPr>
          <w:sz w:val="22"/>
          <w:szCs w:val="22"/>
        </w:rPr>
        <w:t xml:space="preserve"> does not mention documented barriers</w:t>
      </w:r>
      <w:r w:rsidR="00CA7EDA" w:rsidRPr="00D27489">
        <w:rPr>
          <w:rStyle w:val="FootnoteReference"/>
          <w:sz w:val="22"/>
          <w:szCs w:val="22"/>
        </w:rPr>
        <w:footnoteReference w:id="41"/>
      </w:r>
      <w:r w:rsidR="054746F5" w:rsidRPr="00D27489">
        <w:rPr>
          <w:sz w:val="22"/>
          <w:szCs w:val="22"/>
        </w:rPr>
        <w:t xml:space="preserve"> for people from </w:t>
      </w:r>
      <w:r w:rsidR="1CE631A0" w:rsidRPr="00D27489">
        <w:rPr>
          <w:sz w:val="22"/>
          <w:szCs w:val="22"/>
        </w:rPr>
        <w:t>CALD</w:t>
      </w:r>
      <w:r w:rsidR="054746F5" w:rsidRPr="00D27489">
        <w:rPr>
          <w:sz w:val="22"/>
          <w:szCs w:val="22"/>
        </w:rPr>
        <w:t xml:space="preserve"> backgrounds accessing DSP, including: </w:t>
      </w:r>
    </w:p>
    <w:p w14:paraId="39148F76" w14:textId="77777777" w:rsidR="00360B7A" w:rsidRPr="00D27489" w:rsidRDefault="054746F5" w:rsidP="001270DB">
      <w:pPr>
        <w:pStyle w:val="ListParagraph"/>
        <w:numPr>
          <w:ilvl w:val="0"/>
          <w:numId w:val="30"/>
        </w:numPr>
        <w:spacing w:before="0" w:after="160" w:line="240" w:lineRule="auto"/>
        <w:contextualSpacing/>
        <w:rPr>
          <w:sz w:val="22"/>
          <w:szCs w:val="22"/>
        </w:rPr>
      </w:pPr>
      <w:r w:rsidRPr="00D27489">
        <w:rPr>
          <w:sz w:val="22"/>
          <w:szCs w:val="22"/>
        </w:rPr>
        <w:t xml:space="preserve">Complex application processes requiring high English literacy </w:t>
      </w:r>
    </w:p>
    <w:p w14:paraId="64D080A6" w14:textId="77777777" w:rsidR="00360B7A" w:rsidRPr="00D27489" w:rsidRDefault="054746F5" w:rsidP="001270DB">
      <w:pPr>
        <w:pStyle w:val="ListParagraph"/>
        <w:numPr>
          <w:ilvl w:val="0"/>
          <w:numId w:val="30"/>
        </w:numPr>
        <w:spacing w:before="0" w:after="160" w:line="240" w:lineRule="auto"/>
        <w:contextualSpacing/>
        <w:rPr>
          <w:sz w:val="22"/>
          <w:szCs w:val="22"/>
        </w:rPr>
      </w:pPr>
      <w:r w:rsidRPr="00D27489">
        <w:rPr>
          <w:sz w:val="22"/>
          <w:szCs w:val="22"/>
        </w:rPr>
        <w:t xml:space="preserve">Medical evidence requirements that disadvantage people whose medical providers have limited English proficiency </w:t>
      </w:r>
    </w:p>
    <w:p w14:paraId="2DE457E4" w14:textId="08B56C1E" w:rsidR="00360B7A" w:rsidRPr="00D27489" w:rsidRDefault="054746F5" w:rsidP="001270DB">
      <w:pPr>
        <w:pStyle w:val="ListParagraph"/>
        <w:numPr>
          <w:ilvl w:val="0"/>
          <w:numId w:val="30"/>
        </w:numPr>
        <w:spacing w:before="0" w:after="160" w:line="240" w:lineRule="auto"/>
        <w:contextualSpacing/>
        <w:rPr>
          <w:sz w:val="22"/>
          <w:szCs w:val="22"/>
        </w:rPr>
      </w:pPr>
      <w:r w:rsidRPr="00D27489">
        <w:rPr>
          <w:sz w:val="22"/>
          <w:szCs w:val="22"/>
        </w:rPr>
        <w:t>Assessment processes that do</w:t>
      </w:r>
      <w:r w:rsidR="00D74214">
        <w:rPr>
          <w:sz w:val="22"/>
          <w:szCs w:val="22"/>
        </w:rPr>
        <w:t xml:space="preserve"> not</w:t>
      </w:r>
      <w:r w:rsidRPr="00D27489">
        <w:rPr>
          <w:sz w:val="22"/>
          <w:szCs w:val="22"/>
        </w:rPr>
        <w:t xml:space="preserve"> account for cultural expressions of disability or pain</w:t>
      </w:r>
    </w:p>
    <w:p w14:paraId="2C0C9BC6" w14:textId="0ADE078A" w:rsidR="00360B7A" w:rsidRPr="00D27489" w:rsidRDefault="054746F5" w:rsidP="001270DB">
      <w:pPr>
        <w:pStyle w:val="ListParagraph"/>
        <w:numPr>
          <w:ilvl w:val="0"/>
          <w:numId w:val="30"/>
        </w:numPr>
        <w:spacing w:before="0" w:after="160" w:line="240" w:lineRule="auto"/>
        <w:contextualSpacing/>
        <w:rPr>
          <w:sz w:val="22"/>
          <w:szCs w:val="22"/>
        </w:rPr>
      </w:pPr>
      <w:r w:rsidRPr="00D27489">
        <w:rPr>
          <w:sz w:val="22"/>
          <w:szCs w:val="22"/>
        </w:rPr>
        <w:t xml:space="preserve">Lack of adequate information and supports to inform and empower people with disability from </w:t>
      </w:r>
      <w:r w:rsidR="1CE631A0" w:rsidRPr="00D27489">
        <w:rPr>
          <w:sz w:val="22"/>
          <w:szCs w:val="22"/>
        </w:rPr>
        <w:t>CALD</w:t>
      </w:r>
      <w:r w:rsidRPr="00D27489">
        <w:rPr>
          <w:sz w:val="22"/>
          <w:szCs w:val="22"/>
        </w:rPr>
        <w:t xml:space="preserve"> backgrounds to access services</w:t>
      </w:r>
      <w:r w:rsidR="6FF67D67" w:rsidRPr="00D27489">
        <w:rPr>
          <w:sz w:val="22"/>
          <w:szCs w:val="22"/>
        </w:rPr>
        <w:t>.</w:t>
      </w:r>
      <w:r w:rsidRPr="00D27489">
        <w:rPr>
          <w:sz w:val="22"/>
          <w:szCs w:val="22"/>
        </w:rPr>
        <w:t xml:space="preserve"> </w:t>
      </w:r>
    </w:p>
    <w:p w14:paraId="7AC0BB84" w14:textId="08DDC4C0" w:rsidR="00360B7A" w:rsidRPr="00537D19" w:rsidRDefault="054746F5" w:rsidP="001270DB">
      <w:pPr>
        <w:spacing w:line="240" w:lineRule="auto"/>
      </w:pPr>
      <w:r w:rsidRPr="00D27489">
        <w:rPr>
          <w:sz w:val="22"/>
          <w:szCs w:val="22"/>
        </w:rPr>
        <w:t xml:space="preserve">In addition, Australia's Report discusses poverty measurement using various indicators, but provides no data specific to people with disability from </w:t>
      </w:r>
      <w:r w:rsidR="1CE631A0" w:rsidRPr="00D27489">
        <w:rPr>
          <w:sz w:val="22"/>
          <w:szCs w:val="22"/>
        </w:rPr>
        <w:t>CALD</w:t>
      </w:r>
      <w:r w:rsidRPr="00D27489">
        <w:rPr>
          <w:sz w:val="22"/>
          <w:szCs w:val="22"/>
        </w:rPr>
        <w:t xml:space="preserve"> backgrounds.</w:t>
      </w:r>
      <w:r w:rsidR="00360B7A" w:rsidRPr="00D27489">
        <w:rPr>
          <w:rStyle w:val="FootnoteReference"/>
          <w:sz w:val="22"/>
          <w:szCs w:val="22"/>
        </w:rPr>
        <w:footnoteReference w:id="42"/>
      </w:r>
      <w:r w:rsidRPr="00D27489">
        <w:rPr>
          <w:sz w:val="22"/>
          <w:szCs w:val="22"/>
        </w:rPr>
        <w:t xml:space="preserve"> People with disability from </w:t>
      </w:r>
      <w:r w:rsidR="1CE631A0" w:rsidRPr="00D27489">
        <w:rPr>
          <w:sz w:val="22"/>
          <w:szCs w:val="22"/>
        </w:rPr>
        <w:t>CALD</w:t>
      </w:r>
      <w:r w:rsidRPr="00D27489">
        <w:rPr>
          <w:sz w:val="22"/>
          <w:szCs w:val="22"/>
        </w:rPr>
        <w:t xml:space="preserve"> backgrounds are at higher risk of experiencing violence and abuse when compared to the general population of people with disability.</w:t>
      </w:r>
      <w:r w:rsidR="00CA7EDA" w:rsidRPr="00D27489">
        <w:rPr>
          <w:rStyle w:val="FootnoteReference"/>
          <w:sz w:val="22"/>
          <w:szCs w:val="22"/>
        </w:rPr>
        <w:footnoteReference w:id="43"/>
      </w:r>
      <w:r w:rsidRPr="00D27489">
        <w:rPr>
          <w:sz w:val="22"/>
          <w:szCs w:val="22"/>
        </w:rPr>
        <w:t xml:space="preserve"> They are also less likely to have access to support.</w:t>
      </w:r>
      <w:r w:rsidR="00CA7EDA" w:rsidRPr="00D27489">
        <w:rPr>
          <w:rStyle w:val="FootnoteReference"/>
          <w:sz w:val="22"/>
          <w:szCs w:val="22"/>
        </w:rPr>
        <w:footnoteReference w:id="44"/>
      </w:r>
    </w:p>
    <w:p w14:paraId="4EE6A6D2" w14:textId="0E736A49" w:rsidR="00360B7A" w:rsidRPr="00D27489" w:rsidRDefault="054746F5" w:rsidP="001270DB">
      <w:pPr>
        <w:spacing w:line="240" w:lineRule="auto"/>
        <w:rPr>
          <w:sz w:val="22"/>
          <w:szCs w:val="22"/>
        </w:rPr>
      </w:pPr>
      <w:r w:rsidRPr="00D27489">
        <w:rPr>
          <w:sz w:val="22"/>
          <w:szCs w:val="22"/>
        </w:rPr>
        <w:t xml:space="preserve">The absence of culturally-disaggregated poverty and social security data obscures the extent of economic hardship among people with disability from </w:t>
      </w:r>
      <w:r w:rsidR="1CE631A0" w:rsidRPr="00D27489">
        <w:rPr>
          <w:sz w:val="22"/>
          <w:szCs w:val="22"/>
        </w:rPr>
        <w:t>CALD</w:t>
      </w:r>
      <w:r w:rsidRPr="00D27489">
        <w:rPr>
          <w:sz w:val="22"/>
          <w:szCs w:val="22"/>
        </w:rPr>
        <w:t xml:space="preserve"> backgrounds and prevents targeted policy responses. </w:t>
      </w:r>
    </w:p>
    <w:p w14:paraId="019AA77A" w14:textId="0FB1E02D" w:rsidR="00360B7A" w:rsidRPr="00D27489" w:rsidRDefault="054746F5" w:rsidP="001270DB">
      <w:pPr>
        <w:spacing w:line="240" w:lineRule="auto"/>
        <w:rPr>
          <w:sz w:val="22"/>
          <w:szCs w:val="22"/>
        </w:rPr>
      </w:pPr>
      <w:r w:rsidRPr="00D27489">
        <w:rPr>
          <w:b/>
          <w:bCs/>
          <w:sz w:val="22"/>
          <w:szCs w:val="22"/>
        </w:rPr>
        <w:t>Recommendation 1</w:t>
      </w:r>
      <w:r w:rsidR="00FF3FB5">
        <w:rPr>
          <w:b/>
          <w:bCs/>
          <w:sz w:val="22"/>
          <w:szCs w:val="22"/>
        </w:rPr>
        <w:t>5</w:t>
      </w:r>
      <w:r w:rsidRPr="00D27489">
        <w:rPr>
          <w:b/>
          <w:bCs/>
          <w:sz w:val="22"/>
          <w:szCs w:val="22"/>
        </w:rPr>
        <w:t xml:space="preserve">: </w:t>
      </w:r>
      <w:r w:rsidRPr="00D27489">
        <w:rPr>
          <w:sz w:val="22"/>
          <w:szCs w:val="22"/>
        </w:rPr>
        <w:t>That Australia</w:t>
      </w:r>
      <w:r w:rsidRPr="00D27489">
        <w:rPr>
          <w:b/>
          <w:bCs/>
          <w:sz w:val="22"/>
          <w:szCs w:val="22"/>
        </w:rPr>
        <w:t xml:space="preserve"> </w:t>
      </w:r>
      <w:r w:rsidRPr="00D27489">
        <w:rPr>
          <w:sz w:val="22"/>
          <w:szCs w:val="22"/>
        </w:rPr>
        <w:t>ensures that all</w:t>
      </w:r>
      <w:r w:rsidRPr="00D27489">
        <w:rPr>
          <w:b/>
          <w:bCs/>
          <w:sz w:val="22"/>
          <w:szCs w:val="22"/>
        </w:rPr>
        <w:t xml:space="preserve"> </w:t>
      </w:r>
      <w:r w:rsidRPr="00D27489">
        <w:rPr>
          <w:sz w:val="22"/>
          <w:szCs w:val="22"/>
        </w:rPr>
        <w:t>social security data is disaggregated by cultural and linguistic background and DSP application processes are made accessible in community languages, with culturally competent support.</w:t>
      </w:r>
      <w:r w:rsidR="0B2C1AC3" w:rsidRPr="00D27489">
        <w:rPr>
          <w:sz w:val="22"/>
          <w:szCs w:val="22"/>
        </w:rPr>
        <w:t xml:space="preserve"> </w:t>
      </w:r>
      <w:r w:rsidRPr="00D27489">
        <w:rPr>
          <w:sz w:val="22"/>
          <w:szCs w:val="22"/>
        </w:rPr>
        <w:t>Poverty measurement frameworks must include intersectional analyses of disability and cultural background.</w:t>
      </w:r>
    </w:p>
    <w:p w14:paraId="09022227" w14:textId="10B1B75F" w:rsidR="00DD5ADF" w:rsidRPr="00DD5ADF" w:rsidRDefault="054746F5" w:rsidP="001270DB">
      <w:pPr>
        <w:pStyle w:val="Heading3"/>
        <w:numPr>
          <w:ilvl w:val="0"/>
          <w:numId w:val="28"/>
        </w:numPr>
        <w:spacing w:line="240" w:lineRule="auto"/>
      </w:pPr>
      <w:bookmarkStart w:id="29" w:name="_Toc219209853"/>
      <w:r>
        <w:lastRenderedPageBreak/>
        <w:t>Migrants and multiculturalism [275]; Refugee and Asylum Seeker</w:t>
      </w:r>
      <w:r w:rsidR="00A54CA3">
        <w:t xml:space="preserve">s </w:t>
      </w:r>
      <w:r>
        <w:t>[33</w:t>
      </w:r>
      <w:r w:rsidR="00A03AAA">
        <w:t>2]</w:t>
      </w:r>
      <w:bookmarkEnd w:id="29"/>
    </w:p>
    <w:p w14:paraId="75B5E39D" w14:textId="3AEEB190" w:rsidR="00360B7A" w:rsidRPr="00D27489" w:rsidRDefault="054746F5" w:rsidP="001270DB">
      <w:pPr>
        <w:spacing w:line="240" w:lineRule="auto"/>
        <w:rPr>
          <w:sz w:val="22"/>
          <w:szCs w:val="22"/>
          <w:lang w:val="en-US"/>
        </w:rPr>
      </w:pPr>
      <w:r w:rsidRPr="00D27489">
        <w:rPr>
          <w:sz w:val="22"/>
          <w:szCs w:val="22"/>
          <w:lang w:val="en-US"/>
        </w:rPr>
        <w:t xml:space="preserve">Australia's </w:t>
      </w:r>
      <w:r w:rsidR="6B469405" w:rsidRPr="00D27489">
        <w:rPr>
          <w:sz w:val="22"/>
          <w:szCs w:val="22"/>
          <w:lang w:val="en-US"/>
        </w:rPr>
        <w:t>R</w:t>
      </w:r>
      <w:r w:rsidRPr="00D27489">
        <w:rPr>
          <w:sz w:val="22"/>
          <w:szCs w:val="22"/>
          <w:lang w:val="en-US"/>
        </w:rPr>
        <w:t>eport states that '</w:t>
      </w:r>
      <w:r w:rsidR="005357AD">
        <w:rPr>
          <w:sz w:val="22"/>
          <w:szCs w:val="22"/>
          <w:lang w:val="en-US"/>
        </w:rPr>
        <w:t>[t]</w:t>
      </w:r>
      <w:r w:rsidRPr="00D27489">
        <w:rPr>
          <w:sz w:val="22"/>
          <w:szCs w:val="22"/>
          <w:lang w:val="en-US"/>
        </w:rPr>
        <w:t xml:space="preserve">he Australian Government invested $21.1 million over 4 years (2020-2024) to support </w:t>
      </w:r>
      <w:r w:rsidR="003B0FD6">
        <w:rPr>
          <w:sz w:val="22"/>
          <w:szCs w:val="22"/>
          <w:lang w:val="en-US"/>
        </w:rPr>
        <w:t>CALD</w:t>
      </w:r>
      <w:r w:rsidRPr="00D27489">
        <w:rPr>
          <w:sz w:val="22"/>
          <w:szCs w:val="22"/>
          <w:lang w:val="en-US"/>
        </w:rPr>
        <w:t xml:space="preserve"> communities during the COVID-19 vaccine rollout'.</w:t>
      </w:r>
      <w:r w:rsidR="00360B7A" w:rsidRPr="00D27489">
        <w:rPr>
          <w:rStyle w:val="FootnoteReference"/>
          <w:sz w:val="22"/>
          <w:szCs w:val="22"/>
          <w:lang w:val="en-US"/>
        </w:rPr>
        <w:footnoteReference w:id="45"/>
      </w:r>
      <w:r w:rsidRPr="00D27489">
        <w:rPr>
          <w:sz w:val="22"/>
          <w:szCs w:val="22"/>
          <w:lang w:val="en-US"/>
        </w:rPr>
        <w:t xml:space="preserve"> However, Free Interpreting Services for eligible privately employed allied health professionals, mentioned in paragraph 275 of the report, only commenced in October 2022</w:t>
      </w:r>
      <w:r w:rsidR="0FFF41C5" w:rsidRPr="00D27489">
        <w:rPr>
          <w:sz w:val="22"/>
          <w:szCs w:val="22"/>
          <w:lang w:val="en-US"/>
        </w:rPr>
        <w:t xml:space="preserve"> as mentioned in the reporting</w:t>
      </w:r>
      <w:r w:rsidRPr="00D27489">
        <w:rPr>
          <w:sz w:val="22"/>
          <w:szCs w:val="22"/>
          <w:lang w:val="en-US"/>
        </w:rPr>
        <w:t>.</w:t>
      </w:r>
      <w:r w:rsidR="00360B7A" w:rsidRPr="00D27489">
        <w:rPr>
          <w:rStyle w:val="FootnoteReference"/>
          <w:sz w:val="22"/>
          <w:szCs w:val="22"/>
          <w:lang w:val="en-US"/>
        </w:rPr>
        <w:footnoteReference w:id="46"/>
      </w:r>
      <w:r w:rsidRPr="00D27489">
        <w:rPr>
          <w:sz w:val="22"/>
          <w:szCs w:val="22"/>
          <w:lang w:val="en-US"/>
        </w:rPr>
        <w:t xml:space="preserve"> This meant that free interpreting services were not available during the most critical period of the pandemic when people with disability from </w:t>
      </w:r>
      <w:r w:rsidR="1CE631A0" w:rsidRPr="00D27489">
        <w:rPr>
          <w:sz w:val="22"/>
          <w:szCs w:val="22"/>
          <w:lang w:val="en-US"/>
        </w:rPr>
        <w:t>CALD</w:t>
      </w:r>
      <w:r w:rsidRPr="00D27489">
        <w:rPr>
          <w:sz w:val="22"/>
          <w:szCs w:val="22"/>
          <w:lang w:val="en-US"/>
        </w:rPr>
        <w:t xml:space="preserve"> backgrounds faced severe health access barriers. </w:t>
      </w:r>
    </w:p>
    <w:p w14:paraId="2C669270" w14:textId="08DFE9F5" w:rsidR="00360B7A" w:rsidRPr="00D27489" w:rsidRDefault="054746F5" w:rsidP="001270DB">
      <w:pPr>
        <w:spacing w:line="240" w:lineRule="auto"/>
        <w:rPr>
          <w:sz w:val="22"/>
          <w:szCs w:val="22"/>
          <w:lang w:val="en-US"/>
        </w:rPr>
      </w:pPr>
      <w:r w:rsidRPr="00D27489">
        <w:rPr>
          <w:sz w:val="22"/>
          <w:szCs w:val="22"/>
          <w:lang w:val="en-US"/>
        </w:rPr>
        <w:t>Barriers to accessing services include</w:t>
      </w:r>
      <w:r w:rsidR="4E98B462" w:rsidRPr="00D27489">
        <w:rPr>
          <w:sz w:val="22"/>
          <w:szCs w:val="22"/>
          <w:lang w:val="en-US"/>
        </w:rPr>
        <w:t xml:space="preserve"> </w:t>
      </w:r>
      <w:r w:rsidR="4E98B462" w:rsidRPr="00D27489">
        <w:rPr>
          <w:sz w:val="22"/>
          <w:szCs w:val="22"/>
        </w:rPr>
        <w:t>l</w:t>
      </w:r>
      <w:r w:rsidRPr="00D27489">
        <w:rPr>
          <w:sz w:val="22"/>
          <w:szCs w:val="22"/>
        </w:rPr>
        <w:t>anguage and communication difficulties</w:t>
      </w:r>
      <w:r w:rsidR="4E98B462" w:rsidRPr="00D27489">
        <w:rPr>
          <w:sz w:val="22"/>
          <w:szCs w:val="22"/>
        </w:rPr>
        <w:t>, l</w:t>
      </w:r>
      <w:r w:rsidRPr="00D27489">
        <w:rPr>
          <w:sz w:val="22"/>
          <w:szCs w:val="22"/>
        </w:rPr>
        <w:t>ack of culturally safe and appropriate services</w:t>
      </w:r>
      <w:r w:rsidR="4E98B462" w:rsidRPr="00D27489">
        <w:rPr>
          <w:sz w:val="22"/>
          <w:szCs w:val="22"/>
        </w:rPr>
        <w:t>, i</w:t>
      </w:r>
      <w:r w:rsidRPr="00D27489">
        <w:rPr>
          <w:sz w:val="22"/>
          <w:szCs w:val="22"/>
        </w:rPr>
        <w:t>nability to choose the type of professional interpreter (male/female, face-to-face/telephone)</w:t>
      </w:r>
      <w:r w:rsidR="4E98B462" w:rsidRPr="00D27489">
        <w:rPr>
          <w:sz w:val="22"/>
          <w:szCs w:val="22"/>
        </w:rPr>
        <w:t xml:space="preserve"> and l</w:t>
      </w:r>
      <w:r w:rsidRPr="00D27489">
        <w:rPr>
          <w:sz w:val="22"/>
          <w:szCs w:val="22"/>
        </w:rPr>
        <w:t>ack of awareness about available services</w:t>
      </w:r>
      <w:r w:rsidR="4E98B462" w:rsidRPr="00D27489">
        <w:rPr>
          <w:sz w:val="22"/>
          <w:szCs w:val="22"/>
        </w:rPr>
        <w:t>.</w:t>
      </w:r>
      <w:r w:rsidR="00D5523C" w:rsidRPr="00D27489">
        <w:rPr>
          <w:rStyle w:val="FootnoteReference"/>
          <w:sz w:val="22"/>
          <w:szCs w:val="22"/>
        </w:rPr>
        <w:footnoteReference w:id="47"/>
      </w:r>
      <w:r w:rsidR="6B9ACBE5" w:rsidRPr="00D27489">
        <w:rPr>
          <w:sz w:val="22"/>
          <w:szCs w:val="22"/>
          <w:lang w:val="en-US"/>
        </w:rPr>
        <w:t xml:space="preserve"> </w:t>
      </w:r>
      <w:r w:rsidRPr="00D27489">
        <w:rPr>
          <w:sz w:val="22"/>
          <w:szCs w:val="22"/>
          <w:lang w:val="en-US"/>
        </w:rPr>
        <w:t xml:space="preserve">People with disability from </w:t>
      </w:r>
      <w:r w:rsidR="1CE631A0" w:rsidRPr="00D27489">
        <w:rPr>
          <w:sz w:val="22"/>
          <w:szCs w:val="22"/>
          <w:lang w:val="en-US"/>
        </w:rPr>
        <w:t>CALD</w:t>
      </w:r>
      <w:r w:rsidRPr="00D27489">
        <w:rPr>
          <w:sz w:val="22"/>
          <w:szCs w:val="22"/>
          <w:lang w:val="en-US"/>
        </w:rPr>
        <w:t xml:space="preserve"> backgrounds may need both language interpreters and disability communication supports simultaneously, which is rarely provided by the healthcare system.</w:t>
      </w:r>
      <w:r w:rsidR="518E2E26" w:rsidRPr="00D27489">
        <w:rPr>
          <w:sz w:val="22"/>
          <w:szCs w:val="22"/>
          <w:lang w:val="en-US"/>
        </w:rPr>
        <w:t xml:space="preserve"> </w:t>
      </w:r>
      <w:r w:rsidRPr="00D27489">
        <w:rPr>
          <w:sz w:val="22"/>
          <w:szCs w:val="22"/>
          <w:lang w:val="en-US"/>
        </w:rPr>
        <w:t>Other challenges include waitlists for culturally appropriate mental health services and insufficient allied health providers who can work effectively with both interpreters and disability communication supports.</w:t>
      </w:r>
      <w:r w:rsidR="00D5523C" w:rsidRPr="00D27489">
        <w:rPr>
          <w:rStyle w:val="FootnoteReference"/>
          <w:sz w:val="22"/>
          <w:szCs w:val="22"/>
          <w:lang w:val="en-US"/>
        </w:rPr>
        <w:footnoteReference w:id="48"/>
      </w:r>
    </w:p>
    <w:p w14:paraId="56D1319C" w14:textId="371659CB" w:rsidR="00D5523C" w:rsidRPr="00D27489" w:rsidRDefault="054746F5" w:rsidP="001270DB">
      <w:pPr>
        <w:spacing w:line="240" w:lineRule="auto"/>
        <w:rPr>
          <w:sz w:val="22"/>
          <w:szCs w:val="22"/>
          <w:lang w:val="en-US"/>
        </w:rPr>
      </w:pPr>
      <w:r w:rsidRPr="00D27489">
        <w:rPr>
          <w:b/>
          <w:bCs/>
          <w:sz w:val="22"/>
          <w:szCs w:val="22"/>
          <w:lang w:val="en-US"/>
        </w:rPr>
        <w:t>Recommendation 1</w:t>
      </w:r>
      <w:r w:rsidR="00FF3FB5">
        <w:rPr>
          <w:b/>
          <w:bCs/>
          <w:sz w:val="22"/>
          <w:szCs w:val="22"/>
          <w:lang w:val="en-US"/>
        </w:rPr>
        <w:t>6</w:t>
      </w:r>
      <w:r w:rsidRPr="00D27489">
        <w:rPr>
          <w:b/>
          <w:bCs/>
          <w:sz w:val="22"/>
          <w:szCs w:val="22"/>
          <w:lang w:val="en-US"/>
        </w:rPr>
        <w:t xml:space="preserve">: </w:t>
      </w:r>
      <w:r w:rsidR="45828D8F" w:rsidRPr="00D27489">
        <w:rPr>
          <w:sz w:val="22"/>
          <w:szCs w:val="22"/>
          <w:lang w:val="en-US"/>
        </w:rPr>
        <w:t xml:space="preserve">That Australia ensures all health services are resourced to provide multilingual health materials and onsite interpreters as standard practice, rather than as optional additions, with particular attention to supporting people with disability from </w:t>
      </w:r>
      <w:r w:rsidR="1CE631A0" w:rsidRPr="00D27489">
        <w:rPr>
          <w:sz w:val="22"/>
          <w:szCs w:val="22"/>
          <w:lang w:val="en-US"/>
        </w:rPr>
        <w:t>CALD</w:t>
      </w:r>
      <w:r w:rsidR="45828D8F" w:rsidRPr="00D27489">
        <w:rPr>
          <w:sz w:val="22"/>
          <w:szCs w:val="22"/>
          <w:lang w:val="en-US"/>
        </w:rPr>
        <w:t xml:space="preserve"> backgrounds who require both language and disability communication supports simultaneously.</w:t>
      </w:r>
    </w:p>
    <w:p w14:paraId="5B30A4B9" w14:textId="30682C34" w:rsidR="00D5523C" w:rsidRPr="00D27489" w:rsidRDefault="006479D1" w:rsidP="00A03AAA">
      <w:pPr>
        <w:spacing w:line="240" w:lineRule="auto"/>
        <w:rPr>
          <w:sz w:val="22"/>
          <w:szCs w:val="22"/>
          <w:lang w:val="en-US"/>
        </w:rPr>
      </w:pPr>
      <w:r w:rsidRPr="00D27489">
        <w:rPr>
          <w:b/>
          <w:bCs/>
          <w:sz w:val="22"/>
          <w:szCs w:val="22"/>
          <w:lang w:val="en-US"/>
        </w:rPr>
        <w:t>Recommendation</w:t>
      </w:r>
      <w:r w:rsidR="00FF3FB5">
        <w:rPr>
          <w:b/>
          <w:bCs/>
          <w:sz w:val="22"/>
          <w:szCs w:val="22"/>
          <w:lang w:val="en-US"/>
        </w:rPr>
        <w:t xml:space="preserve"> 17</w:t>
      </w:r>
      <w:r w:rsidRPr="00D27489">
        <w:rPr>
          <w:b/>
          <w:bCs/>
          <w:sz w:val="22"/>
          <w:szCs w:val="22"/>
          <w:lang w:val="en-US"/>
        </w:rPr>
        <w:t xml:space="preserve">: </w:t>
      </w:r>
      <w:r w:rsidR="45828D8F" w:rsidRPr="00D27489">
        <w:rPr>
          <w:sz w:val="22"/>
          <w:szCs w:val="22"/>
          <w:lang w:val="en-US"/>
        </w:rPr>
        <w:t xml:space="preserve">That Australia implements a whole-of-government policy framework to address the social determinants of health affecting </w:t>
      </w:r>
      <w:r w:rsidR="1CE631A0" w:rsidRPr="00D27489">
        <w:rPr>
          <w:sz w:val="22"/>
          <w:szCs w:val="22"/>
          <w:lang w:val="en-US"/>
        </w:rPr>
        <w:t>CALD</w:t>
      </w:r>
      <w:r w:rsidR="45828D8F" w:rsidRPr="00D27489">
        <w:rPr>
          <w:sz w:val="22"/>
          <w:szCs w:val="22"/>
          <w:lang w:val="en-US"/>
        </w:rPr>
        <w:t xml:space="preserve"> populations with disability, including</w:t>
      </w:r>
      <w:r w:rsidR="002B2685" w:rsidRPr="00D27489">
        <w:rPr>
          <w:sz w:val="22"/>
          <w:szCs w:val="22"/>
          <w:lang w:val="en-US"/>
        </w:rPr>
        <w:t xml:space="preserve"> </w:t>
      </w:r>
      <w:r w:rsidR="5953EE1B" w:rsidRPr="00D27489">
        <w:rPr>
          <w:sz w:val="22"/>
          <w:szCs w:val="22"/>
        </w:rPr>
        <w:t>i</w:t>
      </w:r>
      <w:r w:rsidR="45828D8F" w:rsidRPr="00D27489">
        <w:rPr>
          <w:sz w:val="22"/>
          <w:szCs w:val="22"/>
        </w:rPr>
        <w:t>mproving living and working conditions</w:t>
      </w:r>
      <w:r w:rsidR="002B2685" w:rsidRPr="00D27489">
        <w:rPr>
          <w:sz w:val="22"/>
          <w:szCs w:val="22"/>
        </w:rPr>
        <w:t xml:space="preserve">, </w:t>
      </w:r>
      <w:r w:rsidR="5953EE1B" w:rsidRPr="00D27489">
        <w:rPr>
          <w:sz w:val="22"/>
          <w:szCs w:val="22"/>
        </w:rPr>
        <w:t>r</w:t>
      </w:r>
      <w:r w:rsidR="45828D8F" w:rsidRPr="00D27489">
        <w:rPr>
          <w:sz w:val="22"/>
          <w:szCs w:val="22"/>
        </w:rPr>
        <w:t xml:space="preserve">educing socioeconomic disparities through targeted measures </w:t>
      </w:r>
      <w:r w:rsidR="002B2685" w:rsidRPr="00D27489">
        <w:rPr>
          <w:sz w:val="22"/>
          <w:szCs w:val="22"/>
          <w:lang w:val="en-US"/>
        </w:rPr>
        <w:t xml:space="preserve">and </w:t>
      </w:r>
      <w:r w:rsidR="5953EE1B" w:rsidRPr="00D27489">
        <w:rPr>
          <w:sz w:val="22"/>
          <w:szCs w:val="22"/>
        </w:rPr>
        <w:t>e</w:t>
      </w:r>
      <w:r w:rsidR="45828D8F" w:rsidRPr="00D27489">
        <w:rPr>
          <w:sz w:val="22"/>
          <w:szCs w:val="22"/>
        </w:rPr>
        <w:t>nsuring equitable access to education, employment, and social security</w:t>
      </w:r>
      <w:r w:rsidR="002B2685" w:rsidRPr="00D27489">
        <w:rPr>
          <w:sz w:val="22"/>
          <w:szCs w:val="22"/>
        </w:rPr>
        <w:t>.</w:t>
      </w:r>
    </w:p>
    <w:p w14:paraId="5BC2B110" w14:textId="6CE79397" w:rsidR="00360B7A" w:rsidRPr="00720E35" w:rsidRDefault="1EEAFC4C" w:rsidP="00720E35">
      <w:pPr>
        <w:pStyle w:val="Heading5"/>
        <w:rPr>
          <w:rStyle w:val="Strong"/>
          <w:b/>
          <w:bCs w:val="0"/>
        </w:rPr>
      </w:pPr>
      <w:r w:rsidRPr="00720E35">
        <w:rPr>
          <w:rStyle w:val="Strong"/>
          <w:b/>
          <w:bCs w:val="0"/>
        </w:rPr>
        <w:t xml:space="preserve">Migration </w:t>
      </w:r>
      <w:r w:rsidR="60D67C5B" w:rsidRPr="00720E35">
        <w:rPr>
          <w:rStyle w:val="Strong"/>
          <w:b/>
          <w:bCs w:val="0"/>
        </w:rPr>
        <w:t>and disability</w:t>
      </w:r>
      <w:r w:rsidRPr="00720E35">
        <w:rPr>
          <w:rStyle w:val="Strong"/>
          <w:b/>
          <w:bCs w:val="0"/>
        </w:rPr>
        <w:t xml:space="preserve"> </w:t>
      </w:r>
    </w:p>
    <w:p w14:paraId="570FA022" w14:textId="39FB3CE7" w:rsidR="00360B7A" w:rsidRPr="008577B3" w:rsidRDefault="054746F5" w:rsidP="00A03AAA">
      <w:pPr>
        <w:spacing w:line="240" w:lineRule="auto"/>
        <w:rPr>
          <w:sz w:val="22"/>
          <w:szCs w:val="22"/>
          <w:lang w:val="en-US"/>
        </w:rPr>
      </w:pPr>
      <w:r w:rsidRPr="00D27489">
        <w:rPr>
          <w:sz w:val="22"/>
          <w:szCs w:val="22"/>
          <w:lang w:val="en-US"/>
        </w:rPr>
        <w:t>People with disability and their families face significant discrimination when attempting to migrate to Australia, with migrants with disability typically denied permanent residency because they cannot meet health requirements.</w:t>
      </w:r>
      <w:r w:rsidR="00077C29" w:rsidRPr="00D27489">
        <w:rPr>
          <w:rStyle w:val="FootnoteReference"/>
          <w:sz w:val="22"/>
          <w:szCs w:val="22"/>
          <w:lang w:val="en-US"/>
        </w:rPr>
        <w:footnoteReference w:id="49"/>
      </w:r>
      <w:r w:rsidRPr="00D27489">
        <w:rPr>
          <w:sz w:val="22"/>
          <w:szCs w:val="22"/>
          <w:lang w:val="en-US"/>
        </w:rPr>
        <w:t xml:space="preserve"> These health requirements</w:t>
      </w:r>
      <w:r w:rsidR="00D5523C" w:rsidRPr="00D27489">
        <w:rPr>
          <w:rStyle w:val="FootnoteReference"/>
          <w:sz w:val="22"/>
          <w:szCs w:val="22"/>
          <w:lang w:val="en-US"/>
        </w:rPr>
        <w:footnoteReference w:id="50"/>
      </w:r>
      <w:r w:rsidRPr="00D27489">
        <w:rPr>
          <w:sz w:val="22"/>
          <w:szCs w:val="22"/>
          <w:lang w:val="en-US"/>
        </w:rPr>
        <w:t xml:space="preserve"> are discriminatory, view disability through a medical lens and fail to </w:t>
      </w:r>
      <w:r w:rsidR="006E28B6" w:rsidRPr="00D27489">
        <w:rPr>
          <w:sz w:val="22"/>
          <w:szCs w:val="22"/>
          <w:lang w:val="en-US"/>
        </w:rPr>
        <w:t>consider</w:t>
      </w:r>
      <w:r w:rsidRPr="00D27489">
        <w:rPr>
          <w:sz w:val="22"/>
          <w:szCs w:val="22"/>
          <w:lang w:val="en-US"/>
        </w:rPr>
        <w:t xml:space="preserve"> the economic and social contribution of applicants.</w:t>
      </w:r>
    </w:p>
    <w:p w14:paraId="0D7F12B8" w14:textId="7AFBE80F" w:rsidR="00360B7A" w:rsidRPr="008577B3" w:rsidRDefault="054746F5" w:rsidP="001270DB">
      <w:pPr>
        <w:spacing w:line="240" w:lineRule="auto"/>
        <w:rPr>
          <w:sz w:val="22"/>
          <w:szCs w:val="22"/>
          <w:lang w:val="en-US"/>
        </w:rPr>
      </w:pPr>
      <w:r w:rsidRPr="008577B3">
        <w:rPr>
          <w:sz w:val="22"/>
          <w:szCs w:val="22"/>
          <w:lang w:val="en-US"/>
        </w:rPr>
        <w:lastRenderedPageBreak/>
        <w:t xml:space="preserve">Additionally, migrants with disability </w:t>
      </w:r>
      <w:r w:rsidR="006E28B6" w:rsidRPr="008577B3">
        <w:rPr>
          <w:sz w:val="22"/>
          <w:szCs w:val="22"/>
          <w:lang w:val="en-US"/>
        </w:rPr>
        <w:t>must</w:t>
      </w:r>
      <w:r w:rsidRPr="008577B3">
        <w:rPr>
          <w:sz w:val="22"/>
          <w:szCs w:val="22"/>
          <w:lang w:val="en-US"/>
        </w:rPr>
        <w:t xml:space="preserve"> wait over a decade before meeting residency requirements associated with eligibility for the DSP.</w:t>
      </w:r>
      <w:r w:rsidR="00B11648" w:rsidRPr="008577B3">
        <w:rPr>
          <w:rStyle w:val="FootnoteReference"/>
          <w:sz w:val="22"/>
          <w:szCs w:val="22"/>
          <w:lang w:val="en-US"/>
        </w:rPr>
        <w:footnoteReference w:id="51"/>
      </w:r>
      <w:r w:rsidRPr="008577B3">
        <w:rPr>
          <w:sz w:val="22"/>
          <w:szCs w:val="22"/>
          <w:lang w:val="en-US"/>
        </w:rPr>
        <w:t xml:space="preserve"> Australia’s </w:t>
      </w:r>
      <w:r w:rsidR="002F6625">
        <w:rPr>
          <w:sz w:val="22"/>
          <w:szCs w:val="22"/>
          <w:lang w:val="en-US"/>
        </w:rPr>
        <w:t>R</w:t>
      </w:r>
      <w:r w:rsidRPr="008577B3">
        <w:rPr>
          <w:sz w:val="22"/>
          <w:szCs w:val="22"/>
          <w:lang w:val="en-US"/>
        </w:rPr>
        <w:t xml:space="preserve">eport understates the severity and human rights implications of these discriminatory visa policies, which directly violate Article 18 of the CRPD regarding liberty of movement and nationality. </w:t>
      </w:r>
    </w:p>
    <w:p w14:paraId="6A69C348" w14:textId="5AB8B8AA" w:rsidR="00360B7A" w:rsidRPr="008577B3" w:rsidRDefault="054746F5" w:rsidP="001270DB">
      <w:pPr>
        <w:spacing w:line="240" w:lineRule="auto"/>
        <w:rPr>
          <w:sz w:val="22"/>
          <w:szCs w:val="22"/>
          <w:lang w:val="en-US"/>
        </w:rPr>
      </w:pPr>
      <w:r w:rsidRPr="008577B3">
        <w:rPr>
          <w:sz w:val="22"/>
          <w:szCs w:val="22"/>
          <w:lang w:val="en-US"/>
        </w:rPr>
        <w:t>Australia’s Report</w:t>
      </w:r>
      <w:r w:rsidRPr="008577B3">
        <w:rPr>
          <w:b/>
          <w:bCs/>
          <w:sz w:val="22"/>
          <w:szCs w:val="22"/>
          <w:lang w:val="en-US"/>
        </w:rPr>
        <w:t xml:space="preserve"> </w:t>
      </w:r>
      <w:r w:rsidRPr="008577B3">
        <w:rPr>
          <w:sz w:val="22"/>
          <w:szCs w:val="22"/>
          <w:lang w:val="en-US"/>
        </w:rPr>
        <w:t>states that '[t]he English Language Proficiency loading assists with the costs of language tuition and support for students who need assistance with English language skills. This includes recently settled migrants and refugees.</w:t>
      </w:r>
      <w:r w:rsidR="00360B7A" w:rsidRPr="008577B3">
        <w:rPr>
          <w:rStyle w:val="FootnoteReference"/>
          <w:sz w:val="22"/>
          <w:szCs w:val="22"/>
          <w:lang w:val="en-US"/>
        </w:rPr>
        <w:footnoteReference w:id="52"/>
      </w:r>
      <w:r w:rsidR="60D67C5B" w:rsidRPr="008577B3">
        <w:rPr>
          <w:sz w:val="22"/>
          <w:szCs w:val="22"/>
          <w:lang w:val="en-US"/>
        </w:rPr>
        <w:t xml:space="preserve"> </w:t>
      </w:r>
      <w:r w:rsidRPr="008577B3">
        <w:rPr>
          <w:sz w:val="22"/>
          <w:szCs w:val="22"/>
          <w:lang w:val="en-US"/>
        </w:rPr>
        <w:t>The report treats English Language Proficiency loading and Disability loading as separate streams,</w:t>
      </w:r>
      <w:r w:rsidR="19CA2F12" w:rsidRPr="008577B3">
        <w:rPr>
          <w:sz w:val="22"/>
          <w:szCs w:val="22"/>
          <w:lang w:val="en-US"/>
        </w:rPr>
        <w:t xml:space="preserve"> </w:t>
      </w:r>
      <w:r w:rsidRPr="008577B3">
        <w:rPr>
          <w:sz w:val="22"/>
          <w:szCs w:val="22"/>
          <w:lang w:val="en-US"/>
        </w:rPr>
        <w:t xml:space="preserve">but does not address how schools support students who need both simultaneously. Service providers may </w:t>
      </w:r>
      <w:r w:rsidR="00062790" w:rsidRPr="008577B3">
        <w:rPr>
          <w:sz w:val="22"/>
          <w:szCs w:val="22"/>
          <w:lang w:val="en-US"/>
        </w:rPr>
        <w:t>lack</w:t>
      </w:r>
      <w:r w:rsidRPr="008577B3">
        <w:rPr>
          <w:sz w:val="22"/>
          <w:szCs w:val="22"/>
          <w:lang w:val="en-US"/>
        </w:rPr>
        <w:t xml:space="preserve"> cultural competence, disability assessment processes are not done in a way that is culturally sensitive and diagnoses from overseas may not be clear to Australian services or providers.</w:t>
      </w:r>
    </w:p>
    <w:p w14:paraId="76759CB6" w14:textId="1721936A" w:rsidR="00360B7A" w:rsidRPr="008577B3" w:rsidRDefault="054746F5" w:rsidP="001270DB">
      <w:pPr>
        <w:spacing w:line="240" w:lineRule="auto"/>
        <w:rPr>
          <w:b/>
          <w:bCs/>
          <w:sz w:val="22"/>
          <w:szCs w:val="22"/>
          <w:lang w:val="en-US"/>
        </w:rPr>
      </w:pPr>
      <w:r w:rsidRPr="008577B3">
        <w:rPr>
          <w:b/>
          <w:bCs/>
          <w:sz w:val="22"/>
          <w:szCs w:val="22"/>
          <w:lang w:val="en-US"/>
        </w:rPr>
        <w:t xml:space="preserve">Recommendation 18: </w:t>
      </w:r>
      <w:r w:rsidR="0845D2B9" w:rsidRPr="008577B3">
        <w:rPr>
          <w:sz w:val="22"/>
          <w:szCs w:val="22"/>
          <w:lang w:val="en-US"/>
        </w:rPr>
        <w:t>That Australia remove</w:t>
      </w:r>
      <w:r w:rsidR="408883F1" w:rsidRPr="008577B3">
        <w:rPr>
          <w:sz w:val="22"/>
          <w:szCs w:val="22"/>
          <w:lang w:val="en-US"/>
        </w:rPr>
        <w:t>s</w:t>
      </w:r>
      <w:r w:rsidR="0845D2B9" w:rsidRPr="008577B3">
        <w:rPr>
          <w:sz w:val="22"/>
          <w:szCs w:val="22"/>
          <w:lang w:val="en-US"/>
        </w:rPr>
        <w:t xml:space="preserve"> the exemption in the DDA as it applies to the Migration Act to ensure that Australia’s migration arrangements and treatment of disability satisfy the equal protection obligations under CRPD Article 5; enhances consistency, transparency and administrative fairness for migrants and refugees with disability applying for an Australian visa</w:t>
      </w:r>
      <w:r w:rsidR="00A928A5" w:rsidRPr="008577B3">
        <w:rPr>
          <w:sz w:val="22"/>
          <w:szCs w:val="22"/>
          <w:lang w:val="en-US"/>
        </w:rPr>
        <w:t xml:space="preserve"> and </w:t>
      </w:r>
      <w:r w:rsidR="0845D2B9" w:rsidRPr="008577B3">
        <w:rPr>
          <w:sz w:val="22"/>
          <w:szCs w:val="22"/>
          <w:lang w:val="en-US"/>
        </w:rPr>
        <w:t>removes the 10-year qualifying period for migrants to access the Age and Disability Support Pensions</w:t>
      </w:r>
      <w:r w:rsidR="00A928A5" w:rsidRPr="008577B3">
        <w:rPr>
          <w:sz w:val="22"/>
          <w:szCs w:val="22"/>
          <w:lang w:val="en-US"/>
        </w:rPr>
        <w:t>.</w:t>
      </w:r>
    </w:p>
    <w:p w14:paraId="49B15BBC" w14:textId="3C5BC122" w:rsidR="054746F5" w:rsidRDefault="054746F5" w:rsidP="001270DB">
      <w:pPr>
        <w:pStyle w:val="Heading3"/>
        <w:numPr>
          <w:ilvl w:val="0"/>
          <w:numId w:val="28"/>
        </w:numPr>
        <w:spacing w:line="240" w:lineRule="auto"/>
      </w:pPr>
      <w:bookmarkStart w:id="30" w:name="_Toc219209854"/>
      <w:r>
        <w:t>Housing [253-266]</w:t>
      </w:r>
      <w:bookmarkEnd w:id="30"/>
    </w:p>
    <w:p w14:paraId="347AFD3F" w14:textId="5D9A0929" w:rsidR="00516FDE" w:rsidRPr="008577B3" w:rsidRDefault="00516FDE" w:rsidP="001270DB">
      <w:pPr>
        <w:spacing w:line="240" w:lineRule="auto"/>
        <w:rPr>
          <w:sz w:val="22"/>
          <w:szCs w:val="22"/>
        </w:rPr>
      </w:pPr>
      <w:r w:rsidRPr="008577B3">
        <w:rPr>
          <w:sz w:val="22"/>
          <w:szCs w:val="22"/>
        </w:rPr>
        <w:t>We are concerned about the lack of affordable, accessible housing for people with disability in Australia.</w:t>
      </w:r>
      <w:r w:rsidR="001445BB" w:rsidRPr="008577B3">
        <w:rPr>
          <w:rStyle w:val="FootnoteReference"/>
          <w:sz w:val="22"/>
          <w:szCs w:val="22"/>
        </w:rPr>
        <w:footnoteReference w:id="53"/>
      </w:r>
      <w:r w:rsidRPr="008577B3">
        <w:rPr>
          <w:sz w:val="22"/>
          <w:szCs w:val="22"/>
        </w:rPr>
        <w:t xml:space="preserve"> </w:t>
      </w:r>
      <w:r w:rsidR="00F33EE0" w:rsidRPr="00F33EE0">
        <w:rPr>
          <w:sz w:val="22"/>
          <w:szCs w:val="22"/>
        </w:rPr>
        <w:t xml:space="preserve">A key way to address this problem is to expand the supply of accessible housing by requiring </w:t>
      </w:r>
      <w:r w:rsidR="0071196F">
        <w:rPr>
          <w:sz w:val="22"/>
          <w:szCs w:val="22"/>
        </w:rPr>
        <w:t xml:space="preserve">that </w:t>
      </w:r>
      <w:r w:rsidR="00F33EE0" w:rsidRPr="00F33EE0">
        <w:rPr>
          <w:sz w:val="22"/>
          <w:szCs w:val="22"/>
        </w:rPr>
        <w:t>all new buildings meet minimum accessibility standards.</w:t>
      </w:r>
    </w:p>
    <w:p w14:paraId="69967FCB" w14:textId="3506CC69" w:rsidR="00516FDE" w:rsidRPr="008577B3" w:rsidRDefault="00516FDE" w:rsidP="001270DB">
      <w:pPr>
        <w:spacing w:line="240" w:lineRule="auto"/>
        <w:rPr>
          <w:sz w:val="22"/>
          <w:szCs w:val="22"/>
        </w:rPr>
      </w:pPr>
      <w:r w:rsidRPr="008577B3">
        <w:rPr>
          <w:b/>
          <w:bCs/>
          <w:sz w:val="22"/>
          <w:szCs w:val="22"/>
        </w:rPr>
        <w:t>Recommendation</w:t>
      </w:r>
      <w:r w:rsidR="00FF3FB5">
        <w:rPr>
          <w:b/>
          <w:bCs/>
          <w:sz w:val="22"/>
          <w:szCs w:val="22"/>
        </w:rPr>
        <w:t xml:space="preserve"> 19</w:t>
      </w:r>
      <w:r w:rsidRPr="008577B3">
        <w:rPr>
          <w:b/>
          <w:bCs/>
          <w:sz w:val="22"/>
          <w:szCs w:val="22"/>
        </w:rPr>
        <w:t>:</w:t>
      </w:r>
      <w:r w:rsidRPr="008577B3">
        <w:rPr>
          <w:sz w:val="22"/>
          <w:szCs w:val="22"/>
        </w:rPr>
        <w:t xml:space="preserve"> Australia must mandate the “Liveable Housing Design Silver Standard” in the National Construction Code across all states and territories and commit to a national housing plan that meets the needs of people with disability.</w:t>
      </w:r>
    </w:p>
    <w:p w14:paraId="2AE784E4" w14:textId="452CFA98" w:rsidR="00360B7A" w:rsidRPr="008577B3" w:rsidRDefault="054746F5" w:rsidP="001270DB">
      <w:pPr>
        <w:spacing w:line="240" w:lineRule="auto"/>
        <w:rPr>
          <w:b/>
          <w:bCs/>
          <w:i/>
          <w:iCs/>
          <w:sz w:val="22"/>
          <w:szCs w:val="22"/>
        </w:rPr>
      </w:pPr>
      <w:r w:rsidRPr="008577B3">
        <w:rPr>
          <w:b/>
          <w:bCs/>
          <w:i/>
          <w:iCs/>
          <w:sz w:val="22"/>
          <w:szCs w:val="22"/>
        </w:rPr>
        <w:t xml:space="preserve">People with disability from </w:t>
      </w:r>
      <w:r w:rsidR="1CE631A0" w:rsidRPr="008577B3">
        <w:rPr>
          <w:b/>
          <w:bCs/>
          <w:i/>
          <w:iCs/>
          <w:sz w:val="22"/>
          <w:szCs w:val="22"/>
        </w:rPr>
        <w:t>CALD</w:t>
      </w:r>
      <w:r w:rsidRPr="008577B3">
        <w:rPr>
          <w:b/>
          <w:bCs/>
          <w:i/>
          <w:iCs/>
          <w:sz w:val="22"/>
          <w:szCs w:val="22"/>
        </w:rPr>
        <w:t xml:space="preserve"> backgrounds</w:t>
      </w:r>
    </w:p>
    <w:p w14:paraId="0EE1D5D4" w14:textId="1365B37B" w:rsidR="00360B7A" w:rsidRPr="008577B3" w:rsidRDefault="054746F5" w:rsidP="001270DB">
      <w:pPr>
        <w:spacing w:line="240" w:lineRule="auto"/>
        <w:rPr>
          <w:sz w:val="22"/>
          <w:szCs w:val="22"/>
        </w:rPr>
      </w:pPr>
      <w:r w:rsidRPr="008577B3">
        <w:rPr>
          <w:sz w:val="22"/>
          <w:szCs w:val="22"/>
        </w:rPr>
        <w:t xml:space="preserve">Australia's Report details various housing initiatives, including the $10 billion Housing Australia Future Fund and Commonwealth Rent Assistance, but provides no data on housing outcomes for people with disability from </w:t>
      </w:r>
      <w:r w:rsidR="1CE631A0" w:rsidRPr="008577B3">
        <w:rPr>
          <w:sz w:val="22"/>
          <w:szCs w:val="22"/>
        </w:rPr>
        <w:t>CALD</w:t>
      </w:r>
      <w:r w:rsidRPr="008577B3">
        <w:rPr>
          <w:sz w:val="22"/>
          <w:szCs w:val="22"/>
        </w:rPr>
        <w:t xml:space="preserve"> backgrounds.</w:t>
      </w:r>
      <w:r w:rsidR="00360B7A" w:rsidRPr="008577B3">
        <w:rPr>
          <w:rStyle w:val="FootnoteReference"/>
          <w:sz w:val="22"/>
          <w:szCs w:val="22"/>
        </w:rPr>
        <w:footnoteReference w:id="54"/>
      </w:r>
      <w:r w:rsidR="0042A556" w:rsidRPr="008577B3">
        <w:rPr>
          <w:sz w:val="22"/>
          <w:szCs w:val="22"/>
        </w:rPr>
        <w:t xml:space="preserve"> Without disaggregated data, it is impossible to assess whether housing initiatives are reaching people with disability from </w:t>
      </w:r>
      <w:r w:rsidR="1CE631A0" w:rsidRPr="008577B3">
        <w:rPr>
          <w:sz w:val="22"/>
          <w:szCs w:val="22"/>
        </w:rPr>
        <w:t>CALD</w:t>
      </w:r>
      <w:r w:rsidR="0042A556" w:rsidRPr="008577B3">
        <w:rPr>
          <w:sz w:val="22"/>
          <w:szCs w:val="22"/>
        </w:rPr>
        <w:t xml:space="preserve"> backgrounds or addressing their specific needs.</w:t>
      </w:r>
    </w:p>
    <w:p w14:paraId="10873BCE" w14:textId="66909DDF" w:rsidR="007B7DAE" w:rsidRPr="008577B3" w:rsidRDefault="054746F5" w:rsidP="001270DB">
      <w:pPr>
        <w:spacing w:line="240" w:lineRule="auto"/>
        <w:rPr>
          <w:sz w:val="22"/>
          <w:szCs w:val="22"/>
        </w:rPr>
      </w:pPr>
      <w:r w:rsidRPr="008577B3">
        <w:rPr>
          <w:sz w:val="22"/>
          <w:szCs w:val="22"/>
        </w:rPr>
        <w:t xml:space="preserve">People with disability from </w:t>
      </w:r>
      <w:r w:rsidR="1CE631A0" w:rsidRPr="008577B3">
        <w:rPr>
          <w:sz w:val="22"/>
          <w:szCs w:val="22"/>
        </w:rPr>
        <w:t>CALD</w:t>
      </w:r>
      <w:r w:rsidRPr="008577B3">
        <w:rPr>
          <w:sz w:val="22"/>
          <w:szCs w:val="22"/>
        </w:rPr>
        <w:t xml:space="preserve"> backgrounds face compounded discrimination in housing markets and experience intersectional discrimination in institutional and residential settings, domestic and community settings, and mainstream workplaces and recreational settings.</w:t>
      </w:r>
      <w:r w:rsidR="003747C7" w:rsidRPr="008577B3">
        <w:rPr>
          <w:rStyle w:val="FootnoteReference"/>
          <w:sz w:val="22"/>
          <w:szCs w:val="22"/>
        </w:rPr>
        <w:footnoteReference w:id="55"/>
      </w:r>
      <w:r w:rsidR="0042A556" w:rsidRPr="008577B3">
        <w:rPr>
          <w:sz w:val="22"/>
          <w:szCs w:val="22"/>
        </w:rPr>
        <w:t xml:space="preserve"> </w:t>
      </w:r>
    </w:p>
    <w:p w14:paraId="08D4E5EF" w14:textId="07D10741" w:rsidR="00360B7A" w:rsidRPr="008577B3" w:rsidRDefault="0042A556" w:rsidP="001270DB">
      <w:pPr>
        <w:spacing w:line="240" w:lineRule="auto"/>
        <w:rPr>
          <w:sz w:val="22"/>
          <w:szCs w:val="22"/>
        </w:rPr>
      </w:pPr>
      <w:r w:rsidRPr="008577B3">
        <w:rPr>
          <w:sz w:val="22"/>
          <w:szCs w:val="22"/>
        </w:rPr>
        <w:lastRenderedPageBreak/>
        <w:t xml:space="preserve">Current bundled </w:t>
      </w:r>
      <w:r w:rsidR="00210450" w:rsidRPr="008577B3">
        <w:rPr>
          <w:sz w:val="22"/>
          <w:szCs w:val="22"/>
        </w:rPr>
        <w:t>Supported Independent Living (SIL) from Specialist Disability Accommodation (SDA)</w:t>
      </w:r>
      <w:r w:rsidRPr="008577B3">
        <w:rPr>
          <w:sz w:val="22"/>
          <w:szCs w:val="22"/>
        </w:rPr>
        <w:t xml:space="preserve"> arrangements disproportionately harm </w:t>
      </w:r>
      <w:r w:rsidR="1CE631A0" w:rsidRPr="008577B3">
        <w:rPr>
          <w:sz w:val="22"/>
          <w:szCs w:val="22"/>
        </w:rPr>
        <w:t>CALD</w:t>
      </w:r>
      <w:r w:rsidRPr="008577B3">
        <w:rPr>
          <w:sz w:val="22"/>
          <w:szCs w:val="22"/>
        </w:rPr>
        <w:t xml:space="preserve"> participants by locking them into mainstream providers lacking cultural competence in areas such as dietary practices, religious observance, gender preferences for personal care, and family-centred approaches, while preventing them from advocating for better services without risking housing security.</w:t>
      </w:r>
      <w:r w:rsidR="007B7DAE" w:rsidRPr="008577B3">
        <w:rPr>
          <w:rStyle w:val="FootnoteReference"/>
          <w:sz w:val="22"/>
          <w:szCs w:val="22"/>
        </w:rPr>
        <w:footnoteReference w:id="56"/>
      </w:r>
    </w:p>
    <w:p w14:paraId="32EAB626" w14:textId="3A1784A0" w:rsidR="709E45CB" w:rsidRPr="008577B3" w:rsidRDefault="709E45CB" w:rsidP="001270DB">
      <w:pPr>
        <w:spacing w:line="240" w:lineRule="auto"/>
        <w:rPr>
          <w:sz w:val="22"/>
          <w:szCs w:val="22"/>
        </w:rPr>
      </w:pPr>
      <w:r w:rsidRPr="008577B3">
        <w:rPr>
          <w:sz w:val="22"/>
          <w:szCs w:val="22"/>
        </w:rPr>
        <w:t xml:space="preserve">Despite government commitments to </w:t>
      </w:r>
      <w:r w:rsidR="009D65FB" w:rsidRPr="008577B3">
        <w:rPr>
          <w:sz w:val="22"/>
          <w:szCs w:val="22"/>
        </w:rPr>
        <w:t>‘</w:t>
      </w:r>
      <w:r w:rsidRPr="008577B3">
        <w:rPr>
          <w:sz w:val="22"/>
          <w:szCs w:val="22"/>
        </w:rPr>
        <w:t>explore</w:t>
      </w:r>
      <w:r w:rsidR="009D65FB" w:rsidRPr="008577B3">
        <w:rPr>
          <w:sz w:val="22"/>
          <w:szCs w:val="22"/>
        </w:rPr>
        <w:t>’</w:t>
      </w:r>
      <w:r w:rsidRPr="008577B3">
        <w:rPr>
          <w:sz w:val="22"/>
          <w:szCs w:val="22"/>
        </w:rPr>
        <w:t xml:space="preserve"> this reform through design consultations, no implementation timeline or policy mechanism has been established. This separation is particularly urgent for CALD people with disability, who face severe NDIS underrepresentation (9.2% participation vs ~25% expected) and compounded barriers to exercising choice and control due to language barriers, lack of culturally appropriate services and limited availability of bilingual</w:t>
      </w:r>
      <w:r w:rsidR="00B433D9" w:rsidRPr="008577B3">
        <w:rPr>
          <w:sz w:val="22"/>
          <w:szCs w:val="22"/>
        </w:rPr>
        <w:t xml:space="preserve"> and </w:t>
      </w:r>
      <w:r w:rsidRPr="008577B3">
        <w:rPr>
          <w:sz w:val="22"/>
          <w:szCs w:val="22"/>
        </w:rPr>
        <w:t>bicultural support workers.</w:t>
      </w:r>
    </w:p>
    <w:p w14:paraId="1A95ECB9" w14:textId="6AD4117C" w:rsidR="00360B7A" w:rsidRPr="008577B3" w:rsidRDefault="054746F5" w:rsidP="001270DB">
      <w:pPr>
        <w:spacing w:line="240" w:lineRule="auto"/>
        <w:rPr>
          <w:b/>
          <w:bCs/>
          <w:sz w:val="22"/>
          <w:szCs w:val="22"/>
        </w:rPr>
      </w:pPr>
      <w:r w:rsidRPr="008577B3">
        <w:rPr>
          <w:b/>
          <w:bCs/>
          <w:sz w:val="22"/>
          <w:szCs w:val="22"/>
        </w:rPr>
        <w:t xml:space="preserve">Recommendation </w:t>
      </w:r>
      <w:r w:rsidR="00FF3FB5">
        <w:rPr>
          <w:b/>
          <w:bCs/>
          <w:sz w:val="22"/>
          <w:szCs w:val="22"/>
        </w:rPr>
        <w:t>20</w:t>
      </w:r>
      <w:r w:rsidRPr="008577B3">
        <w:rPr>
          <w:b/>
          <w:bCs/>
          <w:sz w:val="22"/>
          <w:szCs w:val="22"/>
        </w:rPr>
        <w:t xml:space="preserve">: </w:t>
      </w:r>
      <w:r w:rsidR="23345682" w:rsidRPr="008577B3">
        <w:rPr>
          <w:sz w:val="22"/>
          <w:szCs w:val="22"/>
        </w:rPr>
        <w:t>That Australia ensures correct and accurate disaggregated data on housing outcome</w:t>
      </w:r>
      <w:r w:rsidR="00AF4354" w:rsidRPr="008577B3">
        <w:rPr>
          <w:sz w:val="22"/>
          <w:szCs w:val="22"/>
        </w:rPr>
        <w:t>s</w:t>
      </w:r>
      <w:r w:rsidR="23345682" w:rsidRPr="008577B3">
        <w:rPr>
          <w:sz w:val="22"/>
          <w:szCs w:val="22"/>
        </w:rPr>
        <w:t xml:space="preserve"> </w:t>
      </w:r>
      <w:r w:rsidR="730ACCA9" w:rsidRPr="008577B3">
        <w:rPr>
          <w:sz w:val="22"/>
          <w:szCs w:val="22"/>
        </w:rPr>
        <w:t xml:space="preserve">and </w:t>
      </w:r>
      <w:r w:rsidR="23345682" w:rsidRPr="008577B3">
        <w:rPr>
          <w:sz w:val="22"/>
          <w:szCs w:val="22"/>
        </w:rPr>
        <w:t>commit</w:t>
      </w:r>
      <w:r w:rsidR="730ACCA9" w:rsidRPr="008577B3">
        <w:rPr>
          <w:sz w:val="22"/>
          <w:szCs w:val="22"/>
        </w:rPr>
        <w:t>s</w:t>
      </w:r>
      <w:r w:rsidR="23345682" w:rsidRPr="008577B3">
        <w:rPr>
          <w:sz w:val="22"/>
          <w:szCs w:val="22"/>
        </w:rPr>
        <w:t xml:space="preserve"> to the legal and practical separation of </w:t>
      </w:r>
      <w:r w:rsidR="00B433D9" w:rsidRPr="008577B3">
        <w:rPr>
          <w:sz w:val="22"/>
          <w:szCs w:val="22"/>
        </w:rPr>
        <w:t>SIL from SDA</w:t>
      </w:r>
      <w:r w:rsidR="23345682" w:rsidRPr="008577B3">
        <w:rPr>
          <w:sz w:val="22"/>
          <w:szCs w:val="22"/>
        </w:rPr>
        <w:t xml:space="preserve"> to ensure independent providers deliver housing and support services.</w:t>
      </w:r>
      <w:r w:rsidR="23345682" w:rsidRPr="008577B3">
        <w:rPr>
          <w:b/>
          <w:bCs/>
          <w:sz w:val="22"/>
          <w:szCs w:val="22"/>
        </w:rPr>
        <w:t xml:space="preserve"> </w:t>
      </w:r>
    </w:p>
    <w:p w14:paraId="04A737D2" w14:textId="398946A2" w:rsidR="00360B7A" w:rsidRPr="0072095F" w:rsidRDefault="054746F5" w:rsidP="001270DB">
      <w:pPr>
        <w:pStyle w:val="Heading3"/>
        <w:numPr>
          <w:ilvl w:val="0"/>
          <w:numId w:val="28"/>
        </w:numPr>
        <w:spacing w:line="240" w:lineRule="auto"/>
      </w:pPr>
      <w:bookmarkStart w:id="31" w:name="_Toc219209855"/>
      <w:r>
        <w:t>Education [332], [335-341]</w:t>
      </w:r>
      <w:bookmarkEnd w:id="31"/>
    </w:p>
    <w:p w14:paraId="34E1B282" w14:textId="3E7D1F36" w:rsidR="00360B7A" w:rsidRPr="008577B3" w:rsidRDefault="629F69C7" w:rsidP="001270DB">
      <w:pPr>
        <w:spacing w:line="240" w:lineRule="auto"/>
        <w:rPr>
          <w:sz w:val="22"/>
          <w:szCs w:val="22"/>
          <w:lang w:val="en-US"/>
        </w:rPr>
      </w:pPr>
      <w:r w:rsidRPr="008577B3">
        <w:rPr>
          <w:sz w:val="22"/>
          <w:szCs w:val="22"/>
          <w:lang w:val="en-US"/>
        </w:rPr>
        <w:t xml:space="preserve">As outlined in the Disability Royal Commission section of this submission, we oppose the continued segregated education model in Australia and urge Australia to end segregation. </w:t>
      </w:r>
      <w:r w:rsidR="2A43FF32" w:rsidRPr="008577B3">
        <w:rPr>
          <w:rFonts w:ascii="Arial" w:eastAsia="Arial" w:hAnsi="Arial" w:cs="Arial"/>
          <w:sz w:val="22"/>
          <w:szCs w:val="22"/>
          <w:lang w:val="en-US"/>
        </w:rPr>
        <w:t xml:space="preserve">We also note that students with disability </w:t>
      </w:r>
      <w:r w:rsidR="368A9156" w:rsidRPr="008577B3">
        <w:rPr>
          <w:rFonts w:ascii="Arial" w:eastAsia="Arial" w:hAnsi="Arial" w:cs="Arial"/>
          <w:sz w:val="22"/>
          <w:szCs w:val="22"/>
          <w:lang w:val="en-US"/>
        </w:rPr>
        <w:t>generally experience lower satisfaction with tertiary education compared to students without disability.</w:t>
      </w:r>
      <w:r w:rsidR="0019397A">
        <w:rPr>
          <w:rFonts w:ascii="Arial" w:eastAsia="Arial" w:hAnsi="Arial" w:cs="Arial"/>
          <w:sz w:val="22"/>
          <w:szCs w:val="22"/>
          <w:lang w:val="en-US"/>
        </w:rPr>
        <w:t xml:space="preserve"> </w:t>
      </w:r>
      <w:r w:rsidR="368A9156" w:rsidRPr="008577B3">
        <w:rPr>
          <w:rFonts w:ascii="Arial" w:eastAsia="Arial" w:hAnsi="Arial" w:cs="Arial"/>
          <w:sz w:val="22"/>
          <w:szCs w:val="22"/>
          <w:lang w:val="en-US"/>
        </w:rPr>
        <w:t>This results from poor understandings of disability, a l</w:t>
      </w:r>
      <w:r w:rsidR="19FE2602" w:rsidRPr="008577B3">
        <w:rPr>
          <w:rFonts w:ascii="Arial" w:eastAsia="Arial" w:hAnsi="Arial" w:cs="Arial"/>
          <w:sz w:val="22"/>
          <w:szCs w:val="22"/>
          <w:lang w:val="en-US"/>
        </w:rPr>
        <w:t>ack of reasonable adjustments and a lack of sense of belonging.</w:t>
      </w:r>
      <w:r w:rsidR="00360B7A" w:rsidRPr="008577B3">
        <w:rPr>
          <w:rStyle w:val="FootnoteReference"/>
          <w:rFonts w:ascii="Arial" w:eastAsia="Arial" w:hAnsi="Arial" w:cs="Arial"/>
          <w:sz w:val="22"/>
          <w:szCs w:val="22"/>
          <w:lang w:val="en-US"/>
        </w:rPr>
        <w:footnoteReference w:id="57"/>
      </w:r>
      <w:r w:rsidR="5D3EB67B" w:rsidRPr="008577B3">
        <w:rPr>
          <w:rFonts w:ascii="Arial" w:eastAsia="Arial" w:hAnsi="Arial" w:cs="Arial"/>
          <w:sz w:val="22"/>
          <w:szCs w:val="22"/>
          <w:lang w:val="en-US"/>
        </w:rPr>
        <w:t xml:space="preserve"> </w:t>
      </w:r>
    </w:p>
    <w:p w14:paraId="7DCD83C9" w14:textId="1AF5718E" w:rsidR="00360B7A" w:rsidRPr="008577B3" w:rsidRDefault="717B4F7F" w:rsidP="001270DB">
      <w:pPr>
        <w:spacing w:line="240" w:lineRule="auto"/>
        <w:rPr>
          <w:rFonts w:ascii="Arial" w:eastAsia="Arial" w:hAnsi="Arial" w:cs="Arial"/>
          <w:sz w:val="22"/>
          <w:szCs w:val="22"/>
          <w:lang w:val="en-US"/>
        </w:rPr>
      </w:pPr>
      <w:r w:rsidRPr="008577B3">
        <w:rPr>
          <w:rFonts w:ascii="Arial" w:eastAsia="Arial" w:hAnsi="Arial" w:cs="Arial"/>
          <w:b/>
          <w:bCs/>
          <w:sz w:val="22"/>
          <w:szCs w:val="22"/>
          <w:lang w:val="en-US"/>
        </w:rPr>
        <w:t>Recommendation</w:t>
      </w:r>
      <w:r w:rsidR="00FF3FB5">
        <w:rPr>
          <w:rFonts w:ascii="Arial" w:eastAsia="Arial" w:hAnsi="Arial" w:cs="Arial"/>
          <w:b/>
          <w:bCs/>
          <w:sz w:val="22"/>
          <w:szCs w:val="22"/>
          <w:lang w:val="en-US"/>
        </w:rPr>
        <w:t xml:space="preserve"> 21</w:t>
      </w:r>
      <w:r w:rsidRPr="008577B3">
        <w:rPr>
          <w:rFonts w:ascii="Arial" w:eastAsia="Arial" w:hAnsi="Arial" w:cs="Arial"/>
          <w:b/>
          <w:bCs/>
          <w:sz w:val="22"/>
          <w:szCs w:val="22"/>
          <w:lang w:val="en-US"/>
        </w:rPr>
        <w:t>:</w:t>
      </w:r>
      <w:r w:rsidR="2C3C17C0" w:rsidRPr="008577B3">
        <w:rPr>
          <w:rFonts w:ascii="Arial" w:eastAsia="Arial" w:hAnsi="Arial" w:cs="Arial"/>
          <w:sz w:val="22"/>
          <w:szCs w:val="22"/>
          <w:lang w:val="en-US"/>
        </w:rPr>
        <w:t xml:space="preserve"> That Australia amends the Disability Discrimination Act 1992 (</w:t>
      </w:r>
      <w:proofErr w:type="spellStart"/>
      <w:r w:rsidR="2C3C17C0" w:rsidRPr="008577B3">
        <w:rPr>
          <w:rFonts w:ascii="Arial" w:eastAsia="Arial" w:hAnsi="Arial" w:cs="Arial"/>
          <w:sz w:val="22"/>
          <w:szCs w:val="22"/>
          <w:lang w:val="en-US"/>
        </w:rPr>
        <w:t>Cth</w:t>
      </w:r>
      <w:proofErr w:type="spellEnd"/>
      <w:r w:rsidR="2C3C17C0" w:rsidRPr="008577B3">
        <w:rPr>
          <w:rFonts w:ascii="Arial" w:eastAsia="Arial" w:hAnsi="Arial" w:cs="Arial"/>
          <w:sz w:val="22"/>
          <w:szCs w:val="22"/>
          <w:lang w:val="en-US"/>
        </w:rPr>
        <w:t>) to</w:t>
      </w:r>
      <w:r w:rsidR="291532FC" w:rsidRPr="008577B3">
        <w:rPr>
          <w:rFonts w:ascii="Arial" w:eastAsia="Arial" w:hAnsi="Arial" w:cs="Arial"/>
          <w:sz w:val="22"/>
          <w:szCs w:val="22"/>
          <w:lang w:val="en-US"/>
        </w:rPr>
        <w:t xml:space="preserve"> </w:t>
      </w:r>
      <w:r w:rsidR="2C3C17C0" w:rsidRPr="008577B3">
        <w:rPr>
          <w:rFonts w:ascii="Arial" w:eastAsia="Arial" w:hAnsi="Arial" w:cs="Arial"/>
          <w:sz w:val="22"/>
          <w:szCs w:val="22"/>
          <w:lang w:val="en-US"/>
        </w:rPr>
        <w:t>create a stand-alone duty</w:t>
      </w:r>
      <w:r w:rsidR="76585DC2" w:rsidRPr="008577B3">
        <w:rPr>
          <w:rFonts w:ascii="Arial" w:eastAsia="Arial" w:hAnsi="Arial" w:cs="Arial"/>
          <w:sz w:val="22"/>
          <w:szCs w:val="22"/>
          <w:lang w:val="en-US"/>
        </w:rPr>
        <w:t xml:space="preserve"> </w:t>
      </w:r>
      <w:r w:rsidR="2C3C17C0" w:rsidRPr="008577B3">
        <w:rPr>
          <w:rFonts w:ascii="Arial" w:eastAsia="Arial" w:hAnsi="Arial" w:cs="Arial"/>
          <w:sz w:val="22"/>
          <w:szCs w:val="22"/>
          <w:lang w:val="en-US"/>
        </w:rPr>
        <w:t>to provide adjustments</w:t>
      </w:r>
      <w:r w:rsidR="02FAEEE7" w:rsidRPr="008577B3">
        <w:rPr>
          <w:rFonts w:ascii="Arial" w:eastAsia="Arial" w:hAnsi="Arial" w:cs="Arial"/>
          <w:sz w:val="22"/>
          <w:szCs w:val="22"/>
          <w:lang w:val="en-US"/>
        </w:rPr>
        <w:t xml:space="preserve"> and </w:t>
      </w:r>
      <w:r w:rsidR="74A5545D" w:rsidRPr="008577B3">
        <w:rPr>
          <w:rFonts w:ascii="Arial" w:eastAsia="Arial" w:hAnsi="Arial" w:cs="Arial"/>
          <w:sz w:val="22"/>
          <w:szCs w:val="22"/>
          <w:lang w:val="en-US"/>
        </w:rPr>
        <w:t>establish a positive duty to prevent discrimination</w:t>
      </w:r>
      <w:r w:rsidR="3A239DF7" w:rsidRPr="008577B3">
        <w:rPr>
          <w:rFonts w:ascii="Arial" w:eastAsia="Arial" w:hAnsi="Arial" w:cs="Arial"/>
          <w:sz w:val="22"/>
          <w:szCs w:val="22"/>
          <w:lang w:val="en-US"/>
        </w:rPr>
        <w:t>, which would apply to higher education institutions</w:t>
      </w:r>
      <w:r w:rsidR="74A5545D" w:rsidRPr="008577B3">
        <w:rPr>
          <w:rFonts w:ascii="Arial" w:eastAsia="Arial" w:hAnsi="Arial" w:cs="Arial"/>
          <w:sz w:val="22"/>
          <w:szCs w:val="22"/>
          <w:lang w:val="en-US"/>
        </w:rPr>
        <w:t xml:space="preserve">. </w:t>
      </w:r>
    </w:p>
    <w:p w14:paraId="7A214EED" w14:textId="2275E3BF" w:rsidR="00360B7A" w:rsidRPr="008577B3" w:rsidRDefault="59723486" w:rsidP="001270DB">
      <w:pPr>
        <w:spacing w:line="240" w:lineRule="auto"/>
        <w:rPr>
          <w:b/>
          <w:bCs/>
          <w:i/>
          <w:iCs/>
          <w:sz w:val="22"/>
          <w:szCs w:val="22"/>
        </w:rPr>
      </w:pPr>
      <w:r w:rsidRPr="008577B3">
        <w:rPr>
          <w:b/>
          <w:bCs/>
          <w:i/>
          <w:iCs/>
          <w:sz w:val="22"/>
          <w:szCs w:val="22"/>
        </w:rPr>
        <w:t>People with disability from CALD backgrounds</w:t>
      </w:r>
      <w:r w:rsidRPr="008577B3">
        <w:rPr>
          <w:sz w:val="22"/>
          <w:szCs w:val="22"/>
          <w:lang w:val="en-US"/>
        </w:rPr>
        <w:t xml:space="preserve"> </w:t>
      </w:r>
    </w:p>
    <w:p w14:paraId="2F3D3F31" w14:textId="2AA3619E" w:rsidR="00360B7A" w:rsidRPr="008577B3" w:rsidRDefault="629F69C7" w:rsidP="001270DB">
      <w:pPr>
        <w:spacing w:line="240" w:lineRule="auto"/>
        <w:rPr>
          <w:sz w:val="22"/>
          <w:szCs w:val="22"/>
          <w:lang w:val="en-US"/>
        </w:rPr>
      </w:pPr>
      <w:r w:rsidRPr="008577B3">
        <w:rPr>
          <w:sz w:val="22"/>
          <w:szCs w:val="22"/>
          <w:lang w:val="en-US"/>
        </w:rPr>
        <w:t xml:space="preserve">In addition, we note that </w:t>
      </w:r>
      <w:r w:rsidR="054746F5" w:rsidRPr="008577B3">
        <w:rPr>
          <w:sz w:val="22"/>
          <w:szCs w:val="22"/>
          <w:lang w:val="en-US"/>
        </w:rPr>
        <w:t xml:space="preserve">Australia's </w:t>
      </w:r>
      <w:r w:rsidR="54D89D2C" w:rsidRPr="008577B3">
        <w:rPr>
          <w:sz w:val="22"/>
          <w:szCs w:val="22"/>
          <w:lang w:val="en-US"/>
        </w:rPr>
        <w:t>R</w:t>
      </w:r>
      <w:r w:rsidR="054746F5" w:rsidRPr="008577B3">
        <w:rPr>
          <w:sz w:val="22"/>
          <w:szCs w:val="22"/>
          <w:lang w:val="en-US"/>
        </w:rPr>
        <w:t>eport states</w:t>
      </w:r>
      <w:r w:rsidR="2636A6AD" w:rsidRPr="008577B3">
        <w:rPr>
          <w:sz w:val="22"/>
          <w:szCs w:val="22"/>
          <w:lang w:val="en-US"/>
        </w:rPr>
        <w:t xml:space="preserve"> that</w:t>
      </w:r>
      <w:r w:rsidR="054746F5" w:rsidRPr="008577B3">
        <w:rPr>
          <w:sz w:val="22"/>
          <w:szCs w:val="22"/>
          <w:lang w:val="en-US"/>
        </w:rPr>
        <w:t xml:space="preserve"> 'In 2023, the Australian Government is providing around $3.1 billion for Australian schools through the Schooling Resource Standard loading for students with disability.</w:t>
      </w:r>
      <w:r w:rsidR="00360B7A" w:rsidRPr="008577B3">
        <w:rPr>
          <w:rStyle w:val="FootnoteReference"/>
          <w:sz w:val="22"/>
          <w:szCs w:val="22"/>
          <w:lang w:val="en-US"/>
        </w:rPr>
        <w:footnoteReference w:id="58"/>
      </w:r>
      <w:r w:rsidR="054746F5" w:rsidRPr="008577B3">
        <w:rPr>
          <w:sz w:val="22"/>
          <w:szCs w:val="22"/>
          <w:lang w:val="en-US"/>
        </w:rPr>
        <w:t xml:space="preserve"> The report doe</w:t>
      </w:r>
      <w:r w:rsidR="00D74214">
        <w:rPr>
          <w:sz w:val="22"/>
          <w:szCs w:val="22"/>
          <w:lang w:val="en-US"/>
        </w:rPr>
        <w:t>s not</w:t>
      </w:r>
      <w:r w:rsidR="054746F5" w:rsidRPr="008577B3">
        <w:rPr>
          <w:sz w:val="22"/>
          <w:szCs w:val="22"/>
          <w:lang w:val="en-US"/>
        </w:rPr>
        <w:t xml:space="preserve"> acknowledge that students with disability from </w:t>
      </w:r>
      <w:r w:rsidR="1CE631A0" w:rsidRPr="008577B3">
        <w:rPr>
          <w:sz w:val="22"/>
          <w:szCs w:val="22"/>
          <w:lang w:val="en-US"/>
        </w:rPr>
        <w:t>CALD</w:t>
      </w:r>
      <w:r w:rsidR="054746F5" w:rsidRPr="008577B3">
        <w:rPr>
          <w:sz w:val="22"/>
          <w:szCs w:val="22"/>
          <w:lang w:val="en-US"/>
        </w:rPr>
        <w:t xml:space="preserve"> backgrounds face compounded barriers - both language and disability discrimination simultaneously.</w:t>
      </w:r>
      <w:r w:rsidR="00ED36E4" w:rsidRPr="008577B3">
        <w:rPr>
          <w:rStyle w:val="FootnoteReference"/>
          <w:sz w:val="22"/>
          <w:szCs w:val="22"/>
          <w:lang w:val="en-US"/>
        </w:rPr>
        <w:footnoteReference w:id="59"/>
      </w:r>
      <w:r w:rsidR="1CE631A0" w:rsidRPr="008577B3">
        <w:rPr>
          <w:sz w:val="22"/>
          <w:szCs w:val="22"/>
          <w:lang w:val="en-US"/>
        </w:rPr>
        <w:t xml:space="preserve"> </w:t>
      </w:r>
      <w:r w:rsidR="054746F5" w:rsidRPr="008577B3">
        <w:rPr>
          <w:sz w:val="22"/>
          <w:szCs w:val="22"/>
          <w:lang w:val="en-US"/>
        </w:rPr>
        <w:t>Schools may attribute learning difficulties to language issues rather than identifying disability needs, and diagnoses from overseas may not be clear to Australian services or providers.</w:t>
      </w:r>
      <w:r w:rsidR="00ED36E4" w:rsidRPr="008577B3">
        <w:rPr>
          <w:rStyle w:val="FootnoteReference"/>
          <w:sz w:val="22"/>
          <w:szCs w:val="22"/>
          <w:lang w:val="en-US"/>
        </w:rPr>
        <w:footnoteReference w:id="60"/>
      </w:r>
    </w:p>
    <w:p w14:paraId="75431F65" w14:textId="320B059F" w:rsidR="0078071A" w:rsidRPr="008577B3" w:rsidRDefault="054746F5" w:rsidP="001270DB">
      <w:pPr>
        <w:spacing w:before="0" w:after="160" w:line="240" w:lineRule="auto"/>
        <w:contextualSpacing/>
        <w:rPr>
          <w:sz w:val="22"/>
          <w:szCs w:val="22"/>
          <w:lang w:val="en-US"/>
        </w:rPr>
      </w:pPr>
      <w:r w:rsidRPr="008577B3">
        <w:rPr>
          <w:b/>
          <w:bCs/>
          <w:sz w:val="22"/>
          <w:szCs w:val="22"/>
          <w:lang w:val="en-US"/>
        </w:rPr>
        <w:t>Recommendation 2</w:t>
      </w:r>
      <w:r w:rsidR="00FF3FB5">
        <w:rPr>
          <w:b/>
          <w:bCs/>
          <w:sz w:val="22"/>
          <w:szCs w:val="22"/>
          <w:lang w:val="en-US"/>
        </w:rPr>
        <w:t>2</w:t>
      </w:r>
      <w:r w:rsidRPr="008577B3">
        <w:rPr>
          <w:b/>
          <w:bCs/>
          <w:sz w:val="22"/>
          <w:szCs w:val="22"/>
          <w:lang w:val="en-US"/>
        </w:rPr>
        <w:t>:</w:t>
      </w:r>
      <w:r w:rsidRPr="008577B3">
        <w:rPr>
          <w:sz w:val="22"/>
          <w:szCs w:val="22"/>
          <w:lang w:val="en-US"/>
        </w:rPr>
        <w:t xml:space="preserve"> That Australia ensures that</w:t>
      </w:r>
      <w:r w:rsidR="0CA075FB" w:rsidRPr="008577B3">
        <w:rPr>
          <w:sz w:val="22"/>
          <w:szCs w:val="22"/>
          <w:lang w:val="en-US"/>
        </w:rPr>
        <w:t xml:space="preserve"> </w:t>
      </w:r>
      <w:r w:rsidR="00AF4354" w:rsidRPr="008577B3">
        <w:rPr>
          <w:sz w:val="22"/>
          <w:szCs w:val="22"/>
          <w:lang w:val="en-US"/>
        </w:rPr>
        <w:t xml:space="preserve">its </w:t>
      </w:r>
      <w:r w:rsidR="0CA075FB" w:rsidRPr="008577B3">
        <w:rPr>
          <w:sz w:val="22"/>
          <w:szCs w:val="22"/>
          <w:lang w:val="en-US"/>
        </w:rPr>
        <w:t xml:space="preserve">funding models </w:t>
      </w:r>
      <w:proofErr w:type="spellStart"/>
      <w:r w:rsidR="0CA075FB" w:rsidRPr="008577B3">
        <w:rPr>
          <w:sz w:val="22"/>
          <w:szCs w:val="22"/>
          <w:lang w:val="en-US"/>
        </w:rPr>
        <w:t>recognise</w:t>
      </w:r>
      <w:proofErr w:type="spellEnd"/>
      <w:r w:rsidR="0CA075FB" w:rsidRPr="008577B3">
        <w:rPr>
          <w:sz w:val="22"/>
          <w:szCs w:val="22"/>
          <w:lang w:val="en-US"/>
        </w:rPr>
        <w:t xml:space="preserve"> and resource the intersectional needs of students with disability from CALD backgrounds; that </w:t>
      </w:r>
      <w:r w:rsidR="0CA075FB" w:rsidRPr="008577B3">
        <w:rPr>
          <w:sz w:val="22"/>
          <w:szCs w:val="22"/>
          <w:lang w:val="en-US"/>
        </w:rPr>
        <w:lastRenderedPageBreak/>
        <w:t>schools have capacity to simultaneously support language acquisition and disability-related needs; that disability assessment processes in education are culturally responsive and account for linguistic diversity; and that professional development for teachers includes an intersectional understanding of disability and cultural diversity.</w:t>
      </w:r>
    </w:p>
    <w:p w14:paraId="39197229" w14:textId="4AFA955B" w:rsidR="00360B7A" w:rsidRPr="00913930" w:rsidRDefault="054746F5" w:rsidP="001270DB">
      <w:pPr>
        <w:pStyle w:val="Heading3"/>
        <w:numPr>
          <w:ilvl w:val="0"/>
          <w:numId w:val="28"/>
        </w:numPr>
        <w:spacing w:line="240" w:lineRule="auto"/>
      </w:pPr>
      <w:bookmarkStart w:id="32" w:name="_Toc219209856"/>
      <w:r>
        <w:t>Artificial Intelligence (AI) [355-361]</w:t>
      </w:r>
      <w:bookmarkEnd w:id="32"/>
    </w:p>
    <w:p w14:paraId="668A0F0A" w14:textId="0DA24FB8" w:rsidR="003A203E" w:rsidRPr="008577B3" w:rsidRDefault="003A203E" w:rsidP="001270DB">
      <w:pPr>
        <w:spacing w:line="240" w:lineRule="auto"/>
        <w:rPr>
          <w:sz w:val="22"/>
          <w:szCs w:val="22"/>
        </w:rPr>
      </w:pPr>
      <w:r w:rsidRPr="008577B3">
        <w:rPr>
          <w:sz w:val="22"/>
          <w:szCs w:val="22"/>
        </w:rPr>
        <w:t xml:space="preserve">We are concerned about the lack of AI regulation in government decision-making, particularly in the context of </w:t>
      </w:r>
      <w:r w:rsidR="00F66692">
        <w:rPr>
          <w:sz w:val="22"/>
          <w:szCs w:val="22"/>
        </w:rPr>
        <w:t xml:space="preserve">reports that </w:t>
      </w:r>
      <w:r w:rsidRPr="008577B3">
        <w:rPr>
          <w:sz w:val="22"/>
          <w:szCs w:val="22"/>
        </w:rPr>
        <w:t xml:space="preserve">the Government's </w:t>
      </w:r>
      <w:r w:rsidR="00F66692">
        <w:rPr>
          <w:sz w:val="22"/>
          <w:szCs w:val="22"/>
        </w:rPr>
        <w:t>intends to</w:t>
      </w:r>
      <w:r w:rsidRPr="008577B3">
        <w:rPr>
          <w:sz w:val="22"/>
          <w:szCs w:val="22"/>
        </w:rPr>
        <w:t xml:space="preserve"> automate NDIS plans.</w:t>
      </w:r>
      <w:r w:rsidR="001D4BB0">
        <w:rPr>
          <w:rStyle w:val="FootnoteReference"/>
          <w:sz w:val="22"/>
          <w:szCs w:val="22"/>
        </w:rPr>
        <w:footnoteReference w:id="61"/>
      </w:r>
      <w:r w:rsidRPr="008577B3">
        <w:rPr>
          <w:sz w:val="22"/>
          <w:szCs w:val="22"/>
        </w:rPr>
        <w:t xml:space="preserve"> As outlined in a recent joint statement by Australian disability representative organisations:  </w:t>
      </w:r>
    </w:p>
    <w:p w14:paraId="596FF010" w14:textId="09F832E3" w:rsidR="003A203E" w:rsidRPr="008577B3" w:rsidRDefault="003A203E" w:rsidP="001270DB">
      <w:pPr>
        <w:spacing w:line="240" w:lineRule="auto"/>
        <w:rPr>
          <w:sz w:val="22"/>
          <w:szCs w:val="22"/>
        </w:rPr>
      </w:pPr>
      <w:r w:rsidRPr="008577B3">
        <w:rPr>
          <w:sz w:val="22"/>
          <w:szCs w:val="22"/>
        </w:rPr>
        <w:t>'[Australia] lacks a comprehensive legal framework regulating the use of AI and automatic decision-making in public administration. Without regulation, there is no requirement for algorithms to be transparent, reviewable, or accountable. Issues such as privacy, data integrity, system resilience, and the risks associated with commercial AI providers remain unresolved.’</w:t>
      </w:r>
      <w:r w:rsidR="00A16194" w:rsidRPr="008577B3">
        <w:rPr>
          <w:rStyle w:val="FootnoteReference"/>
          <w:sz w:val="22"/>
          <w:szCs w:val="22"/>
        </w:rPr>
        <w:footnoteReference w:id="62"/>
      </w:r>
    </w:p>
    <w:p w14:paraId="36597233" w14:textId="0B70C947" w:rsidR="003A203E" w:rsidRPr="008577B3" w:rsidRDefault="003A203E" w:rsidP="001270DB">
      <w:pPr>
        <w:spacing w:line="240" w:lineRule="auto"/>
        <w:rPr>
          <w:sz w:val="22"/>
          <w:szCs w:val="22"/>
        </w:rPr>
      </w:pPr>
      <w:r w:rsidRPr="008577B3">
        <w:rPr>
          <w:b/>
          <w:bCs/>
          <w:sz w:val="22"/>
          <w:szCs w:val="22"/>
        </w:rPr>
        <w:t>Recommendation</w:t>
      </w:r>
      <w:r w:rsidR="00FF3FB5">
        <w:rPr>
          <w:b/>
          <w:bCs/>
          <w:sz w:val="22"/>
          <w:szCs w:val="22"/>
        </w:rPr>
        <w:t xml:space="preserve"> 23:</w:t>
      </w:r>
      <w:r w:rsidRPr="008577B3">
        <w:rPr>
          <w:sz w:val="22"/>
          <w:szCs w:val="22"/>
        </w:rPr>
        <w:t xml:space="preserve"> That Australia mandates greater transparency when automation AI is used in government decision</w:t>
      </w:r>
      <w:r w:rsidR="002A23D2">
        <w:rPr>
          <w:sz w:val="22"/>
          <w:szCs w:val="22"/>
        </w:rPr>
        <w:t>-</w:t>
      </w:r>
      <w:r w:rsidRPr="008577B3">
        <w:rPr>
          <w:sz w:val="22"/>
          <w:szCs w:val="22"/>
        </w:rPr>
        <w:t xml:space="preserve">making and co-designs algorithms and processes with people with disability. </w:t>
      </w:r>
    </w:p>
    <w:p w14:paraId="207EE6F2" w14:textId="23CCEDF1" w:rsidR="003A203E" w:rsidRPr="008577B3" w:rsidRDefault="003A203E" w:rsidP="001270DB">
      <w:pPr>
        <w:spacing w:line="240" w:lineRule="auto"/>
        <w:rPr>
          <w:sz w:val="22"/>
          <w:szCs w:val="22"/>
        </w:rPr>
      </w:pPr>
      <w:r w:rsidRPr="008577B3">
        <w:rPr>
          <w:b/>
          <w:bCs/>
          <w:sz w:val="22"/>
          <w:szCs w:val="22"/>
        </w:rPr>
        <w:t>Recommendation</w:t>
      </w:r>
      <w:r w:rsidR="00FF3FB5">
        <w:rPr>
          <w:b/>
          <w:bCs/>
          <w:sz w:val="22"/>
          <w:szCs w:val="22"/>
        </w:rPr>
        <w:t xml:space="preserve"> 24</w:t>
      </w:r>
      <w:r w:rsidRPr="008577B3">
        <w:rPr>
          <w:b/>
          <w:bCs/>
          <w:sz w:val="22"/>
          <w:szCs w:val="22"/>
        </w:rPr>
        <w:t xml:space="preserve">: </w:t>
      </w:r>
      <w:r w:rsidRPr="008577B3">
        <w:rPr>
          <w:sz w:val="22"/>
          <w:szCs w:val="22"/>
        </w:rPr>
        <w:t>That all decision</w:t>
      </w:r>
      <w:r w:rsidR="002A23D2">
        <w:rPr>
          <w:sz w:val="22"/>
          <w:szCs w:val="22"/>
        </w:rPr>
        <w:t>-</w:t>
      </w:r>
      <w:r w:rsidRPr="008577B3">
        <w:rPr>
          <w:sz w:val="22"/>
          <w:szCs w:val="22"/>
        </w:rPr>
        <w:t xml:space="preserve">making related to essential (housing, healthcare, NDIS, income support, education) must include human-in-the-loop with the authority to review and alter decisions that are contrary to wellbeing. </w:t>
      </w:r>
    </w:p>
    <w:p w14:paraId="443DD96E" w14:textId="2148C33D" w:rsidR="003A203E" w:rsidRPr="008577B3" w:rsidRDefault="003A203E" w:rsidP="001270DB">
      <w:pPr>
        <w:spacing w:line="240" w:lineRule="auto"/>
        <w:rPr>
          <w:sz w:val="22"/>
          <w:szCs w:val="22"/>
        </w:rPr>
      </w:pPr>
      <w:r w:rsidRPr="008577B3">
        <w:rPr>
          <w:b/>
          <w:bCs/>
          <w:sz w:val="22"/>
          <w:szCs w:val="22"/>
        </w:rPr>
        <w:t>Recommendation</w:t>
      </w:r>
      <w:r w:rsidR="00FF3FB5">
        <w:rPr>
          <w:b/>
          <w:bCs/>
          <w:sz w:val="22"/>
          <w:szCs w:val="22"/>
        </w:rPr>
        <w:t xml:space="preserve"> 25</w:t>
      </w:r>
      <w:r w:rsidRPr="008577B3">
        <w:rPr>
          <w:b/>
          <w:bCs/>
          <w:sz w:val="22"/>
          <w:szCs w:val="22"/>
        </w:rPr>
        <w:t>:</w:t>
      </w:r>
      <w:r w:rsidRPr="008577B3">
        <w:rPr>
          <w:sz w:val="22"/>
          <w:szCs w:val="22"/>
        </w:rPr>
        <w:t xml:space="preserve"> That Australia introduces regular expert human audits of issues raised by customers, especially those from marginalised communities, and evaluates automated decisions to improve automation AI performance</w:t>
      </w:r>
      <w:r w:rsidR="00D8743E" w:rsidRPr="008577B3">
        <w:rPr>
          <w:sz w:val="22"/>
          <w:szCs w:val="22"/>
        </w:rPr>
        <w:t xml:space="preserve"> and that annual audit reports of AI and automated systems are published.</w:t>
      </w:r>
    </w:p>
    <w:p w14:paraId="427C2C9C" w14:textId="4D014195" w:rsidR="00045D91" w:rsidRPr="008577B3" w:rsidRDefault="0A551DBB" w:rsidP="001270DB">
      <w:pPr>
        <w:spacing w:line="240" w:lineRule="auto"/>
        <w:rPr>
          <w:b/>
          <w:bCs/>
          <w:sz w:val="22"/>
          <w:szCs w:val="22"/>
        </w:rPr>
      </w:pPr>
      <w:r w:rsidRPr="008577B3">
        <w:rPr>
          <w:rStyle w:val="Strong"/>
          <w:sz w:val="22"/>
          <w:szCs w:val="22"/>
        </w:rPr>
        <w:t xml:space="preserve">People with disability from </w:t>
      </w:r>
      <w:r w:rsidR="1CE631A0" w:rsidRPr="008577B3">
        <w:rPr>
          <w:rStyle w:val="Strong"/>
          <w:sz w:val="22"/>
          <w:szCs w:val="22"/>
        </w:rPr>
        <w:t>CALD</w:t>
      </w:r>
      <w:r w:rsidRPr="008577B3">
        <w:rPr>
          <w:rStyle w:val="Strong"/>
          <w:sz w:val="22"/>
          <w:szCs w:val="22"/>
        </w:rPr>
        <w:t xml:space="preserve"> backgrounds</w:t>
      </w:r>
    </w:p>
    <w:p w14:paraId="6BA06BBB" w14:textId="6A1DBE82" w:rsidR="00360B7A" w:rsidRPr="008577B3" w:rsidRDefault="054746F5" w:rsidP="001270DB">
      <w:pPr>
        <w:spacing w:line="240" w:lineRule="auto"/>
        <w:rPr>
          <w:sz w:val="22"/>
          <w:szCs w:val="22"/>
          <w:lang w:val="en-US"/>
        </w:rPr>
      </w:pPr>
      <w:r w:rsidRPr="008577B3">
        <w:rPr>
          <w:sz w:val="22"/>
          <w:szCs w:val="22"/>
          <w:lang w:val="en-US"/>
        </w:rPr>
        <w:t xml:space="preserve">People with disability from </w:t>
      </w:r>
      <w:r w:rsidR="1CE631A0" w:rsidRPr="008577B3">
        <w:rPr>
          <w:sz w:val="22"/>
          <w:szCs w:val="22"/>
          <w:lang w:val="en-US"/>
        </w:rPr>
        <w:t>CALD</w:t>
      </w:r>
      <w:r w:rsidRPr="008577B3">
        <w:rPr>
          <w:sz w:val="22"/>
          <w:szCs w:val="22"/>
          <w:lang w:val="en-US"/>
        </w:rPr>
        <w:t xml:space="preserve"> backgrounds are among the most excluded from digital participation.</w:t>
      </w:r>
      <w:r w:rsidR="005F65F3" w:rsidRPr="008577B3">
        <w:rPr>
          <w:rStyle w:val="FootnoteReference"/>
          <w:sz w:val="22"/>
          <w:szCs w:val="22"/>
          <w:lang w:val="en-US"/>
        </w:rPr>
        <w:footnoteReference w:id="63"/>
      </w:r>
      <w:r w:rsidRPr="008577B3">
        <w:rPr>
          <w:sz w:val="22"/>
          <w:szCs w:val="22"/>
          <w:lang w:val="en-US"/>
        </w:rPr>
        <w:t xml:space="preserve"> Most assistive technologies are available only in English and screen readers and communication devices rarely support community languages. </w:t>
      </w:r>
      <w:r w:rsidR="005F65F3" w:rsidRPr="008577B3">
        <w:rPr>
          <w:rStyle w:val="FootnoteReference"/>
          <w:sz w:val="22"/>
          <w:szCs w:val="22"/>
          <w:lang w:val="en-US"/>
        </w:rPr>
        <w:footnoteReference w:id="64"/>
      </w:r>
      <w:r w:rsidR="5E5EEFB5" w:rsidRPr="008577B3">
        <w:rPr>
          <w:sz w:val="22"/>
          <w:szCs w:val="22"/>
          <w:lang w:val="en-US"/>
        </w:rPr>
        <w:t xml:space="preserve"> </w:t>
      </w:r>
      <w:r w:rsidRPr="008577B3">
        <w:rPr>
          <w:sz w:val="22"/>
          <w:szCs w:val="22"/>
          <w:lang w:val="en-US"/>
        </w:rPr>
        <w:t>The intersection of</w:t>
      </w:r>
      <w:r w:rsidRPr="00A37A1D">
        <w:rPr>
          <w:lang w:val="en-US"/>
        </w:rPr>
        <w:t xml:space="preserve"> </w:t>
      </w:r>
      <w:r w:rsidRPr="008577B3">
        <w:rPr>
          <w:sz w:val="22"/>
          <w:szCs w:val="22"/>
          <w:lang w:val="en-US"/>
        </w:rPr>
        <w:t xml:space="preserve">language barriers and disability accessibility requirements creates severe digital exclusion. </w:t>
      </w:r>
    </w:p>
    <w:p w14:paraId="0451CC6A" w14:textId="1860D4F1" w:rsidR="00360B7A" w:rsidRPr="008577B3" w:rsidRDefault="054746F5" w:rsidP="001270DB">
      <w:pPr>
        <w:spacing w:line="240" w:lineRule="auto"/>
        <w:rPr>
          <w:color w:val="00AE9D" w:themeColor="accent6"/>
          <w:sz w:val="22"/>
          <w:szCs w:val="22"/>
          <w:lang w:val="en-US"/>
        </w:rPr>
      </w:pPr>
      <w:r w:rsidRPr="008577B3">
        <w:rPr>
          <w:sz w:val="22"/>
          <w:szCs w:val="22"/>
          <w:lang w:val="en-US"/>
        </w:rPr>
        <w:t>Further, AI hiring systems offer employers a faster and cheaper way to screen candidates. However, a new study from the Melbourne Law School researcher Dr Natalie Sheard warns that these systems could unintentionally be entrenching discrimination against women, people with disabili</w:t>
      </w:r>
      <w:r w:rsidR="0A551DBB" w:rsidRPr="008577B3">
        <w:rPr>
          <w:sz w:val="22"/>
          <w:szCs w:val="22"/>
          <w:lang w:val="en-US"/>
        </w:rPr>
        <w:t>ty</w:t>
      </w:r>
      <w:r w:rsidRPr="008577B3">
        <w:rPr>
          <w:sz w:val="22"/>
          <w:szCs w:val="22"/>
          <w:lang w:val="en-US"/>
        </w:rPr>
        <w:t>, and culturally diverse applicants.</w:t>
      </w:r>
      <w:r w:rsidR="005F65F3" w:rsidRPr="008577B3">
        <w:rPr>
          <w:rStyle w:val="FootnoteReference"/>
          <w:sz w:val="22"/>
          <w:szCs w:val="22"/>
          <w:lang w:val="en-US"/>
        </w:rPr>
        <w:footnoteReference w:id="65"/>
      </w:r>
    </w:p>
    <w:p w14:paraId="511BAC23" w14:textId="0BFE9C60" w:rsidR="00360B7A" w:rsidRPr="008577B3" w:rsidRDefault="054746F5" w:rsidP="001270DB">
      <w:pPr>
        <w:spacing w:line="240" w:lineRule="auto"/>
        <w:rPr>
          <w:sz w:val="22"/>
          <w:szCs w:val="22"/>
          <w:lang w:val="en-US"/>
        </w:rPr>
      </w:pPr>
      <w:r w:rsidRPr="008577B3">
        <w:rPr>
          <w:b/>
          <w:bCs/>
          <w:sz w:val="22"/>
          <w:szCs w:val="22"/>
          <w:lang w:val="en-US"/>
        </w:rPr>
        <w:lastRenderedPageBreak/>
        <w:t>Recommendation 2</w:t>
      </w:r>
      <w:r w:rsidR="00FF3FB5">
        <w:rPr>
          <w:b/>
          <w:bCs/>
          <w:sz w:val="22"/>
          <w:szCs w:val="22"/>
          <w:lang w:val="en-US"/>
        </w:rPr>
        <w:t>6</w:t>
      </w:r>
      <w:r w:rsidRPr="008577B3">
        <w:rPr>
          <w:b/>
          <w:bCs/>
          <w:sz w:val="22"/>
          <w:szCs w:val="22"/>
          <w:lang w:val="en-US"/>
        </w:rPr>
        <w:t xml:space="preserve">: </w:t>
      </w:r>
      <w:r w:rsidR="00930352" w:rsidRPr="008577B3">
        <w:rPr>
          <w:sz w:val="22"/>
          <w:szCs w:val="22"/>
          <w:lang w:val="en-US"/>
        </w:rPr>
        <w:t>That Australia ensures</w:t>
      </w:r>
      <w:r w:rsidRPr="008577B3">
        <w:rPr>
          <w:sz w:val="22"/>
          <w:szCs w:val="22"/>
          <w:lang w:val="en-US"/>
        </w:rPr>
        <w:t xml:space="preserve"> that its AI ethics frameworks explicitly address intersectional discrimination, that AI systems must undergo accessibility and cultural safety audits, that digital inclusion strategies must address </w:t>
      </w:r>
      <w:r w:rsidR="1CE631A0" w:rsidRPr="008577B3">
        <w:rPr>
          <w:sz w:val="22"/>
          <w:szCs w:val="22"/>
          <w:lang w:val="en-US"/>
        </w:rPr>
        <w:t>CALD</w:t>
      </w:r>
      <w:r w:rsidRPr="008577B3">
        <w:rPr>
          <w:sz w:val="22"/>
          <w:szCs w:val="22"/>
          <w:lang w:val="en-US"/>
        </w:rPr>
        <w:t>-specific barriers and that assistive technologies are multilingual.</w:t>
      </w:r>
    </w:p>
    <w:p w14:paraId="460BB071" w14:textId="77777777" w:rsidR="00F61FA2" w:rsidRPr="008577B3" w:rsidRDefault="5E5ABFBB" w:rsidP="001270DB">
      <w:pPr>
        <w:spacing w:line="240" w:lineRule="auto"/>
        <w:rPr>
          <w:rStyle w:val="Strong"/>
          <w:sz w:val="22"/>
          <w:szCs w:val="22"/>
        </w:rPr>
      </w:pPr>
      <w:r w:rsidRPr="008577B3">
        <w:rPr>
          <w:rStyle w:val="Strong"/>
          <w:sz w:val="22"/>
          <w:szCs w:val="22"/>
        </w:rPr>
        <w:t>Women and girls with disability</w:t>
      </w:r>
    </w:p>
    <w:p w14:paraId="48AFEC83" w14:textId="77777777" w:rsidR="006A7222" w:rsidRPr="008577B3" w:rsidRDefault="054746F5" w:rsidP="001270DB">
      <w:pPr>
        <w:spacing w:line="240" w:lineRule="auto"/>
        <w:rPr>
          <w:sz w:val="22"/>
          <w:szCs w:val="22"/>
        </w:rPr>
      </w:pPr>
      <w:r w:rsidRPr="008577B3">
        <w:rPr>
          <w:sz w:val="22"/>
          <w:szCs w:val="22"/>
        </w:rPr>
        <w:t xml:space="preserve">We are similarly concerned about the gendered impacts of artificial intelligence on women and gender-diverse people with disability, particularly in employment and healthcare. AI systems used in recruitment, workplace monitoring, and performance assessment are producing patterned exclusion of women </w:t>
      </w:r>
      <w:r w:rsidR="42317CE7" w:rsidRPr="008577B3">
        <w:rPr>
          <w:sz w:val="22"/>
          <w:szCs w:val="22"/>
        </w:rPr>
        <w:t xml:space="preserve">and gender-diverse people </w:t>
      </w:r>
      <w:r w:rsidRPr="008577B3">
        <w:rPr>
          <w:sz w:val="22"/>
          <w:szCs w:val="22"/>
        </w:rPr>
        <w:t>with disability through biased productivity metrics, inaccessible assessment tools, and algorithmic interpretations of work histories that penalise disability-related interruptions or flexible work arrangements.</w:t>
      </w:r>
      <w:r w:rsidR="00360B7A" w:rsidRPr="008577B3">
        <w:rPr>
          <w:rStyle w:val="FootnoteReference"/>
          <w:sz w:val="22"/>
          <w:szCs w:val="22"/>
        </w:rPr>
        <w:footnoteReference w:id="66"/>
      </w:r>
      <w:r w:rsidRPr="008577B3">
        <w:rPr>
          <w:sz w:val="22"/>
          <w:szCs w:val="22"/>
        </w:rPr>
        <w:t xml:space="preserve"> </w:t>
      </w:r>
    </w:p>
    <w:p w14:paraId="148A1444" w14:textId="49F8A0A9" w:rsidR="00360B7A" w:rsidRPr="008577B3" w:rsidRDefault="054746F5" w:rsidP="001270DB">
      <w:pPr>
        <w:spacing w:line="240" w:lineRule="auto"/>
        <w:rPr>
          <w:sz w:val="22"/>
          <w:szCs w:val="22"/>
        </w:rPr>
      </w:pPr>
      <w:r w:rsidRPr="008577B3">
        <w:rPr>
          <w:sz w:val="22"/>
          <w:szCs w:val="22"/>
        </w:rPr>
        <w:t xml:space="preserve">WWDA’s evidence also shows that AI used to draft patient notes emphasises men’s health needs and </w:t>
      </w:r>
      <w:r w:rsidR="00717911">
        <w:rPr>
          <w:sz w:val="22"/>
          <w:szCs w:val="22"/>
        </w:rPr>
        <w:t>minimises</w:t>
      </w:r>
      <w:r w:rsidRPr="008577B3">
        <w:rPr>
          <w:sz w:val="22"/>
          <w:szCs w:val="22"/>
        </w:rPr>
        <w:t xml:space="preserve"> symptoms more common among women, which is particularly harmful for women with disability who already face diagnostic overshadowing and delayed care.</w:t>
      </w:r>
      <w:r w:rsidR="00360B7A" w:rsidRPr="008577B3">
        <w:rPr>
          <w:rStyle w:val="FootnoteReference"/>
          <w:sz w:val="22"/>
          <w:szCs w:val="22"/>
        </w:rPr>
        <w:footnoteReference w:id="67"/>
      </w:r>
    </w:p>
    <w:p w14:paraId="732E6A68" w14:textId="23A12D90" w:rsidR="00CB2E90" w:rsidRPr="008577B3" w:rsidRDefault="054746F5" w:rsidP="001270DB">
      <w:pPr>
        <w:spacing w:line="240" w:lineRule="auto"/>
        <w:rPr>
          <w:sz w:val="22"/>
          <w:szCs w:val="22"/>
        </w:rPr>
      </w:pPr>
      <w:r w:rsidRPr="008577B3">
        <w:rPr>
          <w:sz w:val="22"/>
          <w:szCs w:val="22"/>
        </w:rPr>
        <w:t>The absence of enforceable, gender-responsive regulation risks entrenching discrimination against women with disability, undermining Australia’s obligations under the ICESCR, including the rights to equality, work, and health.</w:t>
      </w:r>
    </w:p>
    <w:p w14:paraId="76A55519" w14:textId="55C26703" w:rsidR="7CD4A099" w:rsidRPr="008577B3" w:rsidRDefault="7CD4A099" w:rsidP="001270DB">
      <w:pPr>
        <w:spacing w:line="240" w:lineRule="auto"/>
        <w:rPr>
          <w:sz w:val="22"/>
          <w:szCs w:val="22"/>
        </w:rPr>
      </w:pPr>
    </w:p>
    <w:p w14:paraId="74DA4AAB" w14:textId="0E7657A2" w:rsidR="7CD4A099" w:rsidRDefault="7CD4A099" w:rsidP="001270DB">
      <w:pPr>
        <w:spacing w:line="240" w:lineRule="auto"/>
      </w:pPr>
    </w:p>
    <w:sectPr w:rsidR="7CD4A099" w:rsidSect="002E17B4">
      <w:pgSz w:w="11906" w:h="16838" w:code="9"/>
      <w:pgMar w:top="1440" w:right="1440" w:bottom="1440" w:left="1440"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50992" w14:textId="77777777" w:rsidR="008A11DA" w:rsidRPr="00DF71FC" w:rsidRDefault="008A11DA" w:rsidP="00F1283C">
      <w:pPr>
        <w:spacing w:after="0" w:line="240" w:lineRule="auto"/>
      </w:pPr>
      <w:r w:rsidRPr="00DF71FC">
        <w:separator/>
      </w:r>
    </w:p>
  </w:endnote>
  <w:endnote w:type="continuationSeparator" w:id="0">
    <w:p w14:paraId="270C8062" w14:textId="77777777" w:rsidR="008A11DA" w:rsidRPr="00DF71FC" w:rsidRDefault="008A11DA" w:rsidP="00F1283C">
      <w:pPr>
        <w:spacing w:after="0" w:line="240" w:lineRule="auto"/>
      </w:pPr>
      <w:r w:rsidRPr="00DF71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20C4" w14:textId="77777777" w:rsidR="008A11DA" w:rsidRPr="00DF71FC" w:rsidRDefault="008A11DA" w:rsidP="00F1283C">
      <w:pPr>
        <w:spacing w:after="0" w:line="240" w:lineRule="auto"/>
      </w:pPr>
      <w:r w:rsidRPr="00DF71FC">
        <w:separator/>
      </w:r>
    </w:p>
  </w:footnote>
  <w:footnote w:type="continuationSeparator" w:id="0">
    <w:p w14:paraId="516412AC" w14:textId="77777777" w:rsidR="008A11DA" w:rsidRPr="00DF71FC" w:rsidRDefault="008A11DA" w:rsidP="00F1283C">
      <w:pPr>
        <w:spacing w:after="0" w:line="240" w:lineRule="auto"/>
      </w:pPr>
      <w:r w:rsidRPr="00DF71FC">
        <w:continuationSeparator/>
      </w:r>
    </w:p>
  </w:footnote>
  <w:footnote w:id="1">
    <w:p w14:paraId="0CB72ED2" w14:textId="3C7B4C51"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B71FEC" w:rsidRPr="00194373">
        <w:rPr>
          <w:sz w:val="18"/>
          <w:szCs w:val="18"/>
        </w:rPr>
        <w:t xml:space="preserve">ICESCR Committee (2017) </w:t>
      </w:r>
      <w:hyperlink r:id="rId1">
        <w:r w:rsidR="00B71FEC" w:rsidRPr="00194373">
          <w:rPr>
            <w:rStyle w:val="Hyperlink"/>
            <w:i/>
            <w:iCs/>
            <w:sz w:val="18"/>
            <w:szCs w:val="18"/>
          </w:rPr>
          <w:t>Concluding observations on the fifth periodic report of Australia</w:t>
        </w:r>
      </w:hyperlink>
      <w:r w:rsidRPr="00194373">
        <w:rPr>
          <w:i/>
          <w:iCs/>
          <w:sz w:val="18"/>
          <w:szCs w:val="18"/>
        </w:rPr>
        <w:t>,</w:t>
      </w:r>
      <w:r w:rsidRPr="00194373">
        <w:rPr>
          <w:sz w:val="18"/>
          <w:szCs w:val="18"/>
        </w:rPr>
        <w:t xml:space="preserve"> United Nations, accessed 13 January 2026, Paras [35-36].</w:t>
      </w:r>
    </w:p>
  </w:footnote>
  <w:footnote w:id="2">
    <w:p w14:paraId="462D9F35" w14:textId="48A0E4D5" w:rsidR="00AF361E" w:rsidRPr="00194373" w:rsidRDefault="00AF361E" w:rsidP="0038063B">
      <w:pPr>
        <w:pStyle w:val="FootnoteText"/>
        <w:rPr>
          <w:sz w:val="18"/>
          <w:szCs w:val="18"/>
        </w:rPr>
      </w:pPr>
      <w:r w:rsidRPr="00194373">
        <w:rPr>
          <w:rStyle w:val="FootnoteReference"/>
          <w:sz w:val="18"/>
          <w:szCs w:val="18"/>
          <w:vertAlign w:val="baseline"/>
        </w:rPr>
        <w:footnoteRef/>
      </w:r>
      <w:r w:rsidRPr="00194373">
        <w:rPr>
          <w:sz w:val="18"/>
          <w:szCs w:val="18"/>
        </w:rPr>
        <w:t xml:space="preserve"> </w:t>
      </w:r>
      <w:r w:rsidR="00A16CCE" w:rsidRPr="00194373">
        <w:rPr>
          <w:sz w:val="18"/>
          <w:szCs w:val="18"/>
        </w:rPr>
        <w:t>Australian Government</w:t>
      </w:r>
      <w:r w:rsidR="00800FEB" w:rsidRPr="00194373">
        <w:rPr>
          <w:sz w:val="18"/>
          <w:szCs w:val="18"/>
        </w:rPr>
        <w:t xml:space="preserve"> (2024</w:t>
      </w:r>
      <w:r w:rsidR="00800FEB" w:rsidRPr="00194373">
        <w:rPr>
          <w:i/>
          <w:iCs/>
          <w:sz w:val="18"/>
          <w:szCs w:val="18"/>
        </w:rPr>
        <w:t xml:space="preserve">) </w:t>
      </w:r>
      <w:hyperlink r:id="rId2" w:history="1">
        <w:r w:rsidR="00800FEB" w:rsidRPr="00194373">
          <w:rPr>
            <w:rStyle w:val="Hyperlink"/>
            <w:i/>
            <w:iCs/>
            <w:sz w:val="18"/>
            <w:szCs w:val="18"/>
          </w:rPr>
          <w:t xml:space="preserve">Australian Government Response to the </w:t>
        </w:r>
        <w:r w:rsidR="00A02078" w:rsidRPr="00194373">
          <w:rPr>
            <w:rStyle w:val="Hyperlink"/>
            <w:i/>
            <w:iCs/>
            <w:sz w:val="18"/>
            <w:szCs w:val="18"/>
          </w:rPr>
          <w:t>Disability Royal Commission</w:t>
        </w:r>
      </w:hyperlink>
      <w:r w:rsidR="00A02078" w:rsidRPr="00194373">
        <w:rPr>
          <w:sz w:val="18"/>
          <w:szCs w:val="18"/>
        </w:rPr>
        <w:t xml:space="preserve">, </w:t>
      </w:r>
      <w:r w:rsidR="00A16CCE" w:rsidRPr="00194373">
        <w:rPr>
          <w:sz w:val="18"/>
          <w:szCs w:val="18"/>
        </w:rPr>
        <w:t>Australian Government, accessed 13 January 2026.</w:t>
      </w:r>
    </w:p>
  </w:footnote>
  <w:footnote w:id="3">
    <w:p w14:paraId="6A8BF10C" w14:textId="33C6D1D1"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9F6914" w:rsidRPr="00194373">
        <w:rPr>
          <w:sz w:val="18"/>
          <w:szCs w:val="18"/>
        </w:rPr>
        <w:t>Committee on the Rights of Persons with Disabilities</w:t>
      </w:r>
      <w:r w:rsidR="00245837" w:rsidRPr="00194373">
        <w:rPr>
          <w:sz w:val="18"/>
          <w:szCs w:val="18"/>
        </w:rPr>
        <w:t xml:space="preserve"> </w:t>
      </w:r>
      <w:r w:rsidR="009F6914" w:rsidRPr="00194373">
        <w:rPr>
          <w:sz w:val="18"/>
          <w:szCs w:val="18"/>
        </w:rPr>
        <w:t>(CRPD Committee</w:t>
      </w:r>
      <w:r w:rsidR="00245837" w:rsidRPr="00194373">
        <w:rPr>
          <w:sz w:val="18"/>
          <w:szCs w:val="18"/>
        </w:rPr>
        <w:t>)</w:t>
      </w:r>
      <w:r w:rsidRPr="00194373">
        <w:rPr>
          <w:sz w:val="18"/>
          <w:szCs w:val="18"/>
        </w:rPr>
        <w:t xml:space="preserve"> (</w:t>
      </w:r>
      <w:r w:rsidR="008156A0" w:rsidRPr="00194373">
        <w:rPr>
          <w:sz w:val="18"/>
          <w:szCs w:val="18"/>
        </w:rPr>
        <w:t>2019</w:t>
      </w:r>
      <w:r w:rsidRPr="00194373">
        <w:rPr>
          <w:sz w:val="18"/>
          <w:szCs w:val="18"/>
        </w:rPr>
        <w:t xml:space="preserve">) </w:t>
      </w:r>
      <w:hyperlink r:id="rId3">
        <w:r w:rsidR="008156A0" w:rsidRPr="00194373">
          <w:rPr>
            <w:rStyle w:val="Hyperlink"/>
            <w:i/>
            <w:iCs/>
            <w:sz w:val="18"/>
            <w:szCs w:val="18"/>
          </w:rPr>
          <w:t>Concluding observations on the combined second and third reports of Australia</w:t>
        </w:r>
      </w:hyperlink>
      <w:r w:rsidRPr="00194373">
        <w:rPr>
          <w:sz w:val="18"/>
          <w:szCs w:val="18"/>
        </w:rPr>
        <w:t xml:space="preserve">, </w:t>
      </w:r>
      <w:r w:rsidR="009F6914" w:rsidRPr="00194373">
        <w:rPr>
          <w:sz w:val="18"/>
          <w:szCs w:val="18"/>
        </w:rPr>
        <w:t>CRPD Committee</w:t>
      </w:r>
      <w:r w:rsidRPr="00194373">
        <w:rPr>
          <w:sz w:val="18"/>
          <w:szCs w:val="18"/>
        </w:rPr>
        <w:t xml:space="preserve">, </w:t>
      </w:r>
      <w:r w:rsidR="007F33BC" w:rsidRPr="00194373">
        <w:rPr>
          <w:sz w:val="18"/>
          <w:szCs w:val="18"/>
        </w:rPr>
        <w:t xml:space="preserve">United Nations, </w:t>
      </w:r>
      <w:r w:rsidRPr="00194373">
        <w:rPr>
          <w:sz w:val="18"/>
          <w:szCs w:val="18"/>
        </w:rPr>
        <w:t>accessed 13 January 2026.</w:t>
      </w:r>
    </w:p>
  </w:footnote>
  <w:footnote w:id="4">
    <w:p w14:paraId="70B2E35D" w14:textId="7994903D" w:rsidR="00AF361E" w:rsidRPr="00194373" w:rsidRDefault="00AF361E" w:rsidP="0038063B">
      <w:pPr>
        <w:pStyle w:val="FootnoteText"/>
        <w:rPr>
          <w:sz w:val="18"/>
          <w:szCs w:val="18"/>
        </w:rPr>
      </w:pPr>
      <w:r w:rsidRPr="00194373">
        <w:rPr>
          <w:rStyle w:val="FootnoteReference"/>
          <w:sz w:val="18"/>
          <w:szCs w:val="18"/>
          <w:vertAlign w:val="baseline"/>
        </w:rPr>
        <w:footnoteRef/>
      </w:r>
      <w:r w:rsidRPr="00194373">
        <w:rPr>
          <w:sz w:val="18"/>
          <w:szCs w:val="18"/>
        </w:rPr>
        <w:t xml:space="preserve"> </w:t>
      </w:r>
      <w:r w:rsidR="0015396A" w:rsidRPr="00194373">
        <w:rPr>
          <w:i/>
          <w:iCs/>
          <w:sz w:val="18"/>
          <w:szCs w:val="18"/>
        </w:rPr>
        <w:t>Commonwealth v Tasmania</w:t>
      </w:r>
      <w:r w:rsidR="0015396A" w:rsidRPr="00194373">
        <w:rPr>
          <w:sz w:val="18"/>
          <w:szCs w:val="18"/>
        </w:rPr>
        <w:t xml:space="preserve"> (1983) 158 CLR 1.</w:t>
      </w:r>
    </w:p>
  </w:footnote>
  <w:footnote w:id="5">
    <w:p w14:paraId="68AEE575" w14:textId="7723BCD8"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0E4789" w:rsidRPr="00194373">
        <w:rPr>
          <w:sz w:val="18"/>
          <w:szCs w:val="18"/>
        </w:rPr>
        <w:t>Australi</w:t>
      </w:r>
      <w:r w:rsidR="003723B1" w:rsidRPr="00194373">
        <w:rPr>
          <w:sz w:val="18"/>
          <w:szCs w:val="18"/>
        </w:rPr>
        <w:t>a</w:t>
      </w:r>
      <w:r w:rsidR="000E4789" w:rsidRPr="00194373">
        <w:rPr>
          <w:sz w:val="18"/>
          <w:szCs w:val="18"/>
        </w:rPr>
        <w:t>n Institute of Health and Welfare (AIHW)</w:t>
      </w:r>
      <w:r w:rsidRPr="00194373">
        <w:rPr>
          <w:sz w:val="18"/>
          <w:szCs w:val="18"/>
        </w:rPr>
        <w:t xml:space="preserve"> (</w:t>
      </w:r>
      <w:r w:rsidR="005E2DDB" w:rsidRPr="00194373">
        <w:rPr>
          <w:sz w:val="18"/>
          <w:szCs w:val="18"/>
        </w:rPr>
        <w:t>2025</w:t>
      </w:r>
      <w:r w:rsidRPr="00194373">
        <w:rPr>
          <w:sz w:val="18"/>
          <w:szCs w:val="18"/>
        </w:rPr>
        <w:t xml:space="preserve">) </w:t>
      </w:r>
      <w:hyperlink r:id="rId4">
        <w:r w:rsidR="0005440C" w:rsidRPr="00194373">
          <w:rPr>
            <w:rStyle w:val="Hyperlink"/>
            <w:i/>
            <w:iCs/>
            <w:sz w:val="18"/>
            <w:szCs w:val="18"/>
          </w:rPr>
          <w:t>Australia’s Disability Strategy 2021–2031 Outcomes Framework</w:t>
        </w:r>
      </w:hyperlink>
      <w:r w:rsidRPr="00194373">
        <w:rPr>
          <w:sz w:val="18"/>
          <w:szCs w:val="18"/>
        </w:rPr>
        <w:t xml:space="preserve">, </w:t>
      </w:r>
      <w:r w:rsidR="000E4789" w:rsidRPr="00194373">
        <w:rPr>
          <w:sz w:val="18"/>
          <w:szCs w:val="18"/>
        </w:rPr>
        <w:t>AIHW,</w:t>
      </w:r>
      <w:r w:rsidRPr="00194373">
        <w:rPr>
          <w:sz w:val="18"/>
          <w:szCs w:val="18"/>
        </w:rPr>
        <w:t xml:space="preserve"> accessed 13 January 2026.</w:t>
      </w:r>
    </w:p>
  </w:footnote>
  <w:footnote w:id="6">
    <w:p w14:paraId="18A5ADCC" w14:textId="5C6356FF"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Australian Human Rights Commission</w:t>
      </w:r>
      <w:r w:rsidR="005E2DDB" w:rsidRPr="00194373">
        <w:rPr>
          <w:sz w:val="18"/>
          <w:szCs w:val="18"/>
        </w:rPr>
        <w:t xml:space="preserve"> (AHRC)</w:t>
      </w:r>
      <w:r w:rsidRPr="00194373">
        <w:rPr>
          <w:sz w:val="18"/>
          <w:szCs w:val="18"/>
        </w:rPr>
        <w:t xml:space="preserve"> (</w:t>
      </w:r>
      <w:r w:rsidR="00C657D8" w:rsidRPr="00194373">
        <w:rPr>
          <w:sz w:val="18"/>
          <w:szCs w:val="18"/>
        </w:rPr>
        <w:t>2025</w:t>
      </w:r>
      <w:r w:rsidRPr="00194373">
        <w:rPr>
          <w:sz w:val="18"/>
          <w:szCs w:val="18"/>
        </w:rPr>
        <w:t xml:space="preserve">) </w:t>
      </w:r>
      <w:hyperlink r:id="rId5">
        <w:r w:rsidR="00245837" w:rsidRPr="00194373">
          <w:rPr>
            <w:rStyle w:val="Hyperlink"/>
            <w:i/>
            <w:iCs/>
            <w:sz w:val="18"/>
            <w:szCs w:val="18"/>
          </w:rPr>
          <w:t>Review of Australia's Disability Strategy 2021-2031</w:t>
        </w:r>
      </w:hyperlink>
      <w:r w:rsidRPr="00194373">
        <w:rPr>
          <w:sz w:val="18"/>
          <w:szCs w:val="18"/>
        </w:rPr>
        <w:t>, AHRC, accessed 13 January 2026, pp 4-6.</w:t>
      </w:r>
    </w:p>
  </w:footnote>
  <w:footnote w:id="7">
    <w:p w14:paraId="4A909D55" w14:textId="31D78CD2" w:rsidR="7CD4A099" w:rsidRPr="00194373" w:rsidRDefault="7CD4A099" w:rsidP="0038063B">
      <w:pPr>
        <w:pStyle w:val="FootnoteText"/>
        <w:rPr>
          <w:sz w:val="18"/>
          <w:szCs w:val="18"/>
        </w:rPr>
      </w:pPr>
      <w:r w:rsidRPr="00194373">
        <w:rPr>
          <w:rStyle w:val="FootnoteReference"/>
          <w:sz w:val="18"/>
          <w:szCs w:val="18"/>
          <w:vertAlign w:val="baseline"/>
        </w:rPr>
        <w:footnoteRef/>
      </w:r>
      <w:r w:rsidRPr="00194373">
        <w:rPr>
          <w:sz w:val="18"/>
          <w:szCs w:val="18"/>
        </w:rPr>
        <w:t xml:space="preserve"> Social Policy Group and Migrant and Refugee Health Partnership (2025) </w:t>
      </w:r>
      <w:r w:rsidRPr="00194373">
        <w:rPr>
          <w:i/>
          <w:iCs/>
          <w:sz w:val="18"/>
          <w:szCs w:val="18"/>
        </w:rPr>
        <w:t>Towards Better CALD Health Data: A National Opportunity Policy Brief, Social Policy Group and Migrant and Refugee Health Partnership</w:t>
      </w:r>
      <w:r w:rsidRPr="00194373">
        <w:rPr>
          <w:sz w:val="18"/>
          <w:szCs w:val="18"/>
        </w:rPr>
        <w:t>, accessed 12 January 2026.</w:t>
      </w:r>
    </w:p>
  </w:footnote>
  <w:footnote w:id="8">
    <w:p w14:paraId="27091AFE" w14:textId="631A9988"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C0251E" w:rsidRPr="00194373">
        <w:rPr>
          <w:sz w:val="18"/>
          <w:szCs w:val="18"/>
        </w:rPr>
        <w:t>Department of Foreign Affairs and Trade (</w:t>
      </w:r>
      <w:r w:rsidR="00BA7C43" w:rsidRPr="00194373">
        <w:rPr>
          <w:sz w:val="18"/>
          <w:szCs w:val="18"/>
        </w:rPr>
        <w:t>DFAT</w:t>
      </w:r>
      <w:r w:rsidR="00C0251E" w:rsidRPr="00194373">
        <w:rPr>
          <w:sz w:val="18"/>
          <w:szCs w:val="18"/>
        </w:rPr>
        <w:t>)</w:t>
      </w:r>
      <w:r w:rsidRPr="00194373">
        <w:rPr>
          <w:sz w:val="18"/>
          <w:szCs w:val="18"/>
        </w:rPr>
        <w:t xml:space="preserve"> (</w:t>
      </w:r>
      <w:r w:rsidR="000725EC" w:rsidRPr="00194373">
        <w:rPr>
          <w:sz w:val="18"/>
          <w:szCs w:val="18"/>
        </w:rPr>
        <w:t>2023</w:t>
      </w:r>
      <w:r w:rsidRPr="00194373">
        <w:rPr>
          <w:sz w:val="18"/>
          <w:szCs w:val="18"/>
        </w:rPr>
        <w:t xml:space="preserve">) </w:t>
      </w:r>
      <w:hyperlink r:id="rId6">
        <w:r w:rsidR="005C320C" w:rsidRPr="00194373">
          <w:rPr>
            <w:rStyle w:val="Hyperlink"/>
            <w:i/>
            <w:iCs/>
            <w:sz w:val="18"/>
            <w:szCs w:val="18"/>
          </w:rPr>
          <w:t>Sixth periodic report submitted by Australia under articles 16 and 17 of the Covenant</w:t>
        </w:r>
      </w:hyperlink>
      <w:r w:rsidRPr="00194373">
        <w:rPr>
          <w:sz w:val="18"/>
          <w:szCs w:val="18"/>
        </w:rPr>
        <w:t>, DFAT,</w:t>
      </w:r>
      <w:r w:rsidR="00C0251E" w:rsidRPr="00194373">
        <w:rPr>
          <w:sz w:val="18"/>
          <w:szCs w:val="18"/>
        </w:rPr>
        <w:t xml:space="preserve"> Australian Government,</w:t>
      </w:r>
      <w:r w:rsidRPr="00194373">
        <w:rPr>
          <w:sz w:val="18"/>
          <w:szCs w:val="18"/>
        </w:rPr>
        <w:t xml:space="preserve"> accessed 13 January 2026.</w:t>
      </w:r>
    </w:p>
  </w:footnote>
  <w:footnote w:id="9">
    <w:p w14:paraId="235D3860" w14:textId="79BD05D1"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Disability Royal Commission (</w:t>
      </w:r>
      <w:r w:rsidR="005C320C" w:rsidRPr="00194373">
        <w:rPr>
          <w:sz w:val="18"/>
          <w:szCs w:val="18"/>
        </w:rPr>
        <w:t>2023</w:t>
      </w:r>
      <w:r w:rsidRPr="00194373">
        <w:rPr>
          <w:sz w:val="18"/>
          <w:szCs w:val="18"/>
        </w:rPr>
        <w:t xml:space="preserve">) </w:t>
      </w:r>
      <w:hyperlink r:id="rId7">
        <w:r w:rsidRPr="00194373">
          <w:rPr>
            <w:rStyle w:val="Hyperlink"/>
            <w:i/>
            <w:iCs/>
            <w:sz w:val="18"/>
            <w:szCs w:val="18"/>
          </w:rPr>
          <w:t>Final Report</w:t>
        </w:r>
      </w:hyperlink>
      <w:r w:rsidRPr="00194373">
        <w:rPr>
          <w:sz w:val="18"/>
          <w:szCs w:val="18"/>
        </w:rPr>
        <w:t>, D</w:t>
      </w:r>
      <w:r w:rsidR="005C320C" w:rsidRPr="00194373">
        <w:rPr>
          <w:sz w:val="18"/>
          <w:szCs w:val="18"/>
        </w:rPr>
        <w:t>isability Royal Commission</w:t>
      </w:r>
      <w:r w:rsidRPr="00194373">
        <w:rPr>
          <w:sz w:val="18"/>
          <w:szCs w:val="18"/>
        </w:rPr>
        <w:t>, accessed 13 January 2026.</w:t>
      </w:r>
    </w:p>
  </w:footnote>
  <w:footnote w:id="10">
    <w:p w14:paraId="4A4873E5" w14:textId="3ED77A55"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3D6A10" w:rsidRPr="00194373">
        <w:rPr>
          <w:sz w:val="18"/>
          <w:szCs w:val="18"/>
        </w:rPr>
        <w:t>Australian Government (2024</w:t>
      </w:r>
      <w:r w:rsidR="003D6A10" w:rsidRPr="00194373">
        <w:rPr>
          <w:i/>
          <w:iCs/>
          <w:sz w:val="18"/>
          <w:szCs w:val="18"/>
        </w:rPr>
        <w:t xml:space="preserve">) </w:t>
      </w:r>
      <w:hyperlink r:id="rId8" w:history="1">
        <w:r w:rsidR="003D6A10" w:rsidRPr="00194373">
          <w:rPr>
            <w:rStyle w:val="Hyperlink"/>
            <w:i/>
            <w:iCs/>
            <w:sz w:val="18"/>
            <w:szCs w:val="18"/>
          </w:rPr>
          <w:t>Australian Government Response to the Disability Royal Commission</w:t>
        </w:r>
      </w:hyperlink>
      <w:r w:rsidR="003D6A10" w:rsidRPr="00194373">
        <w:rPr>
          <w:sz w:val="18"/>
          <w:szCs w:val="18"/>
        </w:rPr>
        <w:t>, Australian Government, accessed 13 January 2026.</w:t>
      </w:r>
    </w:p>
  </w:footnote>
  <w:footnote w:id="11">
    <w:p w14:paraId="5892FACC" w14:textId="3EDAF8A6"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137A10" w:rsidRPr="00194373">
        <w:rPr>
          <w:sz w:val="18"/>
          <w:szCs w:val="18"/>
        </w:rPr>
        <w:t>PWDA</w:t>
      </w:r>
      <w:r w:rsidRPr="00194373">
        <w:rPr>
          <w:sz w:val="18"/>
          <w:szCs w:val="18"/>
        </w:rPr>
        <w:t xml:space="preserve"> (</w:t>
      </w:r>
      <w:r w:rsidR="00137A10" w:rsidRPr="00194373">
        <w:rPr>
          <w:sz w:val="18"/>
          <w:szCs w:val="18"/>
        </w:rPr>
        <w:t>2024</w:t>
      </w:r>
      <w:r w:rsidRPr="00194373">
        <w:rPr>
          <w:sz w:val="18"/>
          <w:szCs w:val="18"/>
        </w:rPr>
        <w:t xml:space="preserve">) </w:t>
      </w:r>
      <w:hyperlink r:id="rId9">
        <w:r w:rsidR="00137A10" w:rsidRPr="00194373">
          <w:rPr>
            <w:rStyle w:val="Hyperlink"/>
            <w:i/>
            <w:iCs/>
            <w:sz w:val="18"/>
            <w:szCs w:val="18"/>
          </w:rPr>
          <w:t xml:space="preserve">PWDA Reacts To The Australian </w:t>
        </w:r>
        <w:proofErr w:type="spellStart"/>
        <w:r w:rsidR="00137A10" w:rsidRPr="00194373">
          <w:rPr>
            <w:rStyle w:val="Hyperlink"/>
            <w:i/>
            <w:iCs/>
            <w:sz w:val="18"/>
            <w:szCs w:val="18"/>
          </w:rPr>
          <w:t>Governments</w:t>
        </w:r>
        <w:proofErr w:type="spellEnd"/>
        <w:r w:rsidR="00137A10" w:rsidRPr="00194373">
          <w:rPr>
            <w:rStyle w:val="Hyperlink"/>
            <w:i/>
            <w:iCs/>
            <w:sz w:val="18"/>
            <w:szCs w:val="18"/>
          </w:rPr>
          <w:t xml:space="preserve"> Response To The Disability Royal Commission</w:t>
        </w:r>
      </w:hyperlink>
      <w:r w:rsidRPr="00194373">
        <w:rPr>
          <w:sz w:val="18"/>
          <w:szCs w:val="18"/>
        </w:rPr>
        <w:t>, PWDA, accessed 13 January 2026.</w:t>
      </w:r>
    </w:p>
  </w:footnote>
  <w:footnote w:id="12">
    <w:p w14:paraId="19AC3F73" w14:textId="2EA01D3C"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7F33BC" w:rsidRPr="00194373">
        <w:rPr>
          <w:sz w:val="18"/>
          <w:szCs w:val="18"/>
        </w:rPr>
        <w:t>CRPD Committee</w:t>
      </w:r>
      <w:r w:rsidRPr="00194373">
        <w:rPr>
          <w:sz w:val="18"/>
          <w:szCs w:val="18"/>
        </w:rPr>
        <w:t xml:space="preserve"> (</w:t>
      </w:r>
      <w:r w:rsidR="002002A9" w:rsidRPr="00194373">
        <w:rPr>
          <w:sz w:val="18"/>
          <w:szCs w:val="18"/>
        </w:rPr>
        <w:t>2019</w:t>
      </w:r>
      <w:r w:rsidRPr="00194373">
        <w:rPr>
          <w:sz w:val="18"/>
          <w:szCs w:val="18"/>
        </w:rPr>
        <w:t xml:space="preserve">) </w:t>
      </w:r>
      <w:hyperlink r:id="rId10">
        <w:r w:rsidR="007F33BC" w:rsidRPr="00194373">
          <w:rPr>
            <w:rStyle w:val="Hyperlink"/>
            <w:i/>
            <w:iCs/>
            <w:sz w:val="18"/>
            <w:szCs w:val="18"/>
          </w:rPr>
          <w:t>Concluding observations on the combined second and third reports of Australia</w:t>
        </w:r>
      </w:hyperlink>
      <w:r w:rsidRPr="00194373">
        <w:rPr>
          <w:sz w:val="18"/>
          <w:szCs w:val="18"/>
        </w:rPr>
        <w:t xml:space="preserve">, </w:t>
      </w:r>
      <w:r w:rsidR="007F33BC" w:rsidRPr="00194373">
        <w:rPr>
          <w:sz w:val="18"/>
          <w:szCs w:val="18"/>
        </w:rPr>
        <w:t xml:space="preserve">CRPD Committee, </w:t>
      </w:r>
      <w:r w:rsidRPr="00194373">
        <w:rPr>
          <w:sz w:val="18"/>
          <w:szCs w:val="18"/>
        </w:rPr>
        <w:t>United Nations, accessed 13 January 2026.</w:t>
      </w:r>
    </w:p>
  </w:footnote>
  <w:footnote w:id="13">
    <w:p w14:paraId="63EB518E" w14:textId="6B1F696E" w:rsidR="003A2B3F" w:rsidRPr="00194373" w:rsidRDefault="003A2B3F" w:rsidP="0038063B">
      <w:pPr>
        <w:pStyle w:val="FootnoteText"/>
        <w:rPr>
          <w:sz w:val="18"/>
          <w:szCs w:val="18"/>
        </w:rPr>
      </w:pPr>
      <w:r w:rsidRPr="00194373">
        <w:rPr>
          <w:rStyle w:val="FootnoteReference"/>
          <w:sz w:val="18"/>
          <w:szCs w:val="18"/>
          <w:vertAlign w:val="baseline"/>
        </w:rPr>
        <w:footnoteRef/>
      </w:r>
      <w:r w:rsidRPr="00194373">
        <w:rPr>
          <w:sz w:val="18"/>
          <w:szCs w:val="18"/>
        </w:rPr>
        <w:t xml:space="preserve"> </w:t>
      </w:r>
      <w:r w:rsidR="00F05E6D" w:rsidRPr="00194373">
        <w:rPr>
          <w:sz w:val="18"/>
          <w:szCs w:val="18"/>
        </w:rPr>
        <w:t xml:space="preserve">Disability Royal Commission (2023) </w:t>
      </w:r>
      <w:hyperlink r:id="rId11" w:history="1">
        <w:r w:rsidR="00020C7D" w:rsidRPr="00194373">
          <w:rPr>
            <w:rStyle w:val="Hyperlink"/>
            <w:i/>
            <w:iCs/>
            <w:sz w:val="18"/>
            <w:szCs w:val="18"/>
          </w:rPr>
          <w:t xml:space="preserve">Final Report: Volume 7, Inclusive education, employment and </w:t>
        </w:r>
        <w:r w:rsidR="001B60E4" w:rsidRPr="00194373">
          <w:rPr>
            <w:rStyle w:val="Hyperlink"/>
            <w:i/>
            <w:iCs/>
            <w:sz w:val="18"/>
            <w:szCs w:val="18"/>
          </w:rPr>
          <w:t>housing</w:t>
        </w:r>
        <w:r w:rsidR="001B60E4" w:rsidRPr="00194373">
          <w:rPr>
            <w:rStyle w:val="Hyperlink"/>
            <w:sz w:val="18"/>
            <w:szCs w:val="18"/>
          </w:rPr>
          <w:t>, Disability Royal Commission</w:t>
        </w:r>
      </w:hyperlink>
      <w:r w:rsidR="001B60E4" w:rsidRPr="00194373">
        <w:rPr>
          <w:sz w:val="18"/>
          <w:szCs w:val="18"/>
        </w:rPr>
        <w:t xml:space="preserve">, accessed 13 January 2026, p </w:t>
      </w:r>
      <w:r w:rsidR="00D00EAD" w:rsidRPr="00194373">
        <w:rPr>
          <w:sz w:val="18"/>
          <w:szCs w:val="18"/>
        </w:rPr>
        <w:t xml:space="preserve">55. </w:t>
      </w:r>
    </w:p>
  </w:footnote>
  <w:footnote w:id="14">
    <w:p w14:paraId="000AE25E" w14:textId="1DA95F96"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Disability Royal Commission (</w:t>
      </w:r>
      <w:r w:rsidR="000805AA" w:rsidRPr="00194373">
        <w:rPr>
          <w:sz w:val="18"/>
          <w:szCs w:val="18"/>
        </w:rPr>
        <w:t>2023</w:t>
      </w:r>
      <w:r w:rsidRPr="00194373">
        <w:rPr>
          <w:sz w:val="18"/>
          <w:szCs w:val="18"/>
        </w:rPr>
        <w:t xml:space="preserve">) </w:t>
      </w:r>
      <w:hyperlink r:id="rId12">
        <w:r w:rsidR="000805AA" w:rsidRPr="00194373">
          <w:rPr>
            <w:rStyle w:val="Hyperlink"/>
            <w:i/>
            <w:iCs/>
            <w:sz w:val="18"/>
            <w:szCs w:val="18"/>
          </w:rPr>
          <w:t>Final Report: Executive Summary - Our Vision Inclusive Australia And Recommendations</w:t>
        </w:r>
      </w:hyperlink>
      <w:r w:rsidRPr="00194373">
        <w:rPr>
          <w:sz w:val="18"/>
          <w:szCs w:val="18"/>
        </w:rPr>
        <w:t>, DRC, accessed 13 January 2026.</w:t>
      </w:r>
    </w:p>
  </w:footnote>
  <w:footnote w:id="15">
    <w:p w14:paraId="3C9ADD7B" w14:textId="370E4654"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3D6A10" w:rsidRPr="00194373">
        <w:rPr>
          <w:sz w:val="18"/>
          <w:szCs w:val="18"/>
        </w:rPr>
        <w:t>Australian Government (2024</w:t>
      </w:r>
      <w:r w:rsidR="003D6A10" w:rsidRPr="00194373">
        <w:rPr>
          <w:i/>
          <w:iCs/>
          <w:sz w:val="18"/>
          <w:szCs w:val="18"/>
        </w:rPr>
        <w:t xml:space="preserve">) </w:t>
      </w:r>
      <w:hyperlink r:id="rId13" w:history="1">
        <w:r w:rsidR="003D6A10" w:rsidRPr="00194373">
          <w:rPr>
            <w:rStyle w:val="Hyperlink"/>
            <w:i/>
            <w:iCs/>
            <w:sz w:val="18"/>
            <w:szCs w:val="18"/>
          </w:rPr>
          <w:t>Australian Government Response to the Disability Royal Commission</w:t>
        </w:r>
      </w:hyperlink>
      <w:r w:rsidR="003D6A10" w:rsidRPr="00194373">
        <w:rPr>
          <w:sz w:val="18"/>
          <w:szCs w:val="18"/>
        </w:rPr>
        <w:t>, Australian Government, accessed 13 January 2026.</w:t>
      </w:r>
    </w:p>
  </w:footnote>
  <w:footnote w:id="16">
    <w:p w14:paraId="1C2F8D68" w14:textId="2FE3A49A"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Department of Health</w:t>
      </w:r>
      <w:r w:rsidR="00D71758" w:rsidRPr="00194373">
        <w:rPr>
          <w:sz w:val="18"/>
          <w:szCs w:val="18"/>
        </w:rPr>
        <w:t xml:space="preserve">, Disability and Ageing (DHDA) </w:t>
      </w:r>
      <w:r w:rsidRPr="00194373">
        <w:rPr>
          <w:sz w:val="18"/>
          <w:szCs w:val="18"/>
        </w:rPr>
        <w:t>(2025</w:t>
      </w:r>
      <w:r w:rsidRPr="00194373">
        <w:rPr>
          <w:i/>
          <w:iCs/>
          <w:sz w:val="18"/>
          <w:szCs w:val="18"/>
        </w:rPr>
        <w:t xml:space="preserve">) </w:t>
      </w:r>
      <w:hyperlink r:id="rId14">
        <w:r w:rsidR="00D71758" w:rsidRPr="00194373">
          <w:rPr>
            <w:rStyle w:val="Hyperlink"/>
            <w:i/>
            <w:iCs/>
            <w:sz w:val="18"/>
            <w:szCs w:val="18"/>
          </w:rPr>
          <w:t>Disability Royal Commission Progress Report 2025</w:t>
        </w:r>
      </w:hyperlink>
      <w:r w:rsidRPr="00194373">
        <w:rPr>
          <w:sz w:val="18"/>
          <w:szCs w:val="18"/>
        </w:rPr>
        <w:t xml:space="preserve">, </w:t>
      </w:r>
      <w:r w:rsidR="00D71758" w:rsidRPr="00194373">
        <w:rPr>
          <w:sz w:val="18"/>
          <w:szCs w:val="18"/>
        </w:rPr>
        <w:t>DHDA, Australian Government,</w:t>
      </w:r>
      <w:r w:rsidRPr="00194373">
        <w:rPr>
          <w:sz w:val="18"/>
          <w:szCs w:val="18"/>
        </w:rPr>
        <w:t xml:space="preserve"> accessed 13 January 2026.</w:t>
      </w:r>
    </w:p>
  </w:footnote>
  <w:footnote w:id="17">
    <w:p w14:paraId="67508819" w14:textId="3F6AEE3A"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3961DC" w:rsidRPr="00194373">
        <w:rPr>
          <w:sz w:val="18"/>
          <w:szCs w:val="18"/>
        </w:rPr>
        <w:t>DHDA</w:t>
      </w:r>
      <w:r w:rsidR="00CB1A79" w:rsidRPr="00194373">
        <w:rPr>
          <w:sz w:val="18"/>
          <w:szCs w:val="18"/>
        </w:rPr>
        <w:t xml:space="preserve"> (2025</w:t>
      </w:r>
      <w:r w:rsidR="00CB1A79" w:rsidRPr="00194373">
        <w:rPr>
          <w:i/>
          <w:iCs/>
          <w:sz w:val="18"/>
          <w:szCs w:val="18"/>
        </w:rPr>
        <w:t xml:space="preserve">) </w:t>
      </w:r>
      <w:hyperlink r:id="rId15">
        <w:r w:rsidR="00CB1A79" w:rsidRPr="00194373">
          <w:rPr>
            <w:rStyle w:val="Hyperlink"/>
            <w:i/>
            <w:iCs/>
            <w:sz w:val="18"/>
            <w:szCs w:val="18"/>
          </w:rPr>
          <w:t>Disability Royal Commission Progress Report 2025</w:t>
        </w:r>
      </w:hyperlink>
      <w:r w:rsidR="00CB1A79" w:rsidRPr="00194373">
        <w:rPr>
          <w:sz w:val="18"/>
          <w:szCs w:val="18"/>
        </w:rPr>
        <w:t>, DHDA, Australian Government, accessed 13 January 2026.</w:t>
      </w:r>
    </w:p>
  </w:footnote>
  <w:footnote w:id="18">
    <w:p w14:paraId="17822590" w14:textId="7E68D2D8"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Attorney-General's Department (AGD) (</w:t>
      </w:r>
      <w:r w:rsidR="00B52DF1" w:rsidRPr="00194373">
        <w:rPr>
          <w:sz w:val="18"/>
          <w:szCs w:val="18"/>
        </w:rPr>
        <w:t>2025</w:t>
      </w:r>
      <w:r w:rsidRPr="00194373">
        <w:rPr>
          <w:sz w:val="18"/>
          <w:szCs w:val="18"/>
        </w:rPr>
        <w:t xml:space="preserve">) </w:t>
      </w:r>
      <w:hyperlink r:id="rId16">
        <w:r w:rsidR="00B52DF1" w:rsidRPr="00194373">
          <w:rPr>
            <w:rStyle w:val="Hyperlink"/>
            <w:i/>
            <w:iCs/>
            <w:sz w:val="18"/>
            <w:szCs w:val="18"/>
          </w:rPr>
          <w:t>Review of the Disability Discrimination Act</w:t>
        </w:r>
      </w:hyperlink>
      <w:r w:rsidRPr="00194373">
        <w:rPr>
          <w:sz w:val="18"/>
          <w:szCs w:val="18"/>
        </w:rPr>
        <w:t xml:space="preserve">, AGD, </w:t>
      </w:r>
      <w:r w:rsidR="00B52DF1" w:rsidRPr="00194373">
        <w:rPr>
          <w:sz w:val="18"/>
          <w:szCs w:val="18"/>
        </w:rPr>
        <w:t xml:space="preserve">Australian Government, </w:t>
      </w:r>
      <w:r w:rsidRPr="00194373">
        <w:rPr>
          <w:sz w:val="18"/>
          <w:szCs w:val="18"/>
        </w:rPr>
        <w:t>accessed 13 January 2026.</w:t>
      </w:r>
    </w:p>
  </w:footnote>
  <w:footnote w:id="19">
    <w:p w14:paraId="76E7D02A" w14:textId="5953DFD5"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31288E" w:rsidRPr="00194373">
        <w:rPr>
          <w:sz w:val="18"/>
          <w:szCs w:val="18"/>
        </w:rPr>
        <w:t>PWDA</w:t>
      </w:r>
      <w:r w:rsidRPr="00194373">
        <w:rPr>
          <w:sz w:val="18"/>
          <w:szCs w:val="18"/>
        </w:rPr>
        <w:t xml:space="preserve"> (2025</w:t>
      </w:r>
      <w:r w:rsidR="00E13D53" w:rsidRPr="00194373">
        <w:rPr>
          <w:sz w:val="18"/>
          <w:szCs w:val="18"/>
        </w:rPr>
        <w:t xml:space="preserve">) </w:t>
      </w:r>
      <w:hyperlink r:id="rId17" w:history="1">
        <w:r w:rsidR="00E13D53" w:rsidRPr="00194373">
          <w:rPr>
            <w:rStyle w:val="Hyperlink"/>
            <w:i/>
            <w:iCs/>
            <w:sz w:val="18"/>
            <w:szCs w:val="18"/>
          </w:rPr>
          <w:t>‘Fight for Me Instead of Making Me Fight' - Submission to the Attorney-General’s Department’s Disability Discrimination Act 1992</w:t>
        </w:r>
      </w:hyperlink>
      <w:r w:rsidR="00E13D53" w:rsidRPr="00194373">
        <w:rPr>
          <w:sz w:val="18"/>
          <w:szCs w:val="18"/>
        </w:rPr>
        <w:t xml:space="preserve"> (</w:t>
      </w:r>
      <w:proofErr w:type="spellStart"/>
      <w:r w:rsidR="00E13D53" w:rsidRPr="00194373">
        <w:rPr>
          <w:sz w:val="18"/>
          <w:szCs w:val="18"/>
        </w:rPr>
        <w:t>Cth</w:t>
      </w:r>
      <w:proofErr w:type="spellEnd"/>
      <w:r w:rsidR="00E13D53" w:rsidRPr="00194373">
        <w:rPr>
          <w:sz w:val="18"/>
          <w:szCs w:val="18"/>
        </w:rPr>
        <w:t xml:space="preserve">) Review </w:t>
      </w:r>
      <w:r w:rsidRPr="00194373">
        <w:rPr>
          <w:sz w:val="18"/>
          <w:szCs w:val="18"/>
        </w:rPr>
        <w:t>, PWDA, accessed 13 January 2026.</w:t>
      </w:r>
    </w:p>
  </w:footnote>
  <w:footnote w:id="20">
    <w:p w14:paraId="3629C6B5" w14:textId="26FEF067"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BA6E26" w:rsidRPr="00194373">
        <w:rPr>
          <w:sz w:val="18"/>
          <w:szCs w:val="18"/>
        </w:rPr>
        <w:t>DHDA (2025)</w:t>
      </w:r>
      <w:r w:rsidRPr="00194373">
        <w:rPr>
          <w:sz w:val="18"/>
          <w:szCs w:val="18"/>
        </w:rPr>
        <w:t xml:space="preserve"> </w:t>
      </w:r>
      <w:hyperlink r:id="rId18">
        <w:r w:rsidRPr="00194373">
          <w:rPr>
            <w:rStyle w:val="Hyperlink"/>
            <w:i/>
            <w:iCs/>
            <w:sz w:val="18"/>
            <w:szCs w:val="18"/>
          </w:rPr>
          <w:t>Disability Safeguards Consultation</w:t>
        </w:r>
      </w:hyperlink>
      <w:r w:rsidRPr="00194373">
        <w:rPr>
          <w:sz w:val="18"/>
          <w:szCs w:val="18"/>
        </w:rPr>
        <w:t>, Department of Health and Aged Care, accessed 13 January 2026.</w:t>
      </w:r>
    </w:p>
  </w:footnote>
  <w:footnote w:id="21">
    <w:p w14:paraId="544A1840" w14:textId="77777777" w:rsidR="0090738A" w:rsidRPr="00194373" w:rsidRDefault="00880E39">
      <w:pPr>
        <w:pStyle w:val="FootnoteText"/>
        <w:rPr>
          <w:sz w:val="18"/>
          <w:szCs w:val="18"/>
        </w:rPr>
      </w:pPr>
      <w:r w:rsidRPr="00194373">
        <w:rPr>
          <w:rStyle w:val="FootnoteReference"/>
          <w:sz w:val="18"/>
          <w:szCs w:val="18"/>
          <w:vertAlign w:val="baseline"/>
        </w:rPr>
        <w:footnoteRef/>
      </w:r>
      <w:r w:rsidRPr="00194373">
        <w:rPr>
          <w:sz w:val="18"/>
          <w:szCs w:val="18"/>
        </w:rPr>
        <w:t xml:space="preserve"> Bates S, Kayess R, Giuntoli G, Rengel-Gonçalves A, Li B, Fisher K, Golding D, Ramirez B and Katz I (2023) </w:t>
      </w:r>
      <w:hyperlink r:id="rId19">
        <w:r w:rsidRPr="00194373">
          <w:rPr>
            <w:rStyle w:val="Hyperlink"/>
            <w:i/>
            <w:sz w:val="18"/>
            <w:szCs w:val="18"/>
          </w:rPr>
          <w:t>Towards best-practice access to services for culturally and linguistically diverse people with a disability</w:t>
        </w:r>
      </w:hyperlink>
      <w:r w:rsidRPr="00194373">
        <w:rPr>
          <w:sz w:val="18"/>
          <w:szCs w:val="18"/>
        </w:rPr>
        <w:t>, Royal Commission into Violence, Abuse, Neglect and Exploitation of People with Disability, Australian Government, accessed 13 January 2026.</w:t>
      </w:r>
    </w:p>
  </w:footnote>
  <w:footnote w:id="22">
    <w:p w14:paraId="7BB8D382" w14:textId="40F4D75D"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7366C6" w:rsidRPr="00194373">
        <w:rPr>
          <w:sz w:val="18"/>
          <w:szCs w:val="18"/>
        </w:rPr>
        <w:t xml:space="preserve">Women with Disabilities ACT, </w:t>
      </w:r>
      <w:r w:rsidR="007366C6" w:rsidRPr="00194373">
        <w:rPr>
          <w:sz w:val="18"/>
          <w:szCs w:val="18"/>
        </w:rPr>
        <w:t xml:space="preserve">WWDA </w:t>
      </w:r>
      <w:r w:rsidR="007366C6" w:rsidRPr="00194373">
        <w:rPr>
          <w:sz w:val="18"/>
          <w:szCs w:val="18"/>
        </w:rPr>
        <w:t>and Women with Disabilities Victoria</w:t>
      </w:r>
      <w:r w:rsidR="007366C6" w:rsidRPr="00194373">
        <w:rPr>
          <w:sz w:val="18"/>
          <w:szCs w:val="18"/>
        </w:rPr>
        <w:t xml:space="preserve"> </w:t>
      </w:r>
      <w:r w:rsidRPr="00194373">
        <w:rPr>
          <w:sz w:val="18"/>
          <w:szCs w:val="18"/>
        </w:rPr>
        <w:t>(202</w:t>
      </w:r>
      <w:r w:rsidR="00391DE6" w:rsidRPr="00194373">
        <w:rPr>
          <w:sz w:val="18"/>
          <w:szCs w:val="18"/>
        </w:rPr>
        <w:t>4</w:t>
      </w:r>
      <w:r w:rsidRPr="00194373">
        <w:rPr>
          <w:sz w:val="18"/>
          <w:szCs w:val="18"/>
        </w:rPr>
        <w:t xml:space="preserve">) </w:t>
      </w:r>
      <w:hyperlink r:id="rId20">
        <w:r w:rsidR="007366C6" w:rsidRPr="00194373">
          <w:rPr>
            <w:rStyle w:val="Hyperlink"/>
            <w:i/>
            <w:iCs/>
            <w:sz w:val="18"/>
            <w:szCs w:val="18"/>
          </w:rPr>
          <w:t>Survey Report: Foundational Supports</w:t>
        </w:r>
      </w:hyperlink>
      <w:r w:rsidRPr="00194373">
        <w:rPr>
          <w:sz w:val="18"/>
          <w:szCs w:val="18"/>
        </w:rPr>
        <w:t>, WWDA, accessed 13 January 2026.</w:t>
      </w:r>
    </w:p>
  </w:footnote>
  <w:footnote w:id="23">
    <w:p w14:paraId="5D3436D0" w14:textId="2A1FE546" w:rsidR="00575916" w:rsidRPr="00194373" w:rsidRDefault="00575916" w:rsidP="0038063B">
      <w:pPr>
        <w:pStyle w:val="FootnoteText"/>
        <w:rPr>
          <w:sz w:val="18"/>
          <w:szCs w:val="18"/>
        </w:rPr>
      </w:pPr>
      <w:r w:rsidRPr="00194373">
        <w:rPr>
          <w:rStyle w:val="FootnoteReference"/>
          <w:sz w:val="18"/>
          <w:szCs w:val="18"/>
          <w:vertAlign w:val="baseline"/>
        </w:rPr>
        <w:footnoteRef/>
      </w:r>
      <w:r w:rsidR="7CD4A099" w:rsidRPr="00194373">
        <w:rPr>
          <w:sz w:val="18"/>
          <w:szCs w:val="18"/>
        </w:rPr>
        <w:t xml:space="preserve"> </w:t>
      </w:r>
      <w:r w:rsidR="00BA7C43" w:rsidRPr="00194373">
        <w:rPr>
          <w:sz w:val="18"/>
          <w:szCs w:val="18"/>
        </w:rPr>
        <w:t>DFAT</w:t>
      </w:r>
      <w:r w:rsidR="009620E8" w:rsidRPr="00194373">
        <w:rPr>
          <w:sz w:val="18"/>
          <w:szCs w:val="18"/>
        </w:rPr>
        <w:t xml:space="preserve"> (2023) </w:t>
      </w:r>
      <w:hyperlink r:id="rId21">
        <w:r w:rsidR="009620E8" w:rsidRPr="00194373">
          <w:rPr>
            <w:rStyle w:val="Hyperlink"/>
            <w:i/>
            <w:iCs/>
            <w:sz w:val="18"/>
            <w:szCs w:val="18"/>
          </w:rPr>
          <w:t>Sixth periodic report submitted by Australia under articles 16 and 17 of the Covenant</w:t>
        </w:r>
      </w:hyperlink>
      <w:r w:rsidR="009620E8" w:rsidRPr="00194373">
        <w:rPr>
          <w:sz w:val="18"/>
          <w:szCs w:val="18"/>
        </w:rPr>
        <w:t xml:space="preserve">, DFAT, </w:t>
      </w:r>
      <w:r w:rsidR="00806432" w:rsidRPr="00194373">
        <w:rPr>
          <w:sz w:val="18"/>
          <w:szCs w:val="18"/>
        </w:rPr>
        <w:t xml:space="preserve">Australian Government, </w:t>
      </w:r>
      <w:r w:rsidR="009620E8" w:rsidRPr="00194373">
        <w:rPr>
          <w:sz w:val="18"/>
          <w:szCs w:val="18"/>
        </w:rPr>
        <w:t>accessed 13 January 2026.</w:t>
      </w:r>
    </w:p>
  </w:footnote>
  <w:footnote w:id="24">
    <w:p w14:paraId="7C97268C" w14:textId="7C08783D"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D54721" w:rsidRPr="00194373">
        <w:rPr>
          <w:sz w:val="18"/>
          <w:szCs w:val="18"/>
        </w:rPr>
        <w:t>AIHW</w:t>
      </w:r>
      <w:r w:rsidRPr="00194373">
        <w:rPr>
          <w:sz w:val="18"/>
          <w:szCs w:val="18"/>
        </w:rPr>
        <w:t xml:space="preserve"> (2024) </w:t>
      </w:r>
      <w:hyperlink r:id="rId22">
        <w:r w:rsidRPr="00194373">
          <w:rPr>
            <w:rStyle w:val="Hyperlink"/>
            <w:i/>
            <w:iCs/>
            <w:sz w:val="18"/>
            <w:szCs w:val="18"/>
          </w:rPr>
          <w:t>Australian Institute of Health and Welfare (AIHW) (2024)</w:t>
        </w:r>
      </w:hyperlink>
      <w:r w:rsidRPr="00194373">
        <w:rPr>
          <w:i/>
          <w:iCs/>
          <w:sz w:val="18"/>
          <w:szCs w:val="18"/>
        </w:rPr>
        <w:t>,</w:t>
      </w:r>
      <w:r w:rsidRPr="00194373">
        <w:rPr>
          <w:sz w:val="18"/>
          <w:szCs w:val="18"/>
        </w:rPr>
        <w:t xml:space="preserve"> </w:t>
      </w:r>
      <w:r w:rsidR="00D54721" w:rsidRPr="00194373">
        <w:rPr>
          <w:sz w:val="18"/>
          <w:szCs w:val="18"/>
        </w:rPr>
        <w:t>AIHW</w:t>
      </w:r>
      <w:r w:rsidRPr="00194373">
        <w:rPr>
          <w:sz w:val="18"/>
          <w:szCs w:val="18"/>
        </w:rPr>
        <w:t>, accessed 13 January 2026.</w:t>
      </w:r>
    </w:p>
  </w:footnote>
  <w:footnote w:id="25">
    <w:p w14:paraId="4DAEC0AB" w14:textId="18C43FD4"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9A65D4" w:rsidRPr="00194373">
        <w:rPr>
          <w:sz w:val="18"/>
          <w:szCs w:val="18"/>
        </w:rPr>
        <w:t>PWDA, NEDA</w:t>
      </w:r>
      <w:r w:rsidR="009A65D4" w:rsidRPr="00194373">
        <w:rPr>
          <w:sz w:val="18"/>
          <w:szCs w:val="18"/>
        </w:rPr>
        <w:t xml:space="preserve"> </w:t>
      </w:r>
      <w:r w:rsidR="009A65D4" w:rsidRPr="00194373">
        <w:rPr>
          <w:sz w:val="18"/>
          <w:szCs w:val="18"/>
        </w:rPr>
        <w:t>and</w:t>
      </w:r>
      <w:r w:rsidR="009A65D4" w:rsidRPr="00194373">
        <w:rPr>
          <w:sz w:val="18"/>
          <w:szCs w:val="18"/>
        </w:rPr>
        <w:t xml:space="preserve"> Federation of Ethnic Communities' Councils of Australia (FECCA) (</w:t>
      </w:r>
      <w:r w:rsidR="00645177" w:rsidRPr="00194373">
        <w:rPr>
          <w:sz w:val="18"/>
          <w:szCs w:val="18"/>
        </w:rPr>
        <w:t>202</w:t>
      </w:r>
      <w:r w:rsidR="00A8246F" w:rsidRPr="00194373">
        <w:rPr>
          <w:sz w:val="18"/>
          <w:szCs w:val="18"/>
        </w:rPr>
        <w:t>1</w:t>
      </w:r>
      <w:r w:rsidRPr="00194373">
        <w:rPr>
          <w:i/>
          <w:iCs/>
          <w:sz w:val="18"/>
          <w:szCs w:val="18"/>
        </w:rPr>
        <w:t xml:space="preserve">) </w:t>
      </w:r>
      <w:hyperlink r:id="rId23">
        <w:r w:rsidR="0047155B" w:rsidRPr="00194373">
          <w:rPr>
            <w:rStyle w:val="Hyperlink"/>
            <w:i/>
            <w:iCs/>
            <w:sz w:val="18"/>
            <w:szCs w:val="18"/>
          </w:rPr>
          <w:t>The Experiences and Perspectives of People with Disability From Culturally and Linguistically Diverse Backgrounds</w:t>
        </w:r>
      </w:hyperlink>
      <w:r w:rsidRPr="00194373">
        <w:rPr>
          <w:sz w:val="18"/>
          <w:szCs w:val="18"/>
        </w:rPr>
        <w:t xml:space="preserve">, </w:t>
      </w:r>
      <w:r w:rsidR="00A8246F" w:rsidRPr="00194373">
        <w:rPr>
          <w:sz w:val="18"/>
          <w:szCs w:val="18"/>
        </w:rPr>
        <w:t>PWDA, NEDA and FECCA,</w:t>
      </w:r>
      <w:r w:rsidRPr="00194373">
        <w:rPr>
          <w:sz w:val="18"/>
          <w:szCs w:val="18"/>
        </w:rPr>
        <w:t xml:space="preserve"> accessed 13 January 2026.</w:t>
      </w:r>
    </w:p>
  </w:footnote>
  <w:footnote w:id="26">
    <w:p w14:paraId="44224B0B" w14:textId="2247E9AD"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5F06F2" w:rsidRPr="00194373">
        <w:rPr>
          <w:sz w:val="18"/>
          <w:szCs w:val="18"/>
        </w:rPr>
        <w:t>Department of Child Safety, Youth and Women</w:t>
      </w:r>
      <w:r w:rsidRPr="00194373">
        <w:rPr>
          <w:sz w:val="18"/>
          <w:szCs w:val="18"/>
        </w:rPr>
        <w:t xml:space="preserve"> (</w:t>
      </w:r>
      <w:r w:rsidR="005F06F2" w:rsidRPr="00194373">
        <w:rPr>
          <w:sz w:val="18"/>
          <w:szCs w:val="18"/>
        </w:rPr>
        <w:t>n.d</w:t>
      </w:r>
      <w:r w:rsidR="005F06F2" w:rsidRPr="00194373">
        <w:rPr>
          <w:i/>
          <w:iCs/>
          <w:sz w:val="18"/>
          <w:szCs w:val="18"/>
        </w:rPr>
        <w:t>.</w:t>
      </w:r>
      <w:r w:rsidRPr="00194373">
        <w:rPr>
          <w:i/>
          <w:iCs/>
          <w:sz w:val="18"/>
          <w:szCs w:val="18"/>
        </w:rPr>
        <w:t xml:space="preserve">) </w:t>
      </w:r>
      <w:hyperlink r:id="rId24">
        <w:r w:rsidR="006E54B0" w:rsidRPr="00194373">
          <w:rPr>
            <w:rStyle w:val="Hyperlink"/>
            <w:i/>
            <w:iCs/>
            <w:sz w:val="18"/>
            <w:szCs w:val="18"/>
          </w:rPr>
          <w:t>Culturally and Linguistically Diverse Families in Australia</w:t>
        </w:r>
      </w:hyperlink>
      <w:r w:rsidRPr="00194373">
        <w:rPr>
          <w:i/>
          <w:iCs/>
          <w:sz w:val="18"/>
          <w:szCs w:val="18"/>
        </w:rPr>
        <w:t>,</w:t>
      </w:r>
      <w:r w:rsidRPr="00194373">
        <w:rPr>
          <w:sz w:val="18"/>
          <w:szCs w:val="18"/>
        </w:rPr>
        <w:t xml:space="preserve"> </w:t>
      </w:r>
      <w:r w:rsidR="005F06F2" w:rsidRPr="00194373">
        <w:rPr>
          <w:sz w:val="18"/>
          <w:szCs w:val="18"/>
        </w:rPr>
        <w:t xml:space="preserve">Queensland </w:t>
      </w:r>
      <w:proofErr w:type="spellStart"/>
      <w:r w:rsidR="005F06F2" w:rsidRPr="00194373">
        <w:rPr>
          <w:sz w:val="18"/>
          <w:szCs w:val="18"/>
        </w:rPr>
        <w:t>Govenment</w:t>
      </w:r>
      <w:proofErr w:type="spellEnd"/>
      <w:r w:rsidRPr="00194373">
        <w:rPr>
          <w:sz w:val="18"/>
          <w:szCs w:val="18"/>
        </w:rPr>
        <w:t>, accessed 13 January 2026.</w:t>
      </w:r>
    </w:p>
  </w:footnote>
  <w:footnote w:id="27">
    <w:p w14:paraId="72A5C68D" w14:textId="4356468F"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873095" w:rsidRPr="00194373">
        <w:rPr>
          <w:sz w:val="18"/>
          <w:szCs w:val="18"/>
        </w:rPr>
        <w:t>National Disability Insurance Agency (NDIA) (2024)</w:t>
      </w:r>
      <w:r w:rsidR="00873095" w:rsidRPr="00194373">
        <w:rPr>
          <w:i/>
          <w:iCs/>
          <w:sz w:val="18"/>
          <w:szCs w:val="18"/>
        </w:rPr>
        <w:t xml:space="preserve"> </w:t>
      </w:r>
      <w:hyperlink r:id="rId25">
        <w:r w:rsidR="00873095" w:rsidRPr="00194373">
          <w:rPr>
            <w:rStyle w:val="Hyperlink"/>
            <w:i/>
            <w:iCs/>
            <w:sz w:val="18"/>
            <w:szCs w:val="18"/>
          </w:rPr>
          <w:t>NDIS Cultural and Linguistic Diversity (CALD) Strategy and Action Plan 2024-2028</w:t>
        </w:r>
      </w:hyperlink>
      <w:r w:rsidR="00873095" w:rsidRPr="00194373">
        <w:rPr>
          <w:sz w:val="18"/>
          <w:szCs w:val="18"/>
        </w:rPr>
        <w:t>, NDIA, Australian Government, accessed 12 January 2026.</w:t>
      </w:r>
    </w:p>
  </w:footnote>
  <w:footnote w:id="28">
    <w:p w14:paraId="5CBEFC18" w14:textId="533258F8"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Australian Bureau of Statistics (ABS) (</w:t>
      </w:r>
      <w:r w:rsidR="001B061E" w:rsidRPr="00194373">
        <w:rPr>
          <w:sz w:val="18"/>
          <w:szCs w:val="18"/>
        </w:rPr>
        <w:t>2024</w:t>
      </w:r>
      <w:r w:rsidRPr="00194373">
        <w:rPr>
          <w:sz w:val="18"/>
          <w:szCs w:val="18"/>
        </w:rPr>
        <w:t xml:space="preserve">) </w:t>
      </w:r>
      <w:hyperlink r:id="rId26">
        <w:r w:rsidR="007B13BA" w:rsidRPr="00194373">
          <w:rPr>
            <w:rStyle w:val="Hyperlink"/>
            <w:sz w:val="18"/>
            <w:szCs w:val="18"/>
          </w:rPr>
          <w:t>Disability, Ageing and Carers, Australia: Summary of Findings</w:t>
        </w:r>
      </w:hyperlink>
      <w:r w:rsidRPr="00194373">
        <w:rPr>
          <w:sz w:val="18"/>
          <w:szCs w:val="18"/>
        </w:rPr>
        <w:t>, ABS, accessed 13 January 2026.</w:t>
      </w:r>
    </w:p>
  </w:footnote>
  <w:footnote w:id="29">
    <w:p w14:paraId="25D9FBB6" w14:textId="2DEE36C3"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1B061E" w:rsidRPr="00194373">
        <w:rPr>
          <w:sz w:val="18"/>
          <w:szCs w:val="18"/>
        </w:rPr>
        <w:t>WWDA</w:t>
      </w:r>
      <w:r w:rsidRPr="00194373">
        <w:rPr>
          <w:sz w:val="18"/>
          <w:szCs w:val="18"/>
        </w:rPr>
        <w:t xml:space="preserve"> (2024) </w:t>
      </w:r>
      <w:hyperlink r:id="rId27">
        <w:r w:rsidRPr="00194373">
          <w:rPr>
            <w:rStyle w:val="Hyperlink"/>
            <w:i/>
            <w:iCs/>
            <w:sz w:val="18"/>
            <w:szCs w:val="18"/>
          </w:rPr>
          <w:t>WWDA Position Statement NDIS Gender Strategy</w:t>
        </w:r>
      </w:hyperlink>
      <w:r w:rsidRPr="00194373">
        <w:rPr>
          <w:sz w:val="18"/>
          <w:szCs w:val="18"/>
        </w:rPr>
        <w:t>, WWDA, accessed 13 January 2026.</w:t>
      </w:r>
    </w:p>
  </w:footnote>
  <w:footnote w:id="30">
    <w:p w14:paraId="369A4A89" w14:textId="76756940"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41397E" w:rsidRPr="00194373">
        <w:rPr>
          <w:sz w:val="18"/>
          <w:szCs w:val="18"/>
        </w:rPr>
        <w:t xml:space="preserve">Piantedosi, Diana K., Raelene Wilding, Maya G. </w:t>
      </w:r>
      <w:proofErr w:type="spellStart"/>
      <w:r w:rsidR="0041397E" w:rsidRPr="00194373">
        <w:rPr>
          <w:sz w:val="18"/>
          <w:szCs w:val="18"/>
        </w:rPr>
        <w:t>Panisset</w:t>
      </w:r>
      <w:proofErr w:type="spellEnd"/>
      <w:r w:rsidR="0041397E" w:rsidRPr="00194373">
        <w:rPr>
          <w:sz w:val="18"/>
          <w:szCs w:val="18"/>
        </w:rPr>
        <w:t xml:space="preserve">, Léna I. Molnar, Chloe Bryant, El Gibbs and Anne-Maree Sawyer. 2025. “The Presence and Absence of Gender and Intersectionality in the 2023 NDIS Review: A Content Analysis.” </w:t>
      </w:r>
      <w:r w:rsidR="0041397E" w:rsidRPr="00194373">
        <w:rPr>
          <w:i/>
          <w:iCs/>
          <w:sz w:val="18"/>
          <w:szCs w:val="18"/>
        </w:rPr>
        <w:t>International Journal for Equity in Health</w:t>
      </w:r>
      <w:r w:rsidR="0041397E" w:rsidRPr="00194373">
        <w:rPr>
          <w:sz w:val="18"/>
          <w:szCs w:val="18"/>
        </w:rPr>
        <w:t xml:space="preserve"> 24:140.</w:t>
      </w:r>
    </w:p>
  </w:footnote>
  <w:footnote w:id="31">
    <w:p w14:paraId="582A464E" w14:textId="48941FAB"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proofErr w:type="spellStart"/>
      <w:r w:rsidR="00EA029E" w:rsidRPr="00194373">
        <w:rPr>
          <w:sz w:val="18"/>
          <w:szCs w:val="18"/>
        </w:rPr>
        <w:t>Villamanta</w:t>
      </w:r>
      <w:proofErr w:type="spellEnd"/>
      <w:r w:rsidR="00EA029E" w:rsidRPr="00194373">
        <w:rPr>
          <w:sz w:val="18"/>
          <w:szCs w:val="18"/>
        </w:rPr>
        <w:t xml:space="preserve"> Disability Rights and Legal Service</w:t>
      </w:r>
      <w:r w:rsidRPr="00194373">
        <w:rPr>
          <w:sz w:val="18"/>
          <w:szCs w:val="18"/>
        </w:rPr>
        <w:t xml:space="preserve"> (</w:t>
      </w:r>
      <w:r w:rsidR="00EA029E" w:rsidRPr="00194373">
        <w:rPr>
          <w:sz w:val="18"/>
          <w:szCs w:val="18"/>
        </w:rPr>
        <w:t>2025</w:t>
      </w:r>
      <w:r w:rsidRPr="00194373">
        <w:rPr>
          <w:sz w:val="18"/>
          <w:szCs w:val="18"/>
        </w:rPr>
        <w:t xml:space="preserve">) </w:t>
      </w:r>
      <w:hyperlink r:id="rId28">
        <w:r w:rsidR="00CE4AC9" w:rsidRPr="00194373">
          <w:rPr>
            <w:rStyle w:val="Hyperlink"/>
            <w:i/>
            <w:iCs/>
            <w:sz w:val="18"/>
            <w:szCs w:val="18"/>
          </w:rPr>
          <w:t>Performance of the National Disability Insurance Scheme</w:t>
        </w:r>
      </w:hyperlink>
      <w:r w:rsidRPr="00194373">
        <w:rPr>
          <w:sz w:val="18"/>
          <w:szCs w:val="18"/>
        </w:rPr>
        <w:t>,</w:t>
      </w:r>
      <w:r w:rsidR="00B700E1" w:rsidRPr="00194373">
        <w:rPr>
          <w:sz w:val="18"/>
          <w:szCs w:val="18"/>
        </w:rPr>
        <w:t xml:space="preserve"> </w:t>
      </w:r>
      <w:proofErr w:type="spellStart"/>
      <w:r w:rsidR="00EA029E" w:rsidRPr="00194373">
        <w:rPr>
          <w:sz w:val="18"/>
          <w:szCs w:val="18"/>
        </w:rPr>
        <w:t>Villamanta</w:t>
      </w:r>
      <w:proofErr w:type="spellEnd"/>
      <w:r w:rsidR="00EA029E" w:rsidRPr="00194373">
        <w:rPr>
          <w:sz w:val="18"/>
          <w:szCs w:val="18"/>
        </w:rPr>
        <w:t xml:space="preserve"> Disability Rights and Legal Service</w:t>
      </w:r>
      <w:r w:rsidRPr="00194373">
        <w:rPr>
          <w:sz w:val="18"/>
          <w:szCs w:val="18"/>
        </w:rPr>
        <w:t>, accessed 13 January 2026.</w:t>
      </w:r>
    </w:p>
  </w:footnote>
  <w:footnote w:id="32">
    <w:p w14:paraId="68D804B0" w14:textId="00B2C580"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BA7C43" w:rsidRPr="00194373">
        <w:rPr>
          <w:sz w:val="18"/>
          <w:szCs w:val="18"/>
        </w:rPr>
        <w:t>DFAT</w:t>
      </w:r>
      <w:r w:rsidR="009620E8" w:rsidRPr="00194373">
        <w:rPr>
          <w:sz w:val="18"/>
          <w:szCs w:val="18"/>
        </w:rPr>
        <w:t xml:space="preserve"> (2023) </w:t>
      </w:r>
      <w:hyperlink r:id="rId29">
        <w:r w:rsidR="009620E8" w:rsidRPr="00194373">
          <w:rPr>
            <w:rStyle w:val="Hyperlink"/>
            <w:i/>
            <w:iCs/>
            <w:sz w:val="18"/>
            <w:szCs w:val="18"/>
          </w:rPr>
          <w:t>Sixth periodic report submitted by Australia under articles 16 and 17 of the Covenant</w:t>
        </w:r>
      </w:hyperlink>
      <w:r w:rsidR="009620E8" w:rsidRPr="00194373">
        <w:rPr>
          <w:sz w:val="18"/>
          <w:szCs w:val="18"/>
        </w:rPr>
        <w:t xml:space="preserve">, DFAT, </w:t>
      </w:r>
      <w:r w:rsidR="00806432" w:rsidRPr="00194373">
        <w:rPr>
          <w:sz w:val="18"/>
          <w:szCs w:val="18"/>
        </w:rPr>
        <w:t xml:space="preserve">Australian Government, </w:t>
      </w:r>
      <w:r w:rsidR="009620E8" w:rsidRPr="00194373">
        <w:rPr>
          <w:sz w:val="18"/>
          <w:szCs w:val="18"/>
        </w:rPr>
        <w:t>accessed 13 January 2026.</w:t>
      </w:r>
    </w:p>
  </w:footnote>
  <w:footnote w:id="33">
    <w:p w14:paraId="4238B26C" w14:textId="5123F0A4"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BA7C43" w:rsidRPr="00194373">
        <w:rPr>
          <w:sz w:val="18"/>
          <w:szCs w:val="18"/>
        </w:rPr>
        <w:t>DFAT</w:t>
      </w:r>
      <w:r w:rsidR="009620E8" w:rsidRPr="00194373">
        <w:rPr>
          <w:sz w:val="18"/>
          <w:szCs w:val="18"/>
        </w:rPr>
        <w:t xml:space="preserve"> (2023) </w:t>
      </w:r>
      <w:hyperlink r:id="rId30">
        <w:r w:rsidR="009620E8" w:rsidRPr="00194373">
          <w:rPr>
            <w:rStyle w:val="Hyperlink"/>
            <w:i/>
            <w:iCs/>
            <w:sz w:val="18"/>
            <w:szCs w:val="18"/>
          </w:rPr>
          <w:t>Sixth periodic report submitted by Australia under articles 16 and 17 of the Covenant</w:t>
        </w:r>
      </w:hyperlink>
      <w:r w:rsidR="009620E8" w:rsidRPr="00194373">
        <w:rPr>
          <w:sz w:val="18"/>
          <w:szCs w:val="18"/>
        </w:rPr>
        <w:t xml:space="preserve">, DFAT, </w:t>
      </w:r>
      <w:r w:rsidR="00806432" w:rsidRPr="00194373">
        <w:rPr>
          <w:sz w:val="18"/>
          <w:szCs w:val="18"/>
        </w:rPr>
        <w:t xml:space="preserve">Australian Government, </w:t>
      </w:r>
      <w:r w:rsidR="009620E8" w:rsidRPr="00194373">
        <w:rPr>
          <w:sz w:val="18"/>
          <w:szCs w:val="18"/>
        </w:rPr>
        <w:t>accessed 13 January 2026.</w:t>
      </w:r>
    </w:p>
  </w:footnote>
  <w:footnote w:id="34">
    <w:p w14:paraId="1421B4F3" w14:textId="51591D9C"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B700E1" w:rsidRPr="00194373">
        <w:rPr>
          <w:sz w:val="18"/>
          <w:szCs w:val="18"/>
        </w:rPr>
        <w:t>PWDA, NEDA and Federation of Ethnic Communities' Councils of Australia (FECCA) (2021</w:t>
      </w:r>
      <w:r w:rsidR="00B700E1" w:rsidRPr="00194373">
        <w:rPr>
          <w:i/>
          <w:iCs/>
          <w:sz w:val="18"/>
          <w:szCs w:val="18"/>
        </w:rPr>
        <w:t xml:space="preserve">) </w:t>
      </w:r>
      <w:hyperlink r:id="rId31">
        <w:r w:rsidR="00B700E1" w:rsidRPr="00194373">
          <w:rPr>
            <w:rStyle w:val="Hyperlink"/>
            <w:i/>
            <w:iCs/>
            <w:sz w:val="18"/>
            <w:szCs w:val="18"/>
          </w:rPr>
          <w:t>The Experiences and Perspectives of People with Disability From Culturally and Linguistically Diverse Backgrounds</w:t>
        </w:r>
      </w:hyperlink>
      <w:r w:rsidR="00B700E1" w:rsidRPr="00194373">
        <w:rPr>
          <w:sz w:val="18"/>
          <w:szCs w:val="18"/>
        </w:rPr>
        <w:t>, PWDA, NEDA and FECCA, accessed 13 January 2026.</w:t>
      </w:r>
    </w:p>
  </w:footnote>
  <w:footnote w:id="35">
    <w:p w14:paraId="399138AD" w14:textId="77777777" w:rsidR="0090738A" w:rsidRPr="00194373" w:rsidRDefault="00880E39">
      <w:pPr>
        <w:pStyle w:val="FootnoteText"/>
        <w:rPr>
          <w:sz w:val="18"/>
          <w:szCs w:val="18"/>
        </w:rPr>
      </w:pPr>
      <w:r w:rsidRPr="00194373">
        <w:rPr>
          <w:rStyle w:val="FootnoteReference"/>
          <w:sz w:val="18"/>
          <w:szCs w:val="18"/>
          <w:vertAlign w:val="baseline"/>
        </w:rPr>
        <w:footnoteRef/>
      </w:r>
      <w:r w:rsidRPr="00194373">
        <w:rPr>
          <w:sz w:val="18"/>
          <w:szCs w:val="18"/>
        </w:rPr>
        <w:t xml:space="preserve"> Hayduk R (2020) ‘</w:t>
      </w:r>
      <w:hyperlink r:id="rId32">
        <w:r w:rsidRPr="00194373">
          <w:rPr>
            <w:rStyle w:val="Hyperlink"/>
            <w:sz w:val="18"/>
            <w:szCs w:val="18"/>
          </w:rPr>
          <w:t>Migration and Inequality: A Structural Approach</w:t>
        </w:r>
      </w:hyperlink>
      <w:r w:rsidRPr="00194373">
        <w:rPr>
          <w:sz w:val="18"/>
          <w:szCs w:val="18"/>
        </w:rPr>
        <w:t xml:space="preserve">’, </w:t>
      </w:r>
      <w:r w:rsidRPr="00194373">
        <w:rPr>
          <w:i/>
          <w:sz w:val="18"/>
          <w:szCs w:val="18"/>
        </w:rPr>
        <w:t>Cosmopolitan Civil Societies: an interdisciplinary journal</w:t>
      </w:r>
      <w:r w:rsidRPr="00194373">
        <w:rPr>
          <w:sz w:val="18"/>
          <w:szCs w:val="18"/>
        </w:rPr>
        <w:t>, 12(1):1–18, doi:10.5130/ccs.v12.i1.7026, accessed 13 January 2026.</w:t>
      </w:r>
    </w:p>
  </w:footnote>
  <w:footnote w:id="36">
    <w:p w14:paraId="448C850F" w14:textId="26FF6540"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DE1A58" w:rsidRPr="00194373">
        <w:rPr>
          <w:sz w:val="18"/>
          <w:szCs w:val="18"/>
        </w:rPr>
        <w:t xml:space="preserve">NEDA </w:t>
      </w:r>
      <w:r w:rsidR="00DE1A58" w:rsidRPr="00194373">
        <w:rPr>
          <w:sz w:val="18"/>
          <w:szCs w:val="18"/>
        </w:rPr>
        <w:t xml:space="preserve">(n.d.) </w:t>
      </w:r>
      <w:hyperlink r:id="rId33">
        <w:r w:rsidR="00DE1A58" w:rsidRPr="00194373">
          <w:rPr>
            <w:rStyle w:val="Hyperlink"/>
            <w:i/>
            <w:iCs/>
            <w:sz w:val="18"/>
            <w:szCs w:val="18"/>
          </w:rPr>
          <w:t>Policy Engagements</w:t>
        </w:r>
      </w:hyperlink>
      <w:r w:rsidR="00DE1A58" w:rsidRPr="00194373">
        <w:rPr>
          <w:sz w:val="18"/>
          <w:szCs w:val="18"/>
        </w:rPr>
        <w:t>, NEDA, accessed 12 January 2026.</w:t>
      </w:r>
    </w:p>
  </w:footnote>
  <w:footnote w:id="37">
    <w:p w14:paraId="5DD96830" w14:textId="04E47430"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976E5A" w:rsidRPr="00194373">
        <w:rPr>
          <w:sz w:val="18"/>
          <w:szCs w:val="18"/>
        </w:rPr>
        <w:t>WWDA</w:t>
      </w:r>
      <w:r w:rsidRPr="00194373">
        <w:rPr>
          <w:sz w:val="18"/>
          <w:szCs w:val="18"/>
        </w:rPr>
        <w:t xml:space="preserve"> (</w:t>
      </w:r>
      <w:r w:rsidR="00976E5A" w:rsidRPr="00194373">
        <w:rPr>
          <w:sz w:val="18"/>
          <w:szCs w:val="18"/>
        </w:rPr>
        <w:t>2025)</w:t>
      </w:r>
      <w:r w:rsidRPr="00194373">
        <w:rPr>
          <w:sz w:val="18"/>
          <w:szCs w:val="18"/>
        </w:rPr>
        <w:t xml:space="preserve"> </w:t>
      </w:r>
      <w:hyperlink r:id="rId34">
        <w:r w:rsidRPr="00194373">
          <w:rPr>
            <w:rStyle w:val="Hyperlink"/>
            <w:i/>
            <w:iCs/>
            <w:sz w:val="18"/>
            <w:szCs w:val="18"/>
          </w:rPr>
          <w:t>Disa</w:t>
        </w:r>
        <w:r w:rsidRPr="00194373">
          <w:rPr>
            <w:rStyle w:val="Hyperlink"/>
            <w:i/>
            <w:iCs/>
            <w:sz w:val="18"/>
            <w:szCs w:val="18"/>
          </w:rPr>
          <w:t>b</w:t>
        </w:r>
        <w:r w:rsidRPr="00194373">
          <w:rPr>
            <w:rStyle w:val="Hyperlink"/>
            <w:i/>
            <w:iCs/>
            <w:sz w:val="18"/>
            <w:szCs w:val="18"/>
          </w:rPr>
          <w:t>ility Discrimination Act Review</w:t>
        </w:r>
      </w:hyperlink>
      <w:r w:rsidRPr="00194373">
        <w:rPr>
          <w:sz w:val="18"/>
          <w:szCs w:val="18"/>
        </w:rPr>
        <w:t>, WWDA, accessed 13 January 2026.</w:t>
      </w:r>
    </w:p>
  </w:footnote>
  <w:footnote w:id="38">
    <w:p w14:paraId="787EEE2C" w14:textId="2A650E2F"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FE117F" w:rsidRPr="00194373">
        <w:rPr>
          <w:sz w:val="18"/>
          <w:szCs w:val="18"/>
        </w:rPr>
        <w:t xml:space="preserve">Disability Royal Commission (2023) </w:t>
      </w:r>
      <w:hyperlink r:id="rId35">
        <w:r w:rsidR="00FE117F" w:rsidRPr="00194373">
          <w:rPr>
            <w:rStyle w:val="Hyperlink"/>
            <w:i/>
            <w:iCs/>
            <w:sz w:val="18"/>
            <w:szCs w:val="18"/>
          </w:rPr>
          <w:t>Final Report: Executive Summary - Our Vision Inclusive Australia And Recommendations</w:t>
        </w:r>
      </w:hyperlink>
      <w:r w:rsidR="00FE117F" w:rsidRPr="00194373">
        <w:rPr>
          <w:sz w:val="18"/>
          <w:szCs w:val="18"/>
        </w:rPr>
        <w:t>, DRC, accessed 13 January 2026.</w:t>
      </w:r>
    </w:p>
  </w:footnote>
  <w:footnote w:id="39">
    <w:p w14:paraId="38840E0A" w14:textId="4CEC9CAE"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2248B0" w:rsidRPr="00194373">
        <w:rPr>
          <w:sz w:val="18"/>
          <w:szCs w:val="18"/>
        </w:rPr>
        <w:t>DHDA</w:t>
      </w:r>
      <w:r w:rsidR="003961DC" w:rsidRPr="00194373">
        <w:rPr>
          <w:sz w:val="18"/>
          <w:szCs w:val="18"/>
        </w:rPr>
        <w:t xml:space="preserve"> (2025</w:t>
      </w:r>
      <w:r w:rsidR="003961DC" w:rsidRPr="00194373">
        <w:rPr>
          <w:i/>
          <w:iCs/>
          <w:sz w:val="18"/>
          <w:szCs w:val="18"/>
        </w:rPr>
        <w:t xml:space="preserve">) </w:t>
      </w:r>
      <w:hyperlink r:id="rId36">
        <w:r w:rsidR="003961DC" w:rsidRPr="00194373">
          <w:rPr>
            <w:rStyle w:val="Hyperlink"/>
            <w:i/>
            <w:iCs/>
            <w:sz w:val="18"/>
            <w:szCs w:val="18"/>
          </w:rPr>
          <w:t>Disability Royal Commission Progress Report 2025</w:t>
        </w:r>
      </w:hyperlink>
      <w:r w:rsidR="003961DC" w:rsidRPr="00194373">
        <w:rPr>
          <w:sz w:val="18"/>
          <w:szCs w:val="18"/>
        </w:rPr>
        <w:t>, DHDA, Australian Government, accessed 13 January 2026.</w:t>
      </w:r>
    </w:p>
  </w:footnote>
  <w:footnote w:id="40">
    <w:p w14:paraId="3D1B5972" w14:textId="0DB96A25"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Australian Council of Social Service (ACOSS) (</w:t>
      </w:r>
      <w:r w:rsidR="003515FC" w:rsidRPr="00194373">
        <w:rPr>
          <w:sz w:val="18"/>
          <w:szCs w:val="18"/>
        </w:rPr>
        <w:t>2023)</w:t>
      </w:r>
      <w:r w:rsidRPr="00194373">
        <w:rPr>
          <w:sz w:val="18"/>
          <w:szCs w:val="18"/>
        </w:rPr>
        <w:t xml:space="preserve"> </w:t>
      </w:r>
      <w:hyperlink r:id="rId37" w:history="1">
        <w:r w:rsidRPr="00194373">
          <w:rPr>
            <w:rStyle w:val="Hyperlink"/>
            <w:i/>
            <w:iCs/>
            <w:sz w:val="18"/>
            <w:szCs w:val="18"/>
          </w:rPr>
          <w:t xml:space="preserve">Poverty In Australia </w:t>
        </w:r>
        <w:r w:rsidRPr="00194373">
          <w:rPr>
            <w:rStyle w:val="Hyperlink"/>
            <w:i/>
            <w:iCs/>
            <w:sz w:val="18"/>
            <w:szCs w:val="18"/>
          </w:rPr>
          <w:t>2</w:t>
        </w:r>
        <w:r w:rsidRPr="00194373">
          <w:rPr>
            <w:rStyle w:val="Hyperlink"/>
            <w:i/>
            <w:iCs/>
            <w:sz w:val="18"/>
            <w:szCs w:val="18"/>
          </w:rPr>
          <w:t>023</w:t>
        </w:r>
        <w:r w:rsidR="003515FC" w:rsidRPr="00194373">
          <w:rPr>
            <w:rStyle w:val="Hyperlink"/>
            <w:i/>
            <w:iCs/>
            <w:sz w:val="18"/>
            <w:szCs w:val="18"/>
          </w:rPr>
          <w:t xml:space="preserve">: </w:t>
        </w:r>
        <w:r w:rsidRPr="00194373">
          <w:rPr>
            <w:rStyle w:val="Hyperlink"/>
            <w:i/>
            <w:iCs/>
            <w:sz w:val="18"/>
            <w:szCs w:val="18"/>
          </w:rPr>
          <w:t>Who Is Affected,</w:t>
        </w:r>
      </w:hyperlink>
      <w:r w:rsidRPr="00194373">
        <w:rPr>
          <w:sz w:val="18"/>
          <w:szCs w:val="18"/>
        </w:rPr>
        <w:t xml:space="preserve"> ACOSS, accessed 13 January 2026.</w:t>
      </w:r>
    </w:p>
  </w:footnote>
  <w:footnote w:id="41">
    <w:p w14:paraId="6534FD31" w14:textId="29F10027" w:rsidR="00CA7EDA" w:rsidRPr="00194373" w:rsidRDefault="00CA7EDA" w:rsidP="0038063B">
      <w:pPr>
        <w:pStyle w:val="FootnoteText"/>
        <w:rPr>
          <w:sz w:val="18"/>
          <w:szCs w:val="18"/>
        </w:rPr>
      </w:pPr>
      <w:r w:rsidRPr="00194373">
        <w:rPr>
          <w:rStyle w:val="FootnoteReference"/>
          <w:sz w:val="18"/>
          <w:szCs w:val="18"/>
          <w:vertAlign w:val="baseline"/>
        </w:rPr>
        <w:footnoteRef/>
      </w:r>
      <w:r w:rsidRPr="00194373">
        <w:rPr>
          <w:sz w:val="18"/>
          <w:szCs w:val="18"/>
        </w:rPr>
        <w:t xml:space="preserve"> </w:t>
      </w:r>
      <w:r w:rsidR="002236E3" w:rsidRPr="00194373">
        <w:rPr>
          <w:sz w:val="18"/>
          <w:szCs w:val="18"/>
        </w:rPr>
        <w:t>NEDA (2021)</w:t>
      </w:r>
      <w:r w:rsidRPr="00194373">
        <w:rPr>
          <w:sz w:val="18"/>
          <w:szCs w:val="18"/>
        </w:rPr>
        <w:t xml:space="preserve"> </w:t>
      </w:r>
      <w:r w:rsidRPr="00194373">
        <w:rPr>
          <w:i/>
          <w:iCs/>
          <w:sz w:val="18"/>
          <w:szCs w:val="18"/>
        </w:rPr>
        <w:t>Submission in response to Senate Community Affairs References Committee Inquiry into the Purpose, intent and adequacy of the Disability Support Pension</w:t>
      </w:r>
      <w:r w:rsidRPr="00194373">
        <w:rPr>
          <w:sz w:val="18"/>
          <w:szCs w:val="18"/>
        </w:rPr>
        <w:t xml:space="preserve">, NEDA. </w:t>
      </w:r>
    </w:p>
  </w:footnote>
  <w:footnote w:id="42">
    <w:p w14:paraId="5D432CA6" w14:textId="762F9DCF"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BA7C43" w:rsidRPr="00194373">
        <w:rPr>
          <w:sz w:val="18"/>
          <w:szCs w:val="18"/>
        </w:rPr>
        <w:t>DFAT</w:t>
      </w:r>
      <w:r w:rsidR="009620E8" w:rsidRPr="00194373">
        <w:rPr>
          <w:sz w:val="18"/>
          <w:szCs w:val="18"/>
        </w:rPr>
        <w:t xml:space="preserve"> (2023) </w:t>
      </w:r>
      <w:hyperlink r:id="rId38">
        <w:r w:rsidR="009620E8" w:rsidRPr="00194373">
          <w:rPr>
            <w:rStyle w:val="Hyperlink"/>
            <w:i/>
            <w:iCs/>
            <w:sz w:val="18"/>
            <w:szCs w:val="18"/>
          </w:rPr>
          <w:t>Sixth periodic report submitted by Australia under articles 16 and 17 of the Covenant</w:t>
        </w:r>
      </w:hyperlink>
      <w:r w:rsidR="009620E8" w:rsidRPr="00194373">
        <w:rPr>
          <w:sz w:val="18"/>
          <w:szCs w:val="18"/>
        </w:rPr>
        <w:t>, DFAT, accessed 13 January 2026.</w:t>
      </w:r>
    </w:p>
  </w:footnote>
  <w:footnote w:id="43">
    <w:p w14:paraId="57458A9C" w14:textId="1465DB3A" w:rsidR="00CA7EDA" w:rsidRPr="00194373" w:rsidRDefault="00CA7EDA" w:rsidP="0038063B">
      <w:pPr>
        <w:pStyle w:val="FootnoteText"/>
        <w:rPr>
          <w:sz w:val="18"/>
          <w:szCs w:val="18"/>
        </w:rPr>
      </w:pPr>
      <w:r w:rsidRPr="00194373">
        <w:rPr>
          <w:rStyle w:val="FootnoteReference"/>
          <w:sz w:val="18"/>
          <w:szCs w:val="18"/>
          <w:vertAlign w:val="baseline"/>
        </w:rPr>
        <w:footnoteRef/>
      </w:r>
      <w:r w:rsidR="7CD4A099" w:rsidRPr="00194373">
        <w:rPr>
          <w:sz w:val="18"/>
          <w:szCs w:val="18"/>
        </w:rPr>
        <w:t xml:space="preserve"> Bates, S, </w:t>
      </w:r>
      <w:proofErr w:type="spellStart"/>
      <w:r w:rsidR="7CD4A099" w:rsidRPr="00194373">
        <w:rPr>
          <w:sz w:val="18"/>
          <w:szCs w:val="18"/>
        </w:rPr>
        <w:t>Kayess</w:t>
      </w:r>
      <w:proofErr w:type="spellEnd"/>
      <w:r w:rsidR="7CD4A099" w:rsidRPr="00194373">
        <w:rPr>
          <w:sz w:val="18"/>
          <w:szCs w:val="18"/>
        </w:rPr>
        <w:t>, R, Giuntoli, G, Rengel-Gonçalves, A, Li, B, Fisher, KR, Golding, D, Ramirez, B and Katz, I. (2022). Towards best-practice access to services for culturally and linguistically diverse people with a disability. Prepared by the Social Policy Research Centre and the National Ethnic Disability Alliance for the Royal Commission into Violence, Abuse, Neglect and Exploitation of People with Disability.</w:t>
      </w:r>
    </w:p>
  </w:footnote>
  <w:footnote w:id="44">
    <w:p w14:paraId="7514CC05" w14:textId="15C54B79"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1800</w:t>
      </w:r>
      <w:r w:rsidR="001312DF" w:rsidRPr="00194373">
        <w:rPr>
          <w:sz w:val="18"/>
          <w:szCs w:val="18"/>
        </w:rPr>
        <w:t>RESPECT</w:t>
      </w:r>
      <w:r w:rsidRPr="00194373">
        <w:rPr>
          <w:sz w:val="18"/>
          <w:szCs w:val="18"/>
        </w:rPr>
        <w:t xml:space="preserve">(2026) </w:t>
      </w:r>
      <w:hyperlink r:id="rId39">
        <w:r w:rsidR="00A1709A" w:rsidRPr="00194373">
          <w:rPr>
            <w:rStyle w:val="Hyperlink"/>
            <w:i/>
            <w:iCs/>
            <w:sz w:val="18"/>
            <w:szCs w:val="18"/>
          </w:rPr>
          <w:t>Supporting people from CALD, migrant and refugee experiences of violence</w:t>
        </w:r>
      </w:hyperlink>
      <w:r w:rsidRPr="00194373">
        <w:rPr>
          <w:sz w:val="18"/>
          <w:szCs w:val="18"/>
        </w:rPr>
        <w:t xml:space="preserve">, </w:t>
      </w:r>
      <w:r w:rsidR="001312DF" w:rsidRPr="00194373">
        <w:rPr>
          <w:sz w:val="18"/>
          <w:szCs w:val="18"/>
        </w:rPr>
        <w:t>1800RESPECT,</w:t>
      </w:r>
      <w:r w:rsidRPr="00194373">
        <w:rPr>
          <w:sz w:val="18"/>
          <w:szCs w:val="18"/>
        </w:rPr>
        <w:t xml:space="preserve"> accessed 13 January 2026.</w:t>
      </w:r>
    </w:p>
  </w:footnote>
  <w:footnote w:id="45">
    <w:p w14:paraId="39E3D55A" w14:textId="295F68CC"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BA7C43" w:rsidRPr="00194373">
        <w:rPr>
          <w:sz w:val="18"/>
          <w:szCs w:val="18"/>
        </w:rPr>
        <w:t>DFAT</w:t>
      </w:r>
      <w:r w:rsidR="009620E8" w:rsidRPr="00194373">
        <w:rPr>
          <w:sz w:val="18"/>
          <w:szCs w:val="18"/>
        </w:rPr>
        <w:t xml:space="preserve"> (2023) </w:t>
      </w:r>
      <w:hyperlink r:id="rId40">
        <w:r w:rsidR="009620E8" w:rsidRPr="00194373">
          <w:rPr>
            <w:rStyle w:val="Hyperlink"/>
            <w:i/>
            <w:iCs/>
            <w:sz w:val="18"/>
            <w:szCs w:val="18"/>
          </w:rPr>
          <w:t>Sixth periodic report submitted by Australia under articles 16 and 17 of the Covenant</w:t>
        </w:r>
      </w:hyperlink>
      <w:r w:rsidR="009620E8" w:rsidRPr="00194373">
        <w:rPr>
          <w:sz w:val="18"/>
          <w:szCs w:val="18"/>
        </w:rPr>
        <w:t>, DFAT, accessed 13 January 2026.</w:t>
      </w:r>
    </w:p>
  </w:footnote>
  <w:footnote w:id="46">
    <w:p w14:paraId="13380E21" w14:textId="441C6308"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BA7C43" w:rsidRPr="00194373">
        <w:rPr>
          <w:sz w:val="18"/>
          <w:szCs w:val="18"/>
        </w:rPr>
        <w:t xml:space="preserve">DFAT </w:t>
      </w:r>
      <w:r w:rsidR="009620E8" w:rsidRPr="00194373">
        <w:rPr>
          <w:sz w:val="18"/>
          <w:szCs w:val="18"/>
        </w:rPr>
        <w:t xml:space="preserve">(2023) </w:t>
      </w:r>
      <w:hyperlink r:id="rId41">
        <w:r w:rsidR="009620E8" w:rsidRPr="00194373">
          <w:rPr>
            <w:rStyle w:val="Hyperlink"/>
            <w:i/>
            <w:iCs/>
            <w:sz w:val="18"/>
            <w:szCs w:val="18"/>
          </w:rPr>
          <w:t>Sixth periodic report submitted by Australia under articles 16 and 17 of the Covenant</w:t>
        </w:r>
      </w:hyperlink>
      <w:r w:rsidR="009620E8" w:rsidRPr="00194373">
        <w:rPr>
          <w:sz w:val="18"/>
          <w:szCs w:val="18"/>
        </w:rPr>
        <w:t>, DFAT, accessed 13 January 2026.</w:t>
      </w:r>
    </w:p>
  </w:footnote>
  <w:footnote w:id="47">
    <w:p w14:paraId="6882D430" w14:textId="77777777" w:rsidR="0090738A" w:rsidRPr="00194373" w:rsidRDefault="00880E39">
      <w:pPr>
        <w:pStyle w:val="FootnoteText"/>
        <w:rPr>
          <w:sz w:val="18"/>
          <w:szCs w:val="18"/>
        </w:rPr>
      </w:pPr>
      <w:r w:rsidRPr="00194373">
        <w:rPr>
          <w:rStyle w:val="FootnoteReference"/>
          <w:sz w:val="18"/>
          <w:szCs w:val="18"/>
          <w:vertAlign w:val="baseline"/>
        </w:rPr>
        <w:footnoteRef/>
      </w:r>
      <w:r w:rsidRPr="00194373">
        <w:rPr>
          <w:sz w:val="18"/>
          <w:szCs w:val="18"/>
        </w:rPr>
        <w:t xml:space="preserve"> Khatri RB and Assefa Y (2022) ‘</w:t>
      </w:r>
      <w:hyperlink r:id="rId42">
        <w:r w:rsidRPr="00194373">
          <w:rPr>
            <w:rStyle w:val="Hyperlink"/>
            <w:sz w:val="18"/>
            <w:szCs w:val="18"/>
          </w:rPr>
          <w:t>Access to health services among culturally and linguistically diverse populations in the Australian universal health care system: issues and challenges</w:t>
        </w:r>
      </w:hyperlink>
      <w:r w:rsidRPr="00194373">
        <w:rPr>
          <w:sz w:val="18"/>
          <w:szCs w:val="18"/>
        </w:rPr>
        <w:t xml:space="preserve">’, </w:t>
      </w:r>
      <w:r w:rsidRPr="00194373">
        <w:rPr>
          <w:i/>
          <w:sz w:val="18"/>
          <w:szCs w:val="18"/>
        </w:rPr>
        <w:t>BMC Public Health</w:t>
      </w:r>
      <w:r w:rsidRPr="00194373">
        <w:rPr>
          <w:sz w:val="18"/>
          <w:szCs w:val="18"/>
        </w:rPr>
        <w:t>, 22(1):880, doi:10.1186/s12889-022-13256-z.</w:t>
      </w:r>
    </w:p>
  </w:footnote>
  <w:footnote w:id="48">
    <w:p w14:paraId="7E132B39" w14:textId="77777777" w:rsidR="0090738A" w:rsidRPr="00194373" w:rsidRDefault="00880E39">
      <w:pPr>
        <w:pStyle w:val="FootnoteText"/>
        <w:rPr>
          <w:sz w:val="18"/>
          <w:szCs w:val="18"/>
        </w:rPr>
      </w:pPr>
      <w:r w:rsidRPr="00194373">
        <w:rPr>
          <w:rStyle w:val="FootnoteReference"/>
          <w:sz w:val="18"/>
          <w:szCs w:val="18"/>
          <w:vertAlign w:val="baseline"/>
        </w:rPr>
        <w:footnoteRef/>
      </w:r>
      <w:r w:rsidRPr="00194373">
        <w:rPr>
          <w:sz w:val="18"/>
          <w:szCs w:val="18"/>
        </w:rPr>
        <w:t xml:space="preserve"> Khatri RB and Assefa Y (2022) ‘</w:t>
      </w:r>
      <w:hyperlink r:id="rId43">
        <w:r w:rsidRPr="00194373">
          <w:rPr>
            <w:rStyle w:val="Hyperlink"/>
            <w:sz w:val="18"/>
            <w:szCs w:val="18"/>
          </w:rPr>
          <w:t>Access to health services among culturally and linguistically diverse populations in the Australian universal health care system: issues and challenges</w:t>
        </w:r>
      </w:hyperlink>
      <w:r w:rsidRPr="00194373">
        <w:rPr>
          <w:sz w:val="18"/>
          <w:szCs w:val="18"/>
        </w:rPr>
        <w:t xml:space="preserve">’, </w:t>
      </w:r>
      <w:r w:rsidRPr="00194373">
        <w:rPr>
          <w:i/>
          <w:sz w:val="18"/>
          <w:szCs w:val="18"/>
        </w:rPr>
        <w:t>BMC Public Health</w:t>
      </w:r>
      <w:r w:rsidRPr="00194373">
        <w:rPr>
          <w:sz w:val="18"/>
          <w:szCs w:val="18"/>
        </w:rPr>
        <w:t>, 22(1):880, doi:10.1186/s12889-022-13256-z.</w:t>
      </w:r>
    </w:p>
  </w:footnote>
  <w:footnote w:id="49">
    <w:p w14:paraId="747CA925" w14:textId="7A13C5B6"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1312DF" w:rsidRPr="00194373">
        <w:rPr>
          <w:sz w:val="18"/>
          <w:szCs w:val="18"/>
        </w:rPr>
        <w:t>WWDA</w:t>
      </w:r>
      <w:r w:rsidRPr="00194373">
        <w:rPr>
          <w:sz w:val="18"/>
          <w:szCs w:val="18"/>
        </w:rPr>
        <w:t xml:space="preserve"> (2019) </w:t>
      </w:r>
      <w:hyperlink r:id="rId44">
        <w:r w:rsidR="00277FE8" w:rsidRPr="00194373">
          <w:rPr>
            <w:rStyle w:val="Hyperlink"/>
            <w:i/>
            <w:iCs/>
            <w:sz w:val="18"/>
            <w:szCs w:val="18"/>
          </w:rPr>
          <w:t>Discrimination against migrants and refugees with disability</w:t>
        </w:r>
      </w:hyperlink>
      <w:r w:rsidRPr="00194373">
        <w:rPr>
          <w:sz w:val="18"/>
          <w:szCs w:val="18"/>
        </w:rPr>
        <w:t>, WWDA, accessed 13 January 2026.</w:t>
      </w:r>
    </w:p>
  </w:footnote>
  <w:footnote w:id="50">
    <w:p w14:paraId="6626D4AA" w14:textId="05D5042F" w:rsidR="00D5523C" w:rsidRPr="00194373" w:rsidRDefault="00D5523C" w:rsidP="0038063B">
      <w:pPr>
        <w:pStyle w:val="FootnoteText"/>
        <w:rPr>
          <w:sz w:val="18"/>
          <w:szCs w:val="18"/>
        </w:rPr>
      </w:pPr>
      <w:r w:rsidRPr="00194373">
        <w:rPr>
          <w:rStyle w:val="FootnoteReference"/>
          <w:sz w:val="18"/>
          <w:szCs w:val="18"/>
          <w:vertAlign w:val="baseline"/>
        </w:rPr>
        <w:footnoteRef/>
      </w:r>
      <w:r w:rsidR="7CD4A099" w:rsidRPr="00194373">
        <w:rPr>
          <w:sz w:val="18"/>
          <w:szCs w:val="18"/>
        </w:rPr>
        <w:t xml:space="preserve"> </w:t>
      </w:r>
      <w:r w:rsidR="7CD4A099" w:rsidRPr="00194373">
        <w:rPr>
          <w:i/>
          <w:iCs/>
          <w:sz w:val="18"/>
          <w:szCs w:val="18"/>
        </w:rPr>
        <w:t>Migration Act 1958</w:t>
      </w:r>
      <w:r w:rsidR="00BC563C" w:rsidRPr="00194373">
        <w:rPr>
          <w:sz w:val="18"/>
          <w:szCs w:val="18"/>
        </w:rPr>
        <w:t xml:space="preserve"> (</w:t>
      </w:r>
      <w:proofErr w:type="spellStart"/>
      <w:r w:rsidR="00BC563C" w:rsidRPr="00194373">
        <w:rPr>
          <w:sz w:val="18"/>
          <w:szCs w:val="18"/>
        </w:rPr>
        <w:t>Cth</w:t>
      </w:r>
      <w:proofErr w:type="spellEnd"/>
      <w:r w:rsidR="00BC563C" w:rsidRPr="00194373">
        <w:rPr>
          <w:sz w:val="18"/>
          <w:szCs w:val="18"/>
        </w:rPr>
        <w:t>)</w:t>
      </w:r>
      <w:r w:rsidR="7CD4A099" w:rsidRPr="00194373">
        <w:rPr>
          <w:sz w:val="18"/>
          <w:szCs w:val="18"/>
        </w:rPr>
        <w:t xml:space="preserve"> and </w:t>
      </w:r>
      <w:r w:rsidR="7CD4A099" w:rsidRPr="00194373">
        <w:rPr>
          <w:i/>
          <w:iCs/>
          <w:sz w:val="18"/>
          <w:szCs w:val="18"/>
        </w:rPr>
        <w:t>Migration Regulations 1994</w:t>
      </w:r>
      <w:r w:rsidR="007E26FF" w:rsidRPr="00194373">
        <w:rPr>
          <w:sz w:val="18"/>
          <w:szCs w:val="18"/>
        </w:rPr>
        <w:t xml:space="preserve"> (</w:t>
      </w:r>
      <w:proofErr w:type="spellStart"/>
      <w:r w:rsidR="007E26FF" w:rsidRPr="00194373">
        <w:rPr>
          <w:sz w:val="18"/>
          <w:szCs w:val="18"/>
        </w:rPr>
        <w:t>Cth</w:t>
      </w:r>
      <w:proofErr w:type="spellEnd"/>
      <w:r w:rsidR="007E26FF" w:rsidRPr="00194373">
        <w:rPr>
          <w:sz w:val="18"/>
          <w:szCs w:val="18"/>
        </w:rPr>
        <w:t>).</w:t>
      </w:r>
    </w:p>
  </w:footnote>
  <w:footnote w:id="51">
    <w:p w14:paraId="6D71ED45" w14:textId="671755A8"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151A9A" w:rsidRPr="00194373">
        <w:rPr>
          <w:sz w:val="18"/>
          <w:szCs w:val="18"/>
        </w:rPr>
        <w:t xml:space="preserve">WWDA (2019) </w:t>
      </w:r>
      <w:hyperlink r:id="rId45">
        <w:r w:rsidR="00151A9A" w:rsidRPr="00194373">
          <w:rPr>
            <w:rStyle w:val="Hyperlink"/>
            <w:i/>
            <w:iCs/>
            <w:sz w:val="18"/>
            <w:szCs w:val="18"/>
          </w:rPr>
          <w:t>Discrimination against migrants and refugees with disability</w:t>
        </w:r>
      </w:hyperlink>
      <w:r w:rsidR="00151A9A" w:rsidRPr="00194373">
        <w:rPr>
          <w:sz w:val="18"/>
          <w:szCs w:val="18"/>
        </w:rPr>
        <w:t>, WWDA, accessed 13 January 2026.</w:t>
      </w:r>
    </w:p>
  </w:footnote>
  <w:footnote w:id="52">
    <w:p w14:paraId="46A86195" w14:textId="7F126CC6"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581FF3" w:rsidRPr="00194373">
        <w:rPr>
          <w:sz w:val="18"/>
          <w:szCs w:val="18"/>
        </w:rPr>
        <w:t>DFAT</w:t>
      </w:r>
      <w:r w:rsidR="009620E8" w:rsidRPr="00194373">
        <w:rPr>
          <w:sz w:val="18"/>
          <w:szCs w:val="18"/>
        </w:rPr>
        <w:t xml:space="preserve"> (2023) </w:t>
      </w:r>
      <w:hyperlink r:id="rId46">
        <w:r w:rsidR="009620E8" w:rsidRPr="00194373">
          <w:rPr>
            <w:rStyle w:val="Hyperlink"/>
            <w:i/>
            <w:iCs/>
            <w:sz w:val="18"/>
            <w:szCs w:val="18"/>
          </w:rPr>
          <w:t>Sixth periodic report submitted by Australia under articles 16 and 17 of the Covenant</w:t>
        </w:r>
      </w:hyperlink>
      <w:r w:rsidR="009620E8" w:rsidRPr="00194373">
        <w:rPr>
          <w:sz w:val="18"/>
          <w:szCs w:val="18"/>
        </w:rPr>
        <w:t xml:space="preserve">, DFAT, </w:t>
      </w:r>
      <w:r w:rsidR="00581FF3" w:rsidRPr="00194373">
        <w:rPr>
          <w:sz w:val="18"/>
          <w:szCs w:val="18"/>
        </w:rPr>
        <w:t xml:space="preserve">Australian Government, </w:t>
      </w:r>
      <w:r w:rsidR="009620E8" w:rsidRPr="00194373">
        <w:rPr>
          <w:sz w:val="18"/>
          <w:szCs w:val="18"/>
        </w:rPr>
        <w:t>accessed 13 January 2026.</w:t>
      </w:r>
    </w:p>
  </w:footnote>
  <w:footnote w:id="53">
    <w:p w14:paraId="44B47229" w14:textId="2725DBD5"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Disability Royal Commission (2023) </w:t>
      </w:r>
      <w:hyperlink r:id="rId47">
        <w:r w:rsidRPr="00194373">
          <w:rPr>
            <w:rStyle w:val="Hyperlink"/>
            <w:sz w:val="18"/>
            <w:szCs w:val="18"/>
          </w:rPr>
          <w:t>Final Report Volume 7, Inclusive Education, Employment And Housing Part C</w:t>
        </w:r>
      </w:hyperlink>
      <w:r w:rsidRPr="00194373">
        <w:rPr>
          <w:sz w:val="18"/>
          <w:szCs w:val="18"/>
        </w:rPr>
        <w:t xml:space="preserve">, </w:t>
      </w:r>
      <w:r w:rsidR="00FE32E6" w:rsidRPr="00194373">
        <w:rPr>
          <w:sz w:val="18"/>
          <w:szCs w:val="18"/>
        </w:rPr>
        <w:t>Disability Royal Commission</w:t>
      </w:r>
      <w:r w:rsidRPr="00194373">
        <w:rPr>
          <w:sz w:val="18"/>
          <w:szCs w:val="18"/>
        </w:rPr>
        <w:t>, accessed 13 January 2026.</w:t>
      </w:r>
    </w:p>
  </w:footnote>
  <w:footnote w:id="54">
    <w:p w14:paraId="598C7159" w14:textId="47051520"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BA7C43" w:rsidRPr="00194373">
        <w:rPr>
          <w:sz w:val="18"/>
          <w:szCs w:val="18"/>
        </w:rPr>
        <w:t>DFAT</w:t>
      </w:r>
      <w:r w:rsidR="009620E8" w:rsidRPr="00194373">
        <w:rPr>
          <w:sz w:val="18"/>
          <w:szCs w:val="18"/>
        </w:rPr>
        <w:t xml:space="preserve"> (2023) </w:t>
      </w:r>
      <w:hyperlink r:id="rId48">
        <w:r w:rsidR="009620E8" w:rsidRPr="00194373">
          <w:rPr>
            <w:rStyle w:val="Hyperlink"/>
            <w:i/>
            <w:iCs/>
            <w:sz w:val="18"/>
            <w:szCs w:val="18"/>
          </w:rPr>
          <w:t>Sixth periodic report submitted by Australia under articles 16 and 17 of the Covenant</w:t>
        </w:r>
      </w:hyperlink>
      <w:r w:rsidR="009620E8" w:rsidRPr="00194373">
        <w:rPr>
          <w:sz w:val="18"/>
          <w:szCs w:val="18"/>
        </w:rPr>
        <w:t>, DFAT, accessed 13 January 2026.</w:t>
      </w:r>
    </w:p>
  </w:footnote>
  <w:footnote w:id="55">
    <w:p w14:paraId="7BE55718" w14:textId="48FDB6F0"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B700E1" w:rsidRPr="00194373">
        <w:rPr>
          <w:sz w:val="18"/>
          <w:szCs w:val="18"/>
        </w:rPr>
        <w:t>PWDA, NEDA and Federation of Ethnic Communities' Councils of Australia (FECCA) (2021</w:t>
      </w:r>
      <w:r w:rsidR="00B700E1" w:rsidRPr="00194373">
        <w:rPr>
          <w:i/>
          <w:iCs/>
          <w:sz w:val="18"/>
          <w:szCs w:val="18"/>
        </w:rPr>
        <w:t xml:space="preserve">) </w:t>
      </w:r>
      <w:hyperlink r:id="rId49">
        <w:r w:rsidR="00B700E1" w:rsidRPr="00194373">
          <w:rPr>
            <w:rStyle w:val="Hyperlink"/>
            <w:i/>
            <w:iCs/>
            <w:sz w:val="18"/>
            <w:szCs w:val="18"/>
          </w:rPr>
          <w:t>The Experiences and Perspectives of People with Disability From Culturally and Linguistically Diverse Backgrounds</w:t>
        </w:r>
      </w:hyperlink>
      <w:r w:rsidR="00B700E1" w:rsidRPr="00194373">
        <w:rPr>
          <w:sz w:val="18"/>
          <w:szCs w:val="18"/>
        </w:rPr>
        <w:t>, PWDA, NEDA and FECCA, accessed 13 January 2026.</w:t>
      </w:r>
    </w:p>
  </w:footnote>
  <w:footnote w:id="56">
    <w:p w14:paraId="406E183A" w14:textId="661DC791"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B700E1" w:rsidRPr="00194373">
        <w:rPr>
          <w:sz w:val="18"/>
          <w:szCs w:val="18"/>
        </w:rPr>
        <w:t>PWDA, NEDA and Federation of Ethnic Communities' Councils of Australia (FECCA) (2021</w:t>
      </w:r>
      <w:r w:rsidR="00B700E1" w:rsidRPr="00194373">
        <w:rPr>
          <w:i/>
          <w:iCs/>
          <w:sz w:val="18"/>
          <w:szCs w:val="18"/>
        </w:rPr>
        <w:t xml:space="preserve">) </w:t>
      </w:r>
      <w:hyperlink r:id="rId50">
        <w:r w:rsidR="00B700E1" w:rsidRPr="00194373">
          <w:rPr>
            <w:rStyle w:val="Hyperlink"/>
            <w:i/>
            <w:iCs/>
            <w:sz w:val="18"/>
            <w:szCs w:val="18"/>
          </w:rPr>
          <w:t>The Experiences and Perspectives of People with Disability From Culturally and Linguistically Diverse Backgrounds</w:t>
        </w:r>
      </w:hyperlink>
      <w:r w:rsidR="00B700E1" w:rsidRPr="00194373">
        <w:rPr>
          <w:sz w:val="18"/>
          <w:szCs w:val="18"/>
        </w:rPr>
        <w:t>, PWDA, NEDA and FECCA, accessed 13 January 2026.</w:t>
      </w:r>
    </w:p>
  </w:footnote>
  <w:footnote w:id="57">
    <w:p w14:paraId="284B25E9" w14:textId="77777777"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People with Disability Australia (PWDA) (n.d.) </w:t>
      </w:r>
      <w:hyperlink r:id="rId51">
        <w:proofErr w:type="spellStart"/>
        <w:r w:rsidRPr="00194373">
          <w:rPr>
            <w:rStyle w:val="Hyperlink"/>
            <w:sz w:val="18"/>
            <w:szCs w:val="18"/>
          </w:rPr>
          <w:t>Pwda</w:t>
        </w:r>
        <w:proofErr w:type="spellEnd"/>
        <w:r w:rsidRPr="00194373">
          <w:rPr>
            <w:rStyle w:val="Hyperlink"/>
            <w:sz w:val="18"/>
            <w:szCs w:val="18"/>
          </w:rPr>
          <w:t xml:space="preserve"> Submission Into New South Wales University Sector</w:t>
        </w:r>
      </w:hyperlink>
      <w:r w:rsidRPr="00194373">
        <w:rPr>
          <w:sz w:val="18"/>
          <w:szCs w:val="18"/>
        </w:rPr>
        <w:t>, PWDA, accessed 13 January 2026.</w:t>
      </w:r>
    </w:p>
  </w:footnote>
  <w:footnote w:id="58">
    <w:p w14:paraId="65FA2E97" w14:textId="6B0CB768"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BA7C43" w:rsidRPr="00194373">
        <w:rPr>
          <w:sz w:val="18"/>
          <w:szCs w:val="18"/>
        </w:rPr>
        <w:t>DFAT</w:t>
      </w:r>
      <w:r w:rsidR="004F7911" w:rsidRPr="00194373">
        <w:rPr>
          <w:sz w:val="18"/>
          <w:szCs w:val="18"/>
        </w:rPr>
        <w:t xml:space="preserve"> (2023) </w:t>
      </w:r>
      <w:hyperlink r:id="rId52">
        <w:r w:rsidR="004F7911" w:rsidRPr="00194373">
          <w:rPr>
            <w:rStyle w:val="Hyperlink"/>
            <w:i/>
            <w:iCs/>
            <w:sz w:val="18"/>
            <w:szCs w:val="18"/>
          </w:rPr>
          <w:t>Sixth periodic report submitted by Australia under articles 16 and 17 of the Covenant</w:t>
        </w:r>
      </w:hyperlink>
      <w:r w:rsidR="004F7911" w:rsidRPr="00194373">
        <w:rPr>
          <w:sz w:val="18"/>
          <w:szCs w:val="18"/>
        </w:rPr>
        <w:t xml:space="preserve">, DFAT, </w:t>
      </w:r>
      <w:r w:rsidR="002421DB" w:rsidRPr="00194373">
        <w:rPr>
          <w:sz w:val="18"/>
          <w:szCs w:val="18"/>
        </w:rPr>
        <w:t xml:space="preserve">Australian Government, </w:t>
      </w:r>
      <w:r w:rsidR="004F7911" w:rsidRPr="00194373">
        <w:rPr>
          <w:sz w:val="18"/>
          <w:szCs w:val="18"/>
        </w:rPr>
        <w:t>accessed 13 January 2026.</w:t>
      </w:r>
    </w:p>
  </w:footnote>
  <w:footnote w:id="59">
    <w:p w14:paraId="49DA339E" w14:textId="57F8C7F1"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DF5542" w:rsidRPr="00194373">
        <w:rPr>
          <w:sz w:val="18"/>
          <w:szCs w:val="18"/>
        </w:rPr>
        <w:t xml:space="preserve">Barker, B (2023) </w:t>
      </w:r>
      <w:hyperlink r:id="rId53">
        <w:r w:rsidR="00DF5542" w:rsidRPr="00194373">
          <w:rPr>
            <w:rStyle w:val="Hyperlink"/>
            <w:sz w:val="18"/>
            <w:szCs w:val="18"/>
          </w:rPr>
          <w:t>'EAL/D or an additional need? A cycle of learning, teaching and assessment to discern if an EAL/D student has additional needs to learning English'</w:t>
        </w:r>
      </w:hyperlink>
      <w:r w:rsidR="00DF5542" w:rsidRPr="00194373">
        <w:rPr>
          <w:sz w:val="18"/>
          <w:szCs w:val="18"/>
        </w:rPr>
        <w:t xml:space="preserve">, </w:t>
      </w:r>
      <w:r w:rsidR="00DF5542" w:rsidRPr="00194373">
        <w:rPr>
          <w:i/>
          <w:iCs/>
          <w:sz w:val="18"/>
          <w:szCs w:val="18"/>
        </w:rPr>
        <w:t>Studies in Language Assessment</w:t>
      </w:r>
      <w:r w:rsidR="00DF5542" w:rsidRPr="00194373">
        <w:rPr>
          <w:sz w:val="18"/>
          <w:szCs w:val="18"/>
        </w:rPr>
        <w:t>, 12(2):272, University of Melbourne, accessed 12 January 2026.</w:t>
      </w:r>
    </w:p>
  </w:footnote>
  <w:footnote w:id="60">
    <w:p w14:paraId="52FB094B" w14:textId="515FDCE2"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A80211" w:rsidRPr="00194373">
        <w:rPr>
          <w:sz w:val="18"/>
          <w:szCs w:val="18"/>
        </w:rPr>
        <w:t>Nationally Consistent Collection of Data on School Students with Disability (NCCD) (n</w:t>
      </w:r>
      <w:r w:rsidR="00A80211" w:rsidRPr="00194373">
        <w:rPr>
          <w:sz w:val="18"/>
          <w:szCs w:val="18"/>
        </w:rPr>
        <w:t>.d.</w:t>
      </w:r>
      <w:r w:rsidR="00A80211" w:rsidRPr="00194373">
        <w:rPr>
          <w:sz w:val="18"/>
          <w:szCs w:val="18"/>
        </w:rPr>
        <w:t xml:space="preserve">) </w:t>
      </w:r>
      <w:hyperlink r:id="rId54">
        <w:r w:rsidR="00A80211" w:rsidRPr="00194373">
          <w:rPr>
            <w:rStyle w:val="Hyperlink"/>
            <w:i/>
            <w:iCs/>
            <w:sz w:val="18"/>
            <w:szCs w:val="18"/>
          </w:rPr>
          <w:t>Learning Differences, Learning Difficulties, Learning Disabilities and the NCCD</w:t>
        </w:r>
      </w:hyperlink>
      <w:r w:rsidR="00A80211" w:rsidRPr="00194373">
        <w:rPr>
          <w:sz w:val="18"/>
          <w:szCs w:val="18"/>
        </w:rPr>
        <w:t>, NCCD, Australian Government Department of Education, accessed 12 January 2026.</w:t>
      </w:r>
    </w:p>
  </w:footnote>
  <w:footnote w:id="61">
    <w:p w14:paraId="26D909CE" w14:textId="152953FE" w:rsidR="001D4BB0" w:rsidRPr="00194373" w:rsidRDefault="001D4BB0">
      <w:pPr>
        <w:pStyle w:val="FootnoteText"/>
        <w:rPr>
          <w:sz w:val="18"/>
          <w:szCs w:val="18"/>
        </w:rPr>
      </w:pPr>
      <w:r w:rsidRPr="00194373">
        <w:rPr>
          <w:rStyle w:val="FootnoteReference"/>
          <w:sz w:val="18"/>
          <w:szCs w:val="18"/>
          <w:vertAlign w:val="baseline"/>
        </w:rPr>
        <w:footnoteRef/>
      </w:r>
      <w:r w:rsidRPr="00194373">
        <w:rPr>
          <w:sz w:val="18"/>
          <w:szCs w:val="18"/>
        </w:rPr>
        <w:t xml:space="preserve"> </w:t>
      </w:r>
      <w:r w:rsidR="005A344C" w:rsidRPr="00194373">
        <w:rPr>
          <w:sz w:val="18"/>
          <w:szCs w:val="18"/>
        </w:rPr>
        <w:t>Lyons, Kate</w:t>
      </w:r>
      <w:r w:rsidR="005A344C" w:rsidRPr="00194373">
        <w:rPr>
          <w:sz w:val="18"/>
          <w:szCs w:val="18"/>
        </w:rPr>
        <w:t xml:space="preserve"> (2025) </w:t>
      </w:r>
      <w:r w:rsidR="005A344C" w:rsidRPr="00194373">
        <w:rPr>
          <w:sz w:val="18"/>
          <w:szCs w:val="18"/>
        </w:rPr>
        <w:t>‘</w:t>
      </w:r>
      <w:hyperlink r:id="rId55" w:history="1">
        <w:r w:rsidR="005A344C" w:rsidRPr="00194373">
          <w:rPr>
            <w:rStyle w:val="Hyperlink"/>
            <w:sz w:val="18"/>
            <w:szCs w:val="18"/>
          </w:rPr>
          <w:t>NDIS plans will be computer-generated, with human involvement dramatically cut under sweeping overhaul</w:t>
        </w:r>
      </w:hyperlink>
      <w:r w:rsidR="005A344C" w:rsidRPr="00194373">
        <w:rPr>
          <w:sz w:val="18"/>
          <w:szCs w:val="18"/>
        </w:rPr>
        <w:t xml:space="preserve">’, </w:t>
      </w:r>
      <w:r w:rsidR="005A344C" w:rsidRPr="00194373">
        <w:rPr>
          <w:i/>
          <w:iCs/>
          <w:sz w:val="18"/>
          <w:szCs w:val="18"/>
        </w:rPr>
        <w:t>The Guardian</w:t>
      </w:r>
      <w:r w:rsidR="005A344C" w:rsidRPr="00194373">
        <w:rPr>
          <w:sz w:val="18"/>
          <w:szCs w:val="18"/>
        </w:rPr>
        <w:t>, 2 December 2025</w:t>
      </w:r>
    </w:p>
  </w:footnote>
  <w:footnote w:id="62">
    <w:p w14:paraId="03A0545F" w14:textId="77777777"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Disability Royal Commission (DRC) (2023) </w:t>
      </w:r>
      <w:hyperlink r:id="rId56">
        <w:r w:rsidRPr="00194373">
          <w:rPr>
            <w:rStyle w:val="Hyperlink"/>
            <w:sz w:val="18"/>
            <w:szCs w:val="18"/>
          </w:rPr>
          <w:t>Final Report Volume 7, Inclusive Education, Employment And Housing Part C</w:t>
        </w:r>
      </w:hyperlink>
      <w:r w:rsidRPr="00194373">
        <w:rPr>
          <w:sz w:val="18"/>
          <w:szCs w:val="18"/>
        </w:rPr>
        <w:t>, DRC, accessed 13 January 2026.</w:t>
      </w:r>
    </w:p>
  </w:footnote>
  <w:footnote w:id="63">
    <w:p w14:paraId="5AA43FE9" w14:textId="77777777" w:rsidR="0090738A" w:rsidRPr="00194373" w:rsidRDefault="00880E39">
      <w:pPr>
        <w:pStyle w:val="FootnoteText"/>
        <w:rPr>
          <w:sz w:val="18"/>
          <w:szCs w:val="18"/>
        </w:rPr>
      </w:pPr>
      <w:r w:rsidRPr="00194373">
        <w:rPr>
          <w:rStyle w:val="FootnoteReference"/>
          <w:sz w:val="18"/>
          <w:szCs w:val="18"/>
          <w:vertAlign w:val="baseline"/>
        </w:rPr>
        <w:footnoteRef/>
      </w:r>
      <w:r w:rsidRPr="00194373">
        <w:rPr>
          <w:sz w:val="18"/>
          <w:szCs w:val="18"/>
        </w:rPr>
        <w:t xml:space="preserve"> Soldatic K, Lee M, Tunggal E, Liao A and Magee L (2025) ‘</w:t>
      </w:r>
      <w:hyperlink r:id="rId57">
        <w:r w:rsidRPr="00194373">
          <w:rPr>
            <w:rStyle w:val="Hyperlink"/>
            <w:sz w:val="18"/>
            <w:szCs w:val="18"/>
          </w:rPr>
          <w:t>Rethinking digital and AI inclusion: participatory and intersectionality-informed methods for disability and migrant justice</w:t>
        </w:r>
      </w:hyperlink>
      <w:r w:rsidRPr="00194373">
        <w:rPr>
          <w:sz w:val="18"/>
          <w:szCs w:val="18"/>
        </w:rPr>
        <w:t xml:space="preserve">’, </w:t>
      </w:r>
      <w:r w:rsidRPr="00194373">
        <w:rPr>
          <w:i/>
          <w:sz w:val="18"/>
          <w:szCs w:val="18"/>
        </w:rPr>
        <w:t>Frontiers in Sociology</w:t>
      </w:r>
      <w:r w:rsidRPr="00194373">
        <w:rPr>
          <w:sz w:val="18"/>
          <w:szCs w:val="18"/>
        </w:rPr>
        <w:t>, 10:1593330, doi:10.3389/fsoc.2025.1593330.</w:t>
      </w:r>
    </w:p>
  </w:footnote>
  <w:footnote w:id="64">
    <w:p w14:paraId="6A34BB7D" w14:textId="77777777" w:rsidR="0090738A" w:rsidRPr="00194373" w:rsidRDefault="00880E39">
      <w:pPr>
        <w:pStyle w:val="FootnoteText"/>
        <w:rPr>
          <w:sz w:val="18"/>
          <w:szCs w:val="18"/>
        </w:rPr>
      </w:pPr>
      <w:r w:rsidRPr="00194373">
        <w:rPr>
          <w:rStyle w:val="FootnoteReference"/>
          <w:sz w:val="18"/>
          <w:szCs w:val="18"/>
          <w:vertAlign w:val="baseline"/>
        </w:rPr>
        <w:footnoteRef/>
      </w:r>
      <w:r w:rsidRPr="00194373">
        <w:rPr>
          <w:sz w:val="18"/>
          <w:szCs w:val="18"/>
        </w:rPr>
        <w:t xml:space="preserve"> Amery R, Thirumanickam A, Barker R, Lowell A, Theodoros D and Raghavendra P (2022) ‘</w:t>
      </w:r>
      <w:hyperlink r:id="rId58">
        <w:r w:rsidRPr="00194373">
          <w:rPr>
            <w:rStyle w:val="Hyperlink"/>
            <w:sz w:val="18"/>
            <w:szCs w:val="18"/>
          </w:rPr>
          <w:t>Developing augmentative and alternative communication systems in languages other than English: a scoping review</w:t>
        </w:r>
      </w:hyperlink>
      <w:r w:rsidRPr="00194373">
        <w:rPr>
          <w:sz w:val="18"/>
          <w:szCs w:val="18"/>
        </w:rPr>
        <w:t xml:space="preserve">’, </w:t>
      </w:r>
      <w:r w:rsidRPr="00194373">
        <w:rPr>
          <w:i/>
          <w:sz w:val="18"/>
          <w:szCs w:val="18"/>
        </w:rPr>
        <w:t>American Journal of Speech-Language Pathology</w:t>
      </w:r>
      <w:r w:rsidRPr="00194373">
        <w:rPr>
          <w:sz w:val="18"/>
          <w:szCs w:val="18"/>
        </w:rPr>
        <w:t>, 31(6):2900–2919, doi:10.1044/2022_AJSLP-21-00396.</w:t>
      </w:r>
    </w:p>
  </w:footnote>
  <w:footnote w:id="65">
    <w:p w14:paraId="04098F31" w14:textId="77777777" w:rsidR="0090738A" w:rsidRPr="00194373" w:rsidRDefault="00880E39">
      <w:pPr>
        <w:pStyle w:val="FootnoteText"/>
        <w:rPr>
          <w:sz w:val="18"/>
          <w:szCs w:val="18"/>
        </w:rPr>
      </w:pPr>
      <w:r w:rsidRPr="00194373">
        <w:rPr>
          <w:rStyle w:val="FootnoteReference"/>
          <w:sz w:val="18"/>
          <w:szCs w:val="18"/>
          <w:vertAlign w:val="baseline"/>
        </w:rPr>
        <w:footnoteRef/>
      </w:r>
      <w:r w:rsidRPr="00194373">
        <w:rPr>
          <w:sz w:val="18"/>
          <w:szCs w:val="18"/>
        </w:rPr>
        <w:t xml:space="preserve"> Sheard N (2025) ‘Algorithm-facilitated discrimination: a socio-legal study of the use by employers of artificial intelligence hiring systems’, </w:t>
      </w:r>
      <w:r w:rsidRPr="00194373">
        <w:rPr>
          <w:i/>
          <w:sz w:val="18"/>
          <w:szCs w:val="18"/>
        </w:rPr>
        <w:t>Journal of Law and Society</w:t>
      </w:r>
      <w:r w:rsidRPr="00194373">
        <w:rPr>
          <w:sz w:val="18"/>
          <w:szCs w:val="18"/>
        </w:rPr>
        <w:t>, 52(2):269–291, doi:10.1111/jols.12535.</w:t>
      </w:r>
    </w:p>
  </w:footnote>
  <w:footnote w:id="66">
    <w:p w14:paraId="38D176FC" w14:textId="0FBF95D9"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A440EB" w:rsidRPr="00194373">
        <w:rPr>
          <w:sz w:val="18"/>
          <w:szCs w:val="18"/>
        </w:rPr>
        <w:t xml:space="preserve">WWDA (2025) </w:t>
      </w:r>
      <w:hyperlink r:id="rId59">
        <w:r w:rsidR="00A440EB" w:rsidRPr="00194373">
          <w:rPr>
            <w:rStyle w:val="Hyperlink"/>
            <w:i/>
            <w:iCs/>
            <w:sz w:val="18"/>
            <w:szCs w:val="18"/>
          </w:rPr>
          <w:t>Disability Discrimination Act Review</w:t>
        </w:r>
      </w:hyperlink>
      <w:r w:rsidR="00A440EB" w:rsidRPr="00194373">
        <w:rPr>
          <w:sz w:val="18"/>
          <w:szCs w:val="18"/>
        </w:rPr>
        <w:t>, WWDA, accessed 13 January 2026</w:t>
      </w:r>
      <w:r w:rsidR="00B807B6" w:rsidRPr="00194373">
        <w:rPr>
          <w:sz w:val="18"/>
          <w:szCs w:val="18"/>
        </w:rPr>
        <w:t>.</w:t>
      </w:r>
    </w:p>
  </w:footnote>
  <w:footnote w:id="67">
    <w:p w14:paraId="56CE7D68" w14:textId="71D4E770" w:rsidR="001A6C35" w:rsidRPr="00194373" w:rsidRDefault="00246D03" w:rsidP="0038063B">
      <w:pPr>
        <w:pStyle w:val="FootnoteText"/>
        <w:rPr>
          <w:sz w:val="18"/>
          <w:szCs w:val="18"/>
        </w:rPr>
      </w:pPr>
      <w:r w:rsidRPr="00194373">
        <w:rPr>
          <w:sz w:val="18"/>
          <w:szCs w:val="18"/>
        </w:rPr>
        <w:footnoteRef/>
      </w:r>
      <w:r w:rsidRPr="00194373">
        <w:rPr>
          <w:sz w:val="18"/>
          <w:szCs w:val="18"/>
        </w:rPr>
        <w:t xml:space="preserve"> </w:t>
      </w:r>
      <w:r w:rsidR="00A440EB" w:rsidRPr="00194373">
        <w:rPr>
          <w:sz w:val="18"/>
          <w:szCs w:val="18"/>
        </w:rPr>
        <w:t xml:space="preserve">WWDA (2025) </w:t>
      </w:r>
      <w:hyperlink r:id="rId60">
        <w:r w:rsidR="00A440EB" w:rsidRPr="00194373">
          <w:rPr>
            <w:rStyle w:val="Hyperlink"/>
            <w:i/>
            <w:iCs/>
            <w:sz w:val="18"/>
            <w:szCs w:val="18"/>
          </w:rPr>
          <w:t>Disability Discrimination Act Review</w:t>
        </w:r>
      </w:hyperlink>
      <w:r w:rsidR="00A440EB" w:rsidRPr="00194373">
        <w:rPr>
          <w:sz w:val="18"/>
          <w:szCs w:val="18"/>
        </w:rPr>
        <w:t>, WWDA, accessed 13 January 2026</w:t>
      </w:r>
      <w:r w:rsidR="00B807B6" w:rsidRPr="00194373">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CFE"/>
    <w:multiLevelType w:val="hybridMultilevel"/>
    <w:tmpl w:val="32F8D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121F17"/>
    <w:multiLevelType w:val="multilevel"/>
    <w:tmpl w:val="5D304EB6"/>
    <w:name w:val="PWDA_Numbered"/>
    <w:styleLink w:val="PWDANumbered"/>
    <w:lvl w:ilvl="0">
      <w:start w:val="1"/>
      <w:numFmt w:val="decimal"/>
      <w:pStyle w:val="NumberedMultiList"/>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 w15:restartNumberingAfterBreak="0">
    <w:nsid w:val="136B26DF"/>
    <w:multiLevelType w:val="hybridMultilevel"/>
    <w:tmpl w:val="A1AE03B6"/>
    <w:lvl w:ilvl="0" w:tplc="BD04C85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064CDE"/>
    <w:multiLevelType w:val="hybridMultilevel"/>
    <w:tmpl w:val="618A6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777250"/>
    <w:multiLevelType w:val="hybridMultilevel"/>
    <w:tmpl w:val="B050A2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873497"/>
    <w:multiLevelType w:val="multilevel"/>
    <w:tmpl w:val="3F002D38"/>
    <w:name w:val="PWDA_Bullets2"/>
    <w:numStyleLink w:val="PWDABullets"/>
  </w:abstractNum>
  <w:abstractNum w:abstractNumId="6" w15:restartNumberingAfterBreak="0">
    <w:nsid w:val="24C26EDE"/>
    <w:multiLevelType w:val="multilevel"/>
    <w:tmpl w:val="3F002D38"/>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7" w15:restartNumberingAfterBreak="0">
    <w:nsid w:val="38C230C8"/>
    <w:multiLevelType w:val="hybridMultilevel"/>
    <w:tmpl w:val="7F485C8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1A1027"/>
    <w:multiLevelType w:val="hybridMultilevel"/>
    <w:tmpl w:val="ABD0E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AB5FA0"/>
    <w:multiLevelType w:val="multilevel"/>
    <w:tmpl w:val="AF7A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794402"/>
    <w:multiLevelType w:val="hybridMultilevel"/>
    <w:tmpl w:val="8B4ED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D428C6"/>
    <w:multiLevelType w:val="hybridMultilevel"/>
    <w:tmpl w:val="4A8432A6"/>
    <w:lvl w:ilvl="0" w:tplc="0C090001">
      <w:start w:val="1"/>
      <w:numFmt w:val="bullet"/>
      <w:lvlText w:val=""/>
      <w:lvlJc w:val="left"/>
      <w:pPr>
        <w:ind w:left="1077" w:hanging="360"/>
      </w:pPr>
      <w:rPr>
        <w:rFonts w:ascii="Symbol" w:hAnsi="Symbol" w:hint="default"/>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 w15:restartNumberingAfterBreak="0">
    <w:nsid w:val="50324D67"/>
    <w:multiLevelType w:val="hybridMultilevel"/>
    <w:tmpl w:val="589CC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EF3508"/>
    <w:multiLevelType w:val="hybridMultilevel"/>
    <w:tmpl w:val="8736B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0B715C"/>
    <w:multiLevelType w:val="hybridMultilevel"/>
    <w:tmpl w:val="7180C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C34838"/>
    <w:multiLevelType w:val="hybridMultilevel"/>
    <w:tmpl w:val="A576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EF7D86"/>
    <w:multiLevelType w:val="hybridMultilevel"/>
    <w:tmpl w:val="A8380356"/>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17" w15:restartNumberingAfterBreak="0">
    <w:nsid w:val="5AA240AB"/>
    <w:multiLevelType w:val="hybridMultilevel"/>
    <w:tmpl w:val="4FD88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084D3C"/>
    <w:multiLevelType w:val="hybridMultilevel"/>
    <w:tmpl w:val="D9ECE0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653DD5"/>
    <w:multiLevelType w:val="hybridMultilevel"/>
    <w:tmpl w:val="E16C9370"/>
    <w:lvl w:ilvl="0" w:tplc="240AE22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4636508"/>
    <w:multiLevelType w:val="multilevel"/>
    <w:tmpl w:val="3D60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C12E8"/>
    <w:multiLevelType w:val="hybridMultilevel"/>
    <w:tmpl w:val="0C488A9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9D4211"/>
    <w:multiLevelType w:val="hybridMultilevel"/>
    <w:tmpl w:val="DE22562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C45F60"/>
    <w:multiLevelType w:val="hybridMultilevel"/>
    <w:tmpl w:val="760C475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A877BCC"/>
    <w:multiLevelType w:val="hybridMultilevel"/>
    <w:tmpl w:val="445854C2"/>
    <w:lvl w:ilvl="0" w:tplc="4B6E17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FCD6787"/>
    <w:multiLevelType w:val="hybridMultilevel"/>
    <w:tmpl w:val="6C743A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CE0E06"/>
    <w:multiLevelType w:val="hybridMultilevel"/>
    <w:tmpl w:val="00ECA9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4AF3D2F"/>
    <w:multiLevelType w:val="hybridMultilevel"/>
    <w:tmpl w:val="C94CE1BC"/>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271F2D"/>
    <w:multiLevelType w:val="hybridMultilevel"/>
    <w:tmpl w:val="599E8E3E"/>
    <w:lvl w:ilvl="0" w:tplc="FCD2B724">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9C77EB"/>
    <w:multiLevelType w:val="hybridMultilevel"/>
    <w:tmpl w:val="AA5E6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E915DB"/>
    <w:multiLevelType w:val="hybridMultilevel"/>
    <w:tmpl w:val="00AAF004"/>
    <w:lvl w:ilvl="0" w:tplc="84D8CAFE">
      <w:start w:val="1"/>
      <w:numFmt w:val="decimal"/>
      <w:pStyle w:val="ListParagraph"/>
      <w:lvlText w:val="%1."/>
      <w:lvlJc w:val="left"/>
      <w:pPr>
        <w:ind w:left="1077" w:hanging="360"/>
      </w:pPr>
    </w:lvl>
    <w:lvl w:ilvl="1" w:tplc="0C090019">
      <w:start w:val="1"/>
      <w:numFmt w:val="lowerLetter"/>
      <w:lvlText w:val="%2."/>
      <w:lvlJc w:val="left"/>
      <w:pPr>
        <w:ind w:left="1797" w:hanging="360"/>
      </w:pPr>
    </w:lvl>
    <w:lvl w:ilvl="2" w:tplc="0C09001B">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1" w15:restartNumberingAfterBreak="0">
    <w:nsid w:val="7FBD4421"/>
    <w:multiLevelType w:val="hybridMultilevel"/>
    <w:tmpl w:val="CBFC2A02"/>
    <w:lvl w:ilvl="0" w:tplc="0C090001">
      <w:start w:val="1"/>
      <w:numFmt w:val="bullet"/>
      <w:lvlText w:val=""/>
      <w:lvlJc w:val="left"/>
      <w:pPr>
        <w:ind w:left="1077" w:hanging="360"/>
      </w:pPr>
      <w:rPr>
        <w:rFonts w:ascii="Symbol" w:hAnsi="Symbol" w:hint="default"/>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num w:numId="1" w16cid:durableId="2043167323">
    <w:abstractNumId w:val="6"/>
  </w:num>
  <w:num w:numId="2" w16cid:durableId="1383677892">
    <w:abstractNumId w:val="1"/>
  </w:num>
  <w:num w:numId="3" w16cid:durableId="1588730485">
    <w:abstractNumId w:val="2"/>
  </w:num>
  <w:num w:numId="4" w16cid:durableId="1461730697">
    <w:abstractNumId w:val="30"/>
  </w:num>
  <w:num w:numId="5" w16cid:durableId="1790320604">
    <w:abstractNumId w:val="26"/>
  </w:num>
  <w:num w:numId="6" w16cid:durableId="1765492158">
    <w:abstractNumId w:val="10"/>
  </w:num>
  <w:num w:numId="7" w16cid:durableId="1054113138">
    <w:abstractNumId w:val="12"/>
  </w:num>
  <w:num w:numId="8" w16cid:durableId="80836504">
    <w:abstractNumId w:val="13"/>
  </w:num>
  <w:num w:numId="9" w16cid:durableId="2142454985">
    <w:abstractNumId w:val="9"/>
  </w:num>
  <w:num w:numId="10" w16cid:durableId="2123110935">
    <w:abstractNumId w:val="20"/>
  </w:num>
  <w:num w:numId="11" w16cid:durableId="1991402160">
    <w:abstractNumId w:val="23"/>
  </w:num>
  <w:num w:numId="12" w16cid:durableId="197133051">
    <w:abstractNumId w:val="28"/>
  </w:num>
  <w:num w:numId="13" w16cid:durableId="555043596">
    <w:abstractNumId w:val="7"/>
  </w:num>
  <w:num w:numId="14" w16cid:durableId="1021393219">
    <w:abstractNumId w:val="29"/>
  </w:num>
  <w:num w:numId="15" w16cid:durableId="11613855">
    <w:abstractNumId w:val="25"/>
  </w:num>
  <w:num w:numId="16" w16cid:durableId="1104573367">
    <w:abstractNumId w:val="21"/>
  </w:num>
  <w:num w:numId="17" w16cid:durableId="455417086">
    <w:abstractNumId w:val="27"/>
  </w:num>
  <w:num w:numId="18" w16cid:durableId="94601020">
    <w:abstractNumId w:val="0"/>
  </w:num>
  <w:num w:numId="19" w16cid:durableId="301497154">
    <w:abstractNumId w:val="14"/>
  </w:num>
  <w:num w:numId="20" w16cid:durableId="278609248">
    <w:abstractNumId w:val="15"/>
  </w:num>
  <w:num w:numId="21" w16cid:durableId="1372460040">
    <w:abstractNumId w:val="3"/>
  </w:num>
  <w:num w:numId="22" w16cid:durableId="1815489557">
    <w:abstractNumId w:val="17"/>
  </w:num>
  <w:num w:numId="23" w16cid:durableId="1851599079">
    <w:abstractNumId w:val="16"/>
  </w:num>
  <w:num w:numId="24" w16cid:durableId="933782913">
    <w:abstractNumId w:val="4"/>
  </w:num>
  <w:num w:numId="25" w16cid:durableId="435296741">
    <w:abstractNumId w:val="19"/>
  </w:num>
  <w:num w:numId="26" w16cid:durableId="447432625">
    <w:abstractNumId w:val="24"/>
  </w:num>
  <w:num w:numId="27" w16cid:durableId="678386219">
    <w:abstractNumId w:val="18"/>
  </w:num>
  <w:num w:numId="28" w16cid:durableId="506988740">
    <w:abstractNumId w:val="22"/>
  </w:num>
  <w:num w:numId="29" w16cid:durableId="920993290">
    <w:abstractNumId w:val="8"/>
  </w:num>
  <w:num w:numId="30" w16cid:durableId="2060858381">
    <w:abstractNumId w:val="11"/>
  </w:num>
  <w:num w:numId="31" w16cid:durableId="1664235646">
    <w:abstractNumId w:val="31"/>
  </w:num>
  <w:num w:numId="32" w16cid:durableId="1780492975">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MzSyMDCyMDQ0NzZT0lEKTi0uzszPAykwNK4FAMG3mG0tAAAA"/>
  </w:docVars>
  <w:rsids>
    <w:rsidRoot w:val="00D402C8"/>
    <w:rsid w:val="00000743"/>
    <w:rsid w:val="00000E32"/>
    <w:rsid w:val="00002837"/>
    <w:rsid w:val="00003077"/>
    <w:rsid w:val="00003112"/>
    <w:rsid w:val="00003A55"/>
    <w:rsid w:val="00003E0C"/>
    <w:rsid w:val="00004E86"/>
    <w:rsid w:val="000058B6"/>
    <w:rsid w:val="0000661F"/>
    <w:rsid w:val="00006C78"/>
    <w:rsid w:val="00007A0D"/>
    <w:rsid w:val="00010F15"/>
    <w:rsid w:val="00011B59"/>
    <w:rsid w:val="00013C30"/>
    <w:rsid w:val="00014092"/>
    <w:rsid w:val="00014A4E"/>
    <w:rsid w:val="0001501F"/>
    <w:rsid w:val="00015058"/>
    <w:rsid w:val="000152EF"/>
    <w:rsid w:val="000163CD"/>
    <w:rsid w:val="000171EA"/>
    <w:rsid w:val="00017285"/>
    <w:rsid w:val="000205BC"/>
    <w:rsid w:val="00020C7D"/>
    <w:rsid w:val="0002294E"/>
    <w:rsid w:val="00022C42"/>
    <w:rsid w:val="00023001"/>
    <w:rsid w:val="0002393D"/>
    <w:rsid w:val="00023ACE"/>
    <w:rsid w:val="000254A2"/>
    <w:rsid w:val="000261ED"/>
    <w:rsid w:val="00026B7F"/>
    <w:rsid w:val="000278F1"/>
    <w:rsid w:val="00027AB7"/>
    <w:rsid w:val="0003018A"/>
    <w:rsid w:val="000305F7"/>
    <w:rsid w:val="00030E4A"/>
    <w:rsid w:val="00033909"/>
    <w:rsid w:val="00033B8D"/>
    <w:rsid w:val="00034185"/>
    <w:rsid w:val="00035756"/>
    <w:rsid w:val="00035F4A"/>
    <w:rsid w:val="0003619C"/>
    <w:rsid w:val="0003779A"/>
    <w:rsid w:val="0004055B"/>
    <w:rsid w:val="00040D54"/>
    <w:rsid w:val="00041A17"/>
    <w:rsid w:val="00041E00"/>
    <w:rsid w:val="000426CC"/>
    <w:rsid w:val="000427D2"/>
    <w:rsid w:val="00042A20"/>
    <w:rsid w:val="00042C20"/>
    <w:rsid w:val="00043E96"/>
    <w:rsid w:val="00044041"/>
    <w:rsid w:val="00045940"/>
    <w:rsid w:val="00045BF3"/>
    <w:rsid w:val="00045D91"/>
    <w:rsid w:val="00046911"/>
    <w:rsid w:val="00046919"/>
    <w:rsid w:val="000470F4"/>
    <w:rsid w:val="0004B34F"/>
    <w:rsid w:val="00052035"/>
    <w:rsid w:val="00052779"/>
    <w:rsid w:val="000536B2"/>
    <w:rsid w:val="00053D40"/>
    <w:rsid w:val="0005440C"/>
    <w:rsid w:val="00055AE0"/>
    <w:rsid w:val="000568D2"/>
    <w:rsid w:val="000574B0"/>
    <w:rsid w:val="00060D99"/>
    <w:rsid w:val="000625C7"/>
    <w:rsid w:val="00062790"/>
    <w:rsid w:val="000632E5"/>
    <w:rsid w:val="00063604"/>
    <w:rsid w:val="00064D4C"/>
    <w:rsid w:val="00067117"/>
    <w:rsid w:val="00067167"/>
    <w:rsid w:val="00070B00"/>
    <w:rsid w:val="00072059"/>
    <w:rsid w:val="000720F7"/>
    <w:rsid w:val="000722D4"/>
    <w:rsid w:val="000725EC"/>
    <w:rsid w:val="00072A35"/>
    <w:rsid w:val="00073425"/>
    <w:rsid w:val="00073BED"/>
    <w:rsid w:val="00074358"/>
    <w:rsid w:val="000761B7"/>
    <w:rsid w:val="00077C29"/>
    <w:rsid w:val="0008001A"/>
    <w:rsid w:val="0008014F"/>
    <w:rsid w:val="000805AA"/>
    <w:rsid w:val="000808F3"/>
    <w:rsid w:val="00085087"/>
    <w:rsid w:val="00085230"/>
    <w:rsid w:val="0008589B"/>
    <w:rsid w:val="00087107"/>
    <w:rsid w:val="00087CA1"/>
    <w:rsid w:val="0009040B"/>
    <w:rsid w:val="000908CC"/>
    <w:rsid w:val="00090F8C"/>
    <w:rsid w:val="00091567"/>
    <w:rsid w:val="000952BC"/>
    <w:rsid w:val="0009533C"/>
    <w:rsid w:val="000954CD"/>
    <w:rsid w:val="00095963"/>
    <w:rsid w:val="00095986"/>
    <w:rsid w:val="00095B3E"/>
    <w:rsid w:val="00096E36"/>
    <w:rsid w:val="00096E73"/>
    <w:rsid w:val="000971CC"/>
    <w:rsid w:val="000A00E2"/>
    <w:rsid w:val="000A238F"/>
    <w:rsid w:val="000A271E"/>
    <w:rsid w:val="000A28CA"/>
    <w:rsid w:val="000A36C2"/>
    <w:rsid w:val="000A3A77"/>
    <w:rsid w:val="000A3EA3"/>
    <w:rsid w:val="000A4B92"/>
    <w:rsid w:val="000A5BF6"/>
    <w:rsid w:val="000A6247"/>
    <w:rsid w:val="000A649C"/>
    <w:rsid w:val="000A6A7B"/>
    <w:rsid w:val="000A6F01"/>
    <w:rsid w:val="000B0760"/>
    <w:rsid w:val="000B16E6"/>
    <w:rsid w:val="000B1703"/>
    <w:rsid w:val="000B2AD2"/>
    <w:rsid w:val="000B4373"/>
    <w:rsid w:val="000B5D63"/>
    <w:rsid w:val="000B7E7D"/>
    <w:rsid w:val="000C147C"/>
    <w:rsid w:val="000C1986"/>
    <w:rsid w:val="000C5337"/>
    <w:rsid w:val="000C580A"/>
    <w:rsid w:val="000C6881"/>
    <w:rsid w:val="000D05D9"/>
    <w:rsid w:val="000D064F"/>
    <w:rsid w:val="000D0D91"/>
    <w:rsid w:val="000D1154"/>
    <w:rsid w:val="000D1797"/>
    <w:rsid w:val="000D4902"/>
    <w:rsid w:val="000D4D75"/>
    <w:rsid w:val="000D525D"/>
    <w:rsid w:val="000D5883"/>
    <w:rsid w:val="000D679C"/>
    <w:rsid w:val="000D7181"/>
    <w:rsid w:val="000E069F"/>
    <w:rsid w:val="000E0BB7"/>
    <w:rsid w:val="000E0DD9"/>
    <w:rsid w:val="000E1F09"/>
    <w:rsid w:val="000E2282"/>
    <w:rsid w:val="000E296B"/>
    <w:rsid w:val="000E34D1"/>
    <w:rsid w:val="000E3CEE"/>
    <w:rsid w:val="000E417F"/>
    <w:rsid w:val="000E444D"/>
    <w:rsid w:val="000E4789"/>
    <w:rsid w:val="000E54DC"/>
    <w:rsid w:val="000E7158"/>
    <w:rsid w:val="000E721A"/>
    <w:rsid w:val="000F029B"/>
    <w:rsid w:val="000F08F3"/>
    <w:rsid w:val="000F1388"/>
    <w:rsid w:val="000F1412"/>
    <w:rsid w:val="000F165B"/>
    <w:rsid w:val="000F1694"/>
    <w:rsid w:val="000F2DB7"/>
    <w:rsid w:val="000F3D5F"/>
    <w:rsid w:val="000F6577"/>
    <w:rsid w:val="000F6ED1"/>
    <w:rsid w:val="000F74F3"/>
    <w:rsid w:val="00100939"/>
    <w:rsid w:val="00100AF7"/>
    <w:rsid w:val="0010226F"/>
    <w:rsid w:val="001025AE"/>
    <w:rsid w:val="00102992"/>
    <w:rsid w:val="0010424C"/>
    <w:rsid w:val="001048F2"/>
    <w:rsid w:val="00104B19"/>
    <w:rsid w:val="00104DC5"/>
    <w:rsid w:val="00106472"/>
    <w:rsid w:val="00107201"/>
    <w:rsid w:val="00107512"/>
    <w:rsid w:val="0011098F"/>
    <w:rsid w:val="00110BD2"/>
    <w:rsid w:val="00111580"/>
    <w:rsid w:val="00111FFA"/>
    <w:rsid w:val="0011298C"/>
    <w:rsid w:val="00112AE2"/>
    <w:rsid w:val="00113059"/>
    <w:rsid w:val="00113E7C"/>
    <w:rsid w:val="00114AC8"/>
    <w:rsid w:val="00115068"/>
    <w:rsid w:val="001172A8"/>
    <w:rsid w:val="001173B3"/>
    <w:rsid w:val="00120A98"/>
    <w:rsid w:val="00121B16"/>
    <w:rsid w:val="001226E3"/>
    <w:rsid w:val="00122DB1"/>
    <w:rsid w:val="001230DF"/>
    <w:rsid w:val="0012328C"/>
    <w:rsid w:val="001234CE"/>
    <w:rsid w:val="001238A8"/>
    <w:rsid w:val="00123976"/>
    <w:rsid w:val="00123F5D"/>
    <w:rsid w:val="0012411B"/>
    <w:rsid w:val="00125281"/>
    <w:rsid w:val="00125572"/>
    <w:rsid w:val="001270DB"/>
    <w:rsid w:val="00130422"/>
    <w:rsid w:val="00130813"/>
    <w:rsid w:val="00130DFB"/>
    <w:rsid w:val="001312DF"/>
    <w:rsid w:val="001314D7"/>
    <w:rsid w:val="00131EBE"/>
    <w:rsid w:val="00132F69"/>
    <w:rsid w:val="0013478A"/>
    <w:rsid w:val="0013505B"/>
    <w:rsid w:val="00135AD0"/>
    <w:rsid w:val="001369F1"/>
    <w:rsid w:val="00136BC9"/>
    <w:rsid w:val="00136C0D"/>
    <w:rsid w:val="00136E66"/>
    <w:rsid w:val="00137A10"/>
    <w:rsid w:val="00137CF4"/>
    <w:rsid w:val="0014033B"/>
    <w:rsid w:val="001411B9"/>
    <w:rsid w:val="00142071"/>
    <w:rsid w:val="001421EA"/>
    <w:rsid w:val="0014221D"/>
    <w:rsid w:val="00142358"/>
    <w:rsid w:val="00143D23"/>
    <w:rsid w:val="001445BB"/>
    <w:rsid w:val="00144826"/>
    <w:rsid w:val="00144F01"/>
    <w:rsid w:val="0014519A"/>
    <w:rsid w:val="001455A3"/>
    <w:rsid w:val="0015032E"/>
    <w:rsid w:val="0015041C"/>
    <w:rsid w:val="00150831"/>
    <w:rsid w:val="001508ED"/>
    <w:rsid w:val="00151A9A"/>
    <w:rsid w:val="00151F96"/>
    <w:rsid w:val="00152131"/>
    <w:rsid w:val="001530DE"/>
    <w:rsid w:val="0015396A"/>
    <w:rsid w:val="00155D49"/>
    <w:rsid w:val="001564EF"/>
    <w:rsid w:val="00157165"/>
    <w:rsid w:val="00157395"/>
    <w:rsid w:val="00157757"/>
    <w:rsid w:val="00157BFE"/>
    <w:rsid w:val="00160A2A"/>
    <w:rsid w:val="00161179"/>
    <w:rsid w:val="00162050"/>
    <w:rsid w:val="0016209B"/>
    <w:rsid w:val="00163B21"/>
    <w:rsid w:val="0016427C"/>
    <w:rsid w:val="001654D0"/>
    <w:rsid w:val="001654F9"/>
    <w:rsid w:val="00166927"/>
    <w:rsid w:val="00166BF7"/>
    <w:rsid w:val="00167E58"/>
    <w:rsid w:val="0017222D"/>
    <w:rsid w:val="001723F0"/>
    <w:rsid w:val="00173437"/>
    <w:rsid w:val="0017439A"/>
    <w:rsid w:val="001802A0"/>
    <w:rsid w:val="001805F9"/>
    <w:rsid w:val="0018071F"/>
    <w:rsid w:val="001818A8"/>
    <w:rsid w:val="00182010"/>
    <w:rsid w:val="00182618"/>
    <w:rsid w:val="001828BD"/>
    <w:rsid w:val="00183FAD"/>
    <w:rsid w:val="001840D9"/>
    <w:rsid w:val="00184C99"/>
    <w:rsid w:val="00185075"/>
    <w:rsid w:val="00185435"/>
    <w:rsid w:val="00185527"/>
    <w:rsid w:val="00185BD1"/>
    <w:rsid w:val="00186551"/>
    <w:rsid w:val="0018657F"/>
    <w:rsid w:val="001867DD"/>
    <w:rsid w:val="0019240D"/>
    <w:rsid w:val="001926DC"/>
    <w:rsid w:val="001931C1"/>
    <w:rsid w:val="001937EC"/>
    <w:rsid w:val="0019397A"/>
    <w:rsid w:val="0019421E"/>
    <w:rsid w:val="00194373"/>
    <w:rsid w:val="00194945"/>
    <w:rsid w:val="0019531B"/>
    <w:rsid w:val="00195CF6"/>
    <w:rsid w:val="0019713F"/>
    <w:rsid w:val="001973D2"/>
    <w:rsid w:val="00197440"/>
    <w:rsid w:val="0019780E"/>
    <w:rsid w:val="001A0136"/>
    <w:rsid w:val="001A080D"/>
    <w:rsid w:val="001A0B8F"/>
    <w:rsid w:val="001A1057"/>
    <w:rsid w:val="001A151F"/>
    <w:rsid w:val="001A234B"/>
    <w:rsid w:val="001A26BF"/>
    <w:rsid w:val="001A2FDE"/>
    <w:rsid w:val="001A3EC5"/>
    <w:rsid w:val="001A4D38"/>
    <w:rsid w:val="001A5C7A"/>
    <w:rsid w:val="001A60E3"/>
    <w:rsid w:val="001A67EB"/>
    <w:rsid w:val="001A6C35"/>
    <w:rsid w:val="001B0509"/>
    <w:rsid w:val="001B061E"/>
    <w:rsid w:val="001B0A96"/>
    <w:rsid w:val="001B1538"/>
    <w:rsid w:val="001B1BC1"/>
    <w:rsid w:val="001B1F8B"/>
    <w:rsid w:val="001B2080"/>
    <w:rsid w:val="001B2422"/>
    <w:rsid w:val="001B2A5D"/>
    <w:rsid w:val="001B3657"/>
    <w:rsid w:val="001B368B"/>
    <w:rsid w:val="001B45EE"/>
    <w:rsid w:val="001B4FAA"/>
    <w:rsid w:val="001B60E4"/>
    <w:rsid w:val="001B63D5"/>
    <w:rsid w:val="001B6657"/>
    <w:rsid w:val="001C0669"/>
    <w:rsid w:val="001C1FDC"/>
    <w:rsid w:val="001C365A"/>
    <w:rsid w:val="001C42BB"/>
    <w:rsid w:val="001C6892"/>
    <w:rsid w:val="001C7BEF"/>
    <w:rsid w:val="001D0EFF"/>
    <w:rsid w:val="001D1DBA"/>
    <w:rsid w:val="001D1F91"/>
    <w:rsid w:val="001D4153"/>
    <w:rsid w:val="001D418B"/>
    <w:rsid w:val="001D4BB0"/>
    <w:rsid w:val="001D4E77"/>
    <w:rsid w:val="001D51B8"/>
    <w:rsid w:val="001D7D1D"/>
    <w:rsid w:val="001E0ABC"/>
    <w:rsid w:val="001E1A38"/>
    <w:rsid w:val="001E22E7"/>
    <w:rsid w:val="001E2CCE"/>
    <w:rsid w:val="001E2D73"/>
    <w:rsid w:val="001E3286"/>
    <w:rsid w:val="001E3584"/>
    <w:rsid w:val="001E3F17"/>
    <w:rsid w:val="001E46E8"/>
    <w:rsid w:val="001E4EBF"/>
    <w:rsid w:val="001E5741"/>
    <w:rsid w:val="001E6248"/>
    <w:rsid w:val="001E6834"/>
    <w:rsid w:val="001E6C2F"/>
    <w:rsid w:val="001F0069"/>
    <w:rsid w:val="001F0DD4"/>
    <w:rsid w:val="001F108D"/>
    <w:rsid w:val="001F17EC"/>
    <w:rsid w:val="001F322E"/>
    <w:rsid w:val="001F4F79"/>
    <w:rsid w:val="001F522A"/>
    <w:rsid w:val="001F52C7"/>
    <w:rsid w:val="001F5464"/>
    <w:rsid w:val="001F558C"/>
    <w:rsid w:val="001F5632"/>
    <w:rsid w:val="002002A9"/>
    <w:rsid w:val="0020046E"/>
    <w:rsid w:val="00201416"/>
    <w:rsid w:val="00201A09"/>
    <w:rsid w:val="00201AD8"/>
    <w:rsid w:val="002023A6"/>
    <w:rsid w:val="002033A1"/>
    <w:rsid w:val="00204A85"/>
    <w:rsid w:val="00204E12"/>
    <w:rsid w:val="00210450"/>
    <w:rsid w:val="002106BB"/>
    <w:rsid w:val="002108A3"/>
    <w:rsid w:val="00211EB3"/>
    <w:rsid w:val="00212CED"/>
    <w:rsid w:val="002154EA"/>
    <w:rsid w:val="00215754"/>
    <w:rsid w:val="0021583F"/>
    <w:rsid w:val="002162A5"/>
    <w:rsid w:val="00216952"/>
    <w:rsid w:val="00220870"/>
    <w:rsid w:val="002211C3"/>
    <w:rsid w:val="0022143F"/>
    <w:rsid w:val="00221FA0"/>
    <w:rsid w:val="00222028"/>
    <w:rsid w:val="002230C2"/>
    <w:rsid w:val="002236E3"/>
    <w:rsid w:val="00223A5B"/>
    <w:rsid w:val="002247B2"/>
    <w:rsid w:val="002248B0"/>
    <w:rsid w:val="00224E16"/>
    <w:rsid w:val="00224ED4"/>
    <w:rsid w:val="002257D7"/>
    <w:rsid w:val="00225BE2"/>
    <w:rsid w:val="00225EE4"/>
    <w:rsid w:val="00226ACA"/>
    <w:rsid w:val="002276CB"/>
    <w:rsid w:val="00227EB7"/>
    <w:rsid w:val="0023184B"/>
    <w:rsid w:val="00231AA4"/>
    <w:rsid w:val="00231BF5"/>
    <w:rsid w:val="002324CA"/>
    <w:rsid w:val="00232893"/>
    <w:rsid w:val="00233EE4"/>
    <w:rsid w:val="00234006"/>
    <w:rsid w:val="002340B2"/>
    <w:rsid w:val="00234768"/>
    <w:rsid w:val="002352F0"/>
    <w:rsid w:val="00236DCA"/>
    <w:rsid w:val="00240875"/>
    <w:rsid w:val="002421DB"/>
    <w:rsid w:val="0024256B"/>
    <w:rsid w:val="00242F7D"/>
    <w:rsid w:val="00243342"/>
    <w:rsid w:val="00243E7F"/>
    <w:rsid w:val="002446AA"/>
    <w:rsid w:val="00245028"/>
    <w:rsid w:val="00245152"/>
    <w:rsid w:val="00245331"/>
    <w:rsid w:val="00245503"/>
    <w:rsid w:val="002455EA"/>
    <w:rsid w:val="00245837"/>
    <w:rsid w:val="00245853"/>
    <w:rsid w:val="00245BC5"/>
    <w:rsid w:val="00246D03"/>
    <w:rsid w:val="00251283"/>
    <w:rsid w:val="00251B88"/>
    <w:rsid w:val="00251FD2"/>
    <w:rsid w:val="002528B4"/>
    <w:rsid w:val="00252D00"/>
    <w:rsid w:val="002538EF"/>
    <w:rsid w:val="002552A6"/>
    <w:rsid w:val="00255A0C"/>
    <w:rsid w:val="0025661C"/>
    <w:rsid w:val="00257CE8"/>
    <w:rsid w:val="00260A40"/>
    <w:rsid w:val="00261019"/>
    <w:rsid w:val="0026191E"/>
    <w:rsid w:val="00261DAF"/>
    <w:rsid w:val="00262430"/>
    <w:rsid w:val="00262CC2"/>
    <w:rsid w:val="002642C6"/>
    <w:rsid w:val="00265F39"/>
    <w:rsid w:val="00266586"/>
    <w:rsid w:val="0026700E"/>
    <w:rsid w:val="002670D6"/>
    <w:rsid w:val="00267903"/>
    <w:rsid w:val="002704D5"/>
    <w:rsid w:val="00270B2C"/>
    <w:rsid w:val="00270E4A"/>
    <w:rsid w:val="00271A43"/>
    <w:rsid w:val="00271CC5"/>
    <w:rsid w:val="00272D8F"/>
    <w:rsid w:val="00272DFB"/>
    <w:rsid w:val="002746E5"/>
    <w:rsid w:val="002750A0"/>
    <w:rsid w:val="00275E16"/>
    <w:rsid w:val="00276CDB"/>
    <w:rsid w:val="00277C1B"/>
    <w:rsid w:val="00277F81"/>
    <w:rsid w:val="00277FE8"/>
    <w:rsid w:val="00280642"/>
    <w:rsid w:val="002831B6"/>
    <w:rsid w:val="00283311"/>
    <w:rsid w:val="00283997"/>
    <w:rsid w:val="00284C6E"/>
    <w:rsid w:val="00284CEB"/>
    <w:rsid w:val="00285A15"/>
    <w:rsid w:val="00286470"/>
    <w:rsid w:val="0028687B"/>
    <w:rsid w:val="00287131"/>
    <w:rsid w:val="00287464"/>
    <w:rsid w:val="002875D0"/>
    <w:rsid w:val="00287ED5"/>
    <w:rsid w:val="00291D30"/>
    <w:rsid w:val="002920C8"/>
    <w:rsid w:val="0029281B"/>
    <w:rsid w:val="00292FEE"/>
    <w:rsid w:val="002937C8"/>
    <w:rsid w:val="00293FBC"/>
    <w:rsid w:val="00294716"/>
    <w:rsid w:val="00296133"/>
    <w:rsid w:val="00296AEE"/>
    <w:rsid w:val="002A1218"/>
    <w:rsid w:val="002A18A6"/>
    <w:rsid w:val="002A23D2"/>
    <w:rsid w:val="002A2ABB"/>
    <w:rsid w:val="002A3325"/>
    <w:rsid w:val="002A47AD"/>
    <w:rsid w:val="002A4C77"/>
    <w:rsid w:val="002A4E56"/>
    <w:rsid w:val="002A4F1A"/>
    <w:rsid w:val="002A558C"/>
    <w:rsid w:val="002A5754"/>
    <w:rsid w:val="002A587B"/>
    <w:rsid w:val="002A6046"/>
    <w:rsid w:val="002A609D"/>
    <w:rsid w:val="002A6801"/>
    <w:rsid w:val="002A68E8"/>
    <w:rsid w:val="002B039E"/>
    <w:rsid w:val="002B2685"/>
    <w:rsid w:val="002B28BA"/>
    <w:rsid w:val="002B46B4"/>
    <w:rsid w:val="002B5542"/>
    <w:rsid w:val="002B588B"/>
    <w:rsid w:val="002B6044"/>
    <w:rsid w:val="002B6077"/>
    <w:rsid w:val="002B6755"/>
    <w:rsid w:val="002B6AD2"/>
    <w:rsid w:val="002B6DFD"/>
    <w:rsid w:val="002B6FDF"/>
    <w:rsid w:val="002C22FE"/>
    <w:rsid w:val="002C3088"/>
    <w:rsid w:val="002C348D"/>
    <w:rsid w:val="002C3C50"/>
    <w:rsid w:val="002C3F5C"/>
    <w:rsid w:val="002C4B48"/>
    <w:rsid w:val="002C61E5"/>
    <w:rsid w:val="002C6A88"/>
    <w:rsid w:val="002C71D3"/>
    <w:rsid w:val="002C7202"/>
    <w:rsid w:val="002C7486"/>
    <w:rsid w:val="002C7727"/>
    <w:rsid w:val="002C7AED"/>
    <w:rsid w:val="002C7F8C"/>
    <w:rsid w:val="002D04BA"/>
    <w:rsid w:val="002D0790"/>
    <w:rsid w:val="002D0F85"/>
    <w:rsid w:val="002D1CC4"/>
    <w:rsid w:val="002D32E8"/>
    <w:rsid w:val="002D46ED"/>
    <w:rsid w:val="002D4AFF"/>
    <w:rsid w:val="002D5083"/>
    <w:rsid w:val="002D75AF"/>
    <w:rsid w:val="002D7D9F"/>
    <w:rsid w:val="002E0331"/>
    <w:rsid w:val="002E1237"/>
    <w:rsid w:val="002E17B4"/>
    <w:rsid w:val="002E1E31"/>
    <w:rsid w:val="002E216D"/>
    <w:rsid w:val="002E348E"/>
    <w:rsid w:val="002E4D98"/>
    <w:rsid w:val="002E526C"/>
    <w:rsid w:val="002E5DEF"/>
    <w:rsid w:val="002E69D9"/>
    <w:rsid w:val="002E78E1"/>
    <w:rsid w:val="002F0553"/>
    <w:rsid w:val="002F0C87"/>
    <w:rsid w:val="002F27C1"/>
    <w:rsid w:val="002F2BF8"/>
    <w:rsid w:val="002F4AD8"/>
    <w:rsid w:val="002F59E3"/>
    <w:rsid w:val="002F60EC"/>
    <w:rsid w:val="002F61DF"/>
    <w:rsid w:val="002F65E8"/>
    <w:rsid w:val="002F6625"/>
    <w:rsid w:val="002F7353"/>
    <w:rsid w:val="00303EEC"/>
    <w:rsid w:val="0030458A"/>
    <w:rsid w:val="003045D3"/>
    <w:rsid w:val="00304682"/>
    <w:rsid w:val="00304B33"/>
    <w:rsid w:val="00304F82"/>
    <w:rsid w:val="0030561F"/>
    <w:rsid w:val="00306059"/>
    <w:rsid w:val="00306EA8"/>
    <w:rsid w:val="00307C65"/>
    <w:rsid w:val="0031159A"/>
    <w:rsid w:val="0031249C"/>
    <w:rsid w:val="0031288E"/>
    <w:rsid w:val="003130D9"/>
    <w:rsid w:val="003146B3"/>
    <w:rsid w:val="00315397"/>
    <w:rsid w:val="0031572A"/>
    <w:rsid w:val="00316CEE"/>
    <w:rsid w:val="00316E1E"/>
    <w:rsid w:val="00317085"/>
    <w:rsid w:val="00317960"/>
    <w:rsid w:val="00320026"/>
    <w:rsid w:val="00320A93"/>
    <w:rsid w:val="00320FEA"/>
    <w:rsid w:val="00321677"/>
    <w:rsid w:val="0032225C"/>
    <w:rsid w:val="003236BF"/>
    <w:rsid w:val="00323EA3"/>
    <w:rsid w:val="00324086"/>
    <w:rsid w:val="00324F23"/>
    <w:rsid w:val="00325210"/>
    <w:rsid w:val="00325CC0"/>
    <w:rsid w:val="0032665B"/>
    <w:rsid w:val="003277B6"/>
    <w:rsid w:val="00330239"/>
    <w:rsid w:val="0033130C"/>
    <w:rsid w:val="003317D2"/>
    <w:rsid w:val="0033198C"/>
    <w:rsid w:val="00331CFD"/>
    <w:rsid w:val="00332B75"/>
    <w:rsid w:val="00333EA0"/>
    <w:rsid w:val="00334074"/>
    <w:rsid w:val="003346FE"/>
    <w:rsid w:val="00334A38"/>
    <w:rsid w:val="003350C0"/>
    <w:rsid w:val="003351D7"/>
    <w:rsid w:val="00335553"/>
    <w:rsid w:val="00335B4B"/>
    <w:rsid w:val="00336BBA"/>
    <w:rsid w:val="003371F1"/>
    <w:rsid w:val="003403A4"/>
    <w:rsid w:val="00340826"/>
    <w:rsid w:val="00341121"/>
    <w:rsid w:val="00342589"/>
    <w:rsid w:val="0034349D"/>
    <w:rsid w:val="00345432"/>
    <w:rsid w:val="0034558C"/>
    <w:rsid w:val="00345680"/>
    <w:rsid w:val="00345BC5"/>
    <w:rsid w:val="00345EFE"/>
    <w:rsid w:val="003469CC"/>
    <w:rsid w:val="003515FC"/>
    <w:rsid w:val="00351AEA"/>
    <w:rsid w:val="00352603"/>
    <w:rsid w:val="00353AA6"/>
    <w:rsid w:val="003549B3"/>
    <w:rsid w:val="003550F2"/>
    <w:rsid w:val="00355DA0"/>
    <w:rsid w:val="00355DCE"/>
    <w:rsid w:val="00356473"/>
    <w:rsid w:val="0035655C"/>
    <w:rsid w:val="00356BC9"/>
    <w:rsid w:val="00360B7A"/>
    <w:rsid w:val="00360C4B"/>
    <w:rsid w:val="00360F7E"/>
    <w:rsid w:val="003612F2"/>
    <w:rsid w:val="0036142C"/>
    <w:rsid w:val="00361825"/>
    <w:rsid w:val="00362073"/>
    <w:rsid w:val="0036227F"/>
    <w:rsid w:val="0036258C"/>
    <w:rsid w:val="00362E3C"/>
    <w:rsid w:val="003642C3"/>
    <w:rsid w:val="003643AB"/>
    <w:rsid w:val="00364C03"/>
    <w:rsid w:val="003650CB"/>
    <w:rsid w:val="003658C6"/>
    <w:rsid w:val="00365C9B"/>
    <w:rsid w:val="00366DF7"/>
    <w:rsid w:val="003671DA"/>
    <w:rsid w:val="003678E6"/>
    <w:rsid w:val="00367BF8"/>
    <w:rsid w:val="00367C67"/>
    <w:rsid w:val="00370CA3"/>
    <w:rsid w:val="003720CD"/>
    <w:rsid w:val="003723B1"/>
    <w:rsid w:val="00373220"/>
    <w:rsid w:val="003747C7"/>
    <w:rsid w:val="003751A4"/>
    <w:rsid w:val="0037635A"/>
    <w:rsid w:val="0037636E"/>
    <w:rsid w:val="00380471"/>
    <w:rsid w:val="003804EC"/>
    <w:rsid w:val="0038063B"/>
    <w:rsid w:val="00382441"/>
    <w:rsid w:val="00382C69"/>
    <w:rsid w:val="00383A8E"/>
    <w:rsid w:val="00383CA0"/>
    <w:rsid w:val="00383DEA"/>
    <w:rsid w:val="003849A1"/>
    <w:rsid w:val="00384DD1"/>
    <w:rsid w:val="00384F0C"/>
    <w:rsid w:val="00386F7B"/>
    <w:rsid w:val="003879BD"/>
    <w:rsid w:val="00390C34"/>
    <w:rsid w:val="00390F77"/>
    <w:rsid w:val="00391D27"/>
    <w:rsid w:val="00391DE6"/>
    <w:rsid w:val="00392404"/>
    <w:rsid w:val="0039301B"/>
    <w:rsid w:val="003932A8"/>
    <w:rsid w:val="003932E7"/>
    <w:rsid w:val="00394249"/>
    <w:rsid w:val="00394360"/>
    <w:rsid w:val="003961DC"/>
    <w:rsid w:val="003962EC"/>
    <w:rsid w:val="00396DDD"/>
    <w:rsid w:val="003978C2"/>
    <w:rsid w:val="00397BA0"/>
    <w:rsid w:val="003A05F9"/>
    <w:rsid w:val="003A08C5"/>
    <w:rsid w:val="003A0AA2"/>
    <w:rsid w:val="003A0AEB"/>
    <w:rsid w:val="003A1451"/>
    <w:rsid w:val="003A203E"/>
    <w:rsid w:val="003A22F8"/>
    <w:rsid w:val="003A253F"/>
    <w:rsid w:val="003A2B3F"/>
    <w:rsid w:val="003A2BF8"/>
    <w:rsid w:val="003A40FD"/>
    <w:rsid w:val="003A4C23"/>
    <w:rsid w:val="003A4D1B"/>
    <w:rsid w:val="003A60A6"/>
    <w:rsid w:val="003A62AA"/>
    <w:rsid w:val="003A7985"/>
    <w:rsid w:val="003B0491"/>
    <w:rsid w:val="003B0FD6"/>
    <w:rsid w:val="003B1086"/>
    <w:rsid w:val="003B14F8"/>
    <w:rsid w:val="003B189C"/>
    <w:rsid w:val="003B1C31"/>
    <w:rsid w:val="003B2C86"/>
    <w:rsid w:val="003B4455"/>
    <w:rsid w:val="003B568E"/>
    <w:rsid w:val="003B58D5"/>
    <w:rsid w:val="003B5C17"/>
    <w:rsid w:val="003B645A"/>
    <w:rsid w:val="003C0C35"/>
    <w:rsid w:val="003C1241"/>
    <w:rsid w:val="003C17CC"/>
    <w:rsid w:val="003C1AD3"/>
    <w:rsid w:val="003C1C5F"/>
    <w:rsid w:val="003C1F67"/>
    <w:rsid w:val="003C225A"/>
    <w:rsid w:val="003C259A"/>
    <w:rsid w:val="003C3976"/>
    <w:rsid w:val="003C3A7B"/>
    <w:rsid w:val="003C3B04"/>
    <w:rsid w:val="003C3D44"/>
    <w:rsid w:val="003C4198"/>
    <w:rsid w:val="003C481B"/>
    <w:rsid w:val="003C682D"/>
    <w:rsid w:val="003C7126"/>
    <w:rsid w:val="003D1406"/>
    <w:rsid w:val="003D1D3E"/>
    <w:rsid w:val="003D1E46"/>
    <w:rsid w:val="003D201A"/>
    <w:rsid w:val="003D2105"/>
    <w:rsid w:val="003D3288"/>
    <w:rsid w:val="003D38D6"/>
    <w:rsid w:val="003D3C89"/>
    <w:rsid w:val="003D569D"/>
    <w:rsid w:val="003D5880"/>
    <w:rsid w:val="003D5BA1"/>
    <w:rsid w:val="003D64EC"/>
    <w:rsid w:val="003D666B"/>
    <w:rsid w:val="003D6A10"/>
    <w:rsid w:val="003D6F8C"/>
    <w:rsid w:val="003E1C69"/>
    <w:rsid w:val="003E1E91"/>
    <w:rsid w:val="003E2641"/>
    <w:rsid w:val="003E2E28"/>
    <w:rsid w:val="003E31D7"/>
    <w:rsid w:val="003E4E74"/>
    <w:rsid w:val="003E5486"/>
    <w:rsid w:val="003F0E91"/>
    <w:rsid w:val="003F1B9A"/>
    <w:rsid w:val="003F1E69"/>
    <w:rsid w:val="003F2267"/>
    <w:rsid w:val="003F346C"/>
    <w:rsid w:val="003F3BA0"/>
    <w:rsid w:val="003F46A5"/>
    <w:rsid w:val="003F488C"/>
    <w:rsid w:val="003F519B"/>
    <w:rsid w:val="003F5E46"/>
    <w:rsid w:val="003F7AC3"/>
    <w:rsid w:val="004005C2"/>
    <w:rsid w:val="00400B43"/>
    <w:rsid w:val="00400E57"/>
    <w:rsid w:val="00401337"/>
    <w:rsid w:val="00401E6C"/>
    <w:rsid w:val="00402196"/>
    <w:rsid w:val="00402B62"/>
    <w:rsid w:val="00402EF0"/>
    <w:rsid w:val="004033EF"/>
    <w:rsid w:val="004038FB"/>
    <w:rsid w:val="00403AA6"/>
    <w:rsid w:val="00403EC9"/>
    <w:rsid w:val="00404FBA"/>
    <w:rsid w:val="004069AD"/>
    <w:rsid w:val="00406B7D"/>
    <w:rsid w:val="00410095"/>
    <w:rsid w:val="0041397E"/>
    <w:rsid w:val="00413FFB"/>
    <w:rsid w:val="00414752"/>
    <w:rsid w:val="00415F37"/>
    <w:rsid w:val="0041611E"/>
    <w:rsid w:val="004165BD"/>
    <w:rsid w:val="0041684E"/>
    <w:rsid w:val="00417DEA"/>
    <w:rsid w:val="00420675"/>
    <w:rsid w:val="00421A30"/>
    <w:rsid w:val="004224C9"/>
    <w:rsid w:val="004232A0"/>
    <w:rsid w:val="004239BF"/>
    <w:rsid w:val="00423F41"/>
    <w:rsid w:val="00424607"/>
    <w:rsid w:val="0042553A"/>
    <w:rsid w:val="004263B7"/>
    <w:rsid w:val="00427425"/>
    <w:rsid w:val="004279EF"/>
    <w:rsid w:val="00427BD4"/>
    <w:rsid w:val="0042A556"/>
    <w:rsid w:val="00430DEA"/>
    <w:rsid w:val="00431051"/>
    <w:rsid w:val="00433E61"/>
    <w:rsid w:val="004360B0"/>
    <w:rsid w:val="00436466"/>
    <w:rsid w:val="004370E9"/>
    <w:rsid w:val="00440A6F"/>
    <w:rsid w:val="00441DCC"/>
    <w:rsid w:val="004426EC"/>
    <w:rsid w:val="00442AB1"/>
    <w:rsid w:val="00443493"/>
    <w:rsid w:val="00443754"/>
    <w:rsid w:val="00443EDA"/>
    <w:rsid w:val="004455E7"/>
    <w:rsid w:val="00445ADE"/>
    <w:rsid w:val="00445AEC"/>
    <w:rsid w:val="00445F65"/>
    <w:rsid w:val="00446172"/>
    <w:rsid w:val="00446683"/>
    <w:rsid w:val="004473FF"/>
    <w:rsid w:val="004478BB"/>
    <w:rsid w:val="00447D23"/>
    <w:rsid w:val="0045046B"/>
    <w:rsid w:val="0045069E"/>
    <w:rsid w:val="004513F9"/>
    <w:rsid w:val="00451ACA"/>
    <w:rsid w:val="00451E71"/>
    <w:rsid w:val="0045277E"/>
    <w:rsid w:val="00452E67"/>
    <w:rsid w:val="0045379B"/>
    <w:rsid w:val="00453957"/>
    <w:rsid w:val="004540AB"/>
    <w:rsid w:val="0045417B"/>
    <w:rsid w:val="00454B5C"/>
    <w:rsid w:val="00456768"/>
    <w:rsid w:val="00457171"/>
    <w:rsid w:val="004577B6"/>
    <w:rsid w:val="004601B9"/>
    <w:rsid w:val="0046304E"/>
    <w:rsid w:val="00463527"/>
    <w:rsid w:val="00463692"/>
    <w:rsid w:val="004637D5"/>
    <w:rsid w:val="0046384C"/>
    <w:rsid w:val="00463FD0"/>
    <w:rsid w:val="0046486D"/>
    <w:rsid w:val="00465230"/>
    <w:rsid w:val="00466262"/>
    <w:rsid w:val="004670C0"/>
    <w:rsid w:val="00467151"/>
    <w:rsid w:val="00467A02"/>
    <w:rsid w:val="00470689"/>
    <w:rsid w:val="00470C65"/>
    <w:rsid w:val="004712EA"/>
    <w:rsid w:val="0047155B"/>
    <w:rsid w:val="004725E9"/>
    <w:rsid w:val="004725F0"/>
    <w:rsid w:val="00472B5D"/>
    <w:rsid w:val="00472F7A"/>
    <w:rsid w:val="00473528"/>
    <w:rsid w:val="004735D8"/>
    <w:rsid w:val="00473987"/>
    <w:rsid w:val="004739FC"/>
    <w:rsid w:val="00473AAA"/>
    <w:rsid w:val="00474CD7"/>
    <w:rsid w:val="004763DC"/>
    <w:rsid w:val="00476625"/>
    <w:rsid w:val="00476EAC"/>
    <w:rsid w:val="00477340"/>
    <w:rsid w:val="00480221"/>
    <w:rsid w:val="004807D8"/>
    <w:rsid w:val="00480BA8"/>
    <w:rsid w:val="00480C11"/>
    <w:rsid w:val="00480FE1"/>
    <w:rsid w:val="00481070"/>
    <w:rsid w:val="00481633"/>
    <w:rsid w:val="00481F28"/>
    <w:rsid w:val="004835C9"/>
    <w:rsid w:val="00485002"/>
    <w:rsid w:val="004852AF"/>
    <w:rsid w:val="0048605B"/>
    <w:rsid w:val="004865A0"/>
    <w:rsid w:val="00486889"/>
    <w:rsid w:val="00486D8F"/>
    <w:rsid w:val="00490620"/>
    <w:rsid w:val="004915EB"/>
    <w:rsid w:val="00491E6F"/>
    <w:rsid w:val="00492D52"/>
    <w:rsid w:val="00492F86"/>
    <w:rsid w:val="00493102"/>
    <w:rsid w:val="004953A0"/>
    <w:rsid w:val="00497143"/>
    <w:rsid w:val="004971C6"/>
    <w:rsid w:val="0049780D"/>
    <w:rsid w:val="004A0538"/>
    <w:rsid w:val="004A097D"/>
    <w:rsid w:val="004A136F"/>
    <w:rsid w:val="004A158C"/>
    <w:rsid w:val="004A1A0B"/>
    <w:rsid w:val="004A1D2E"/>
    <w:rsid w:val="004A1FFE"/>
    <w:rsid w:val="004A206E"/>
    <w:rsid w:val="004A29B4"/>
    <w:rsid w:val="004A321E"/>
    <w:rsid w:val="004A38CD"/>
    <w:rsid w:val="004A6F31"/>
    <w:rsid w:val="004A7CAB"/>
    <w:rsid w:val="004B08EE"/>
    <w:rsid w:val="004B0CC2"/>
    <w:rsid w:val="004B196A"/>
    <w:rsid w:val="004B38D3"/>
    <w:rsid w:val="004B39CB"/>
    <w:rsid w:val="004B418D"/>
    <w:rsid w:val="004B4E74"/>
    <w:rsid w:val="004B5864"/>
    <w:rsid w:val="004B5BA3"/>
    <w:rsid w:val="004B5C80"/>
    <w:rsid w:val="004B6792"/>
    <w:rsid w:val="004B691A"/>
    <w:rsid w:val="004B6C1A"/>
    <w:rsid w:val="004B77BB"/>
    <w:rsid w:val="004B7E3D"/>
    <w:rsid w:val="004B7ED8"/>
    <w:rsid w:val="004C05CB"/>
    <w:rsid w:val="004C37BD"/>
    <w:rsid w:val="004C4B79"/>
    <w:rsid w:val="004C5976"/>
    <w:rsid w:val="004C5B8F"/>
    <w:rsid w:val="004C691E"/>
    <w:rsid w:val="004C6B62"/>
    <w:rsid w:val="004D0056"/>
    <w:rsid w:val="004D2A18"/>
    <w:rsid w:val="004D3659"/>
    <w:rsid w:val="004D39B5"/>
    <w:rsid w:val="004D4C35"/>
    <w:rsid w:val="004D56FD"/>
    <w:rsid w:val="004D5AE7"/>
    <w:rsid w:val="004D6957"/>
    <w:rsid w:val="004D7717"/>
    <w:rsid w:val="004D7A83"/>
    <w:rsid w:val="004D7EEE"/>
    <w:rsid w:val="004E0296"/>
    <w:rsid w:val="004E04A8"/>
    <w:rsid w:val="004E0720"/>
    <w:rsid w:val="004E1878"/>
    <w:rsid w:val="004E2E2B"/>
    <w:rsid w:val="004E2ECF"/>
    <w:rsid w:val="004E62D8"/>
    <w:rsid w:val="004E6C4A"/>
    <w:rsid w:val="004E6F29"/>
    <w:rsid w:val="004E7375"/>
    <w:rsid w:val="004E7BBE"/>
    <w:rsid w:val="004E7EB7"/>
    <w:rsid w:val="004F0489"/>
    <w:rsid w:val="004F0521"/>
    <w:rsid w:val="004F08A3"/>
    <w:rsid w:val="004F1214"/>
    <w:rsid w:val="004F1409"/>
    <w:rsid w:val="004F2145"/>
    <w:rsid w:val="004F2755"/>
    <w:rsid w:val="004F2FA9"/>
    <w:rsid w:val="004F31C9"/>
    <w:rsid w:val="004F3CD9"/>
    <w:rsid w:val="004F44A5"/>
    <w:rsid w:val="004F7911"/>
    <w:rsid w:val="0050026A"/>
    <w:rsid w:val="005008D0"/>
    <w:rsid w:val="00500F25"/>
    <w:rsid w:val="00502C02"/>
    <w:rsid w:val="00503AE4"/>
    <w:rsid w:val="00503FAF"/>
    <w:rsid w:val="00504D80"/>
    <w:rsid w:val="00504EC1"/>
    <w:rsid w:val="005050AA"/>
    <w:rsid w:val="0050703D"/>
    <w:rsid w:val="005073D1"/>
    <w:rsid w:val="00507CB2"/>
    <w:rsid w:val="00510086"/>
    <w:rsid w:val="005102C2"/>
    <w:rsid w:val="005114D4"/>
    <w:rsid w:val="005119D1"/>
    <w:rsid w:val="00511F73"/>
    <w:rsid w:val="005147CA"/>
    <w:rsid w:val="00514CFF"/>
    <w:rsid w:val="0051554B"/>
    <w:rsid w:val="005169C7"/>
    <w:rsid w:val="00516FDE"/>
    <w:rsid w:val="005173D7"/>
    <w:rsid w:val="005204C6"/>
    <w:rsid w:val="00520559"/>
    <w:rsid w:val="00521064"/>
    <w:rsid w:val="00521E7E"/>
    <w:rsid w:val="005239C6"/>
    <w:rsid w:val="00523C8F"/>
    <w:rsid w:val="00523CF0"/>
    <w:rsid w:val="00523ED7"/>
    <w:rsid w:val="005246FD"/>
    <w:rsid w:val="00524CDE"/>
    <w:rsid w:val="00525672"/>
    <w:rsid w:val="00526D97"/>
    <w:rsid w:val="0052761B"/>
    <w:rsid w:val="00530333"/>
    <w:rsid w:val="00530CC4"/>
    <w:rsid w:val="00530E92"/>
    <w:rsid w:val="005315EE"/>
    <w:rsid w:val="00531682"/>
    <w:rsid w:val="0053198B"/>
    <w:rsid w:val="005334ED"/>
    <w:rsid w:val="00534BBB"/>
    <w:rsid w:val="005357AD"/>
    <w:rsid w:val="00535FCB"/>
    <w:rsid w:val="0053675F"/>
    <w:rsid w:val="00536DC9"/>
    <w:rsid w:val="0053774A"/>
    <w:rsid w:val="00537DA3"/>
    <w:rsid w:val="00540118"/>
    <w:rsid w:val="00541AE0"/>
    <w:rsid w:val="00541F6C"/>
    <w:rsid w:val="00541FFE"/>
    <w:rsid w:val="00542657"/>
    <w:rsid w:val="00542A4C"/>
    <w:rsid w:val="00543A99"/>
    <w:rsid w:val="00543E69"/>
    <w:rsid w:val="005442F2"/>
    <w:rsid w:val="00545058"/>
    <w:rsid w:val="00545337"/>
    <w:rsid w:val="0054640D"/>
    <w:rsid w:val="00546873"/>
    <w:rsid w:val="00546B2A"/>
    <w:rsid w:val="0055011C"/>
    <w:rsid w:val="00550C91"/>
    <w:rsid w:val="00551077"/>
    <w:rsid w:val="005536A0"/>
    <w:rsid w:val="0055382D"/>
    <w:rsid w:val="00553960"/>
    <w:rsid w:val="00553963"/>
    <w:rsid w:val="00554B9A"/>
    <w:rsid w:val="00555109"/>
    <w:rsid w:val="00555CA0"/>
    <w:rsid w:val="00556A8A"/>
    <w:rsid w:val="005573FF"/>
    <w:rsid w:val="005578B5"/>
    <w:rsid w:val="00557A6C"/>
    <w:rsid w:val="00560063"/>
    <w:rsid w:val="005601AE"/>
    <w:rsid w:val="005621F1"/>
    <w:rsid w:val="00562E07"/>
    <w:rsid w:val="005633D7"/>
    <w:rsid w:val="005639F0"/>
    <w:rsid w:val="0056437D"/>
    <w:rsid w:val="005644E1"/>
    <w:rsid w:val="00564927"/>
    <w:rsid w:val="00564B24"/>
    <w:rsid w:val="00565ECC"/>
    <w:rsid w:val="00566BBD"/>
    <w:rsid w:val="00567166"/>
    <w:rsid w:val="005672D2"/>
    <w:rsid w:val="00572CB7"/>
    <w:rsid w:val="005733A9"/>
    <w:rsid w:val="00573C01"/>
    <w:rsid w:val="00573D04"/>
    <w:rsid w:val="005742CB"/>
    <w:rsid w:val="0057453D"/>
    <w:rsid w:val="005745AF"/>
    <w:rsid w:val="005751B0"/>
    <w:rsid w:val="00575916"/>
    <w:rsid w:val="005761D3"/>
    <w:rsid w:val="00576291"/>
    <w:rsid w:val="00577D64"/>
    <w:rsid w:val="00577FE2"/>
    <w:rsid w:val="00580377"/>
    <w:rsid w:val="0058095F"/>
    <w:rsid w:val="00581051"/>
    <w:rsid w:val="0058139E"/>
    <w:rsid w:val="00581B0A"/>
    <w:rsid w:val="00581FF3"/>
    <w:rsid w:val="0058210C"/>
    <w:rsid w:val="00582322"/>
    <w:rsid w:val="00582D5C"/>
    <w:rsid w:val="005835FE"/>
    <w:rsid w:val="0058363D"/>
    <w:rsid w:val="0058412F"/>
    <w:rsid w:val="00584E8E"/>
    <w:rsid w:val="00585437"/>
    <w:rsid w:val="0058647E"/>
    <w:rsid w:val="005867F4"/>
    <w:rsid w:val="00586B48"/>
    <w:rsid w:val="00586B75"/>
    <w:rsid w:val="005870A4"/>
    <w:rsid w:val="005873EC"/>
    <w:rsid w:val="00587B8F"/>
    <w:rsid w:val="005903D7"/>
    <w:rsid w:val="005906C0"/>
    <w:rsid w:val="00590B2A"/>
    <w:rsid w:val="005915B5"/>
    <w:rsid w:val="005916DB"/>
    <w:rsid w:val="005918BF"/>
    <w:rsid w:val="00591904"/>
    <w:rsid w:val="005923DA"/>
    <w:rsid w:val="00592604"/>
    <w:rsid w:val="00593B35"/>
    <w:rsid w:val="00594169"/>
    <w:rsid w:val="0059420C"/>
    <w:rsid w:val="00594965"/>
    <w:rsid w:val="0059617D"/>
    <w:rsid w:val="005969AA"/>
    <w:rsid w:val="00597266"/>
    <w:rsid w:val="005A0518"/>
    <w:rsid w:val="005A0CC7"/>
    <w:rsid w:val="005A1098"/>
    <w:rsid w:val="005A189D"/>
    <w:rsid w:val="005A1AB9"/>
    <w:rsid w:val="005A23A8"/>
    <w:rsid w:val="005A2D6A"/>
    <w:rsid w:val="005A344C"/>
    <w:rsid w:val="005A3EEC"/>
    <w:rsid w:val="005A5EA1"/>
    <w:rsid w:val="005A6720"/>
    <w:rsid w:val="005A6798"/>
    <w:rsid w:val="005A72F4"/>
    <w:rsid w:val="005B04F3"/>
    <w:rsid w:val="005B058E"/>
    <w:rsid w:val="005B2947"/>
    <w:rsid w:val="005B3290"/>
    <w:rsid w:val="005B32CD"/>
    <w:rsid w:val="005B481A"/>
    <w:rsid w:val="005B4997"/>
    <w:rsid w:val="005B4E1A"/>
    <w:rsid w:val="005B69A3"/>
    <w:rsid w:val="005B6E1E"/>
    <w:rsid w:val="005B7274"/>
    <w:rsid w:val="005B7BDF"/>
    <w:rsid w:val="005C23D7"/>
    <w:rsid w:val="005C2FCD"/>
    <w:rsid w:val="005C320C"/>
    <w:rsid w:val="005C32DE"/>
    <w:rsid w:val="005C3CC6"/>
    <w:rsid w:val="005C41A7"/>
    <w:rsid w:val="005C5AA7"/>
    <w:rsid w:val="005C73E6"/>
    <w:rsid w:val="005C7D52"/>
    <w:rsid w:val="005D0303"/>
    <w:rsid w:val="005D04A6"/>
    <w:rsid w:val="005D0C49"/>
    <w:rsid w:val="005D2526"/>
    <w:rsid w:val="005D2AEC"/>
    <w:rsid w:val="005D3335"/>
    <w:rsid w:val="005D3B1D"/>
    <w:rsid w:val="005D41DB"/>
    <w:rsid w:val="005D436E"/>
    <w:rsid w:val="005D45A1"/>
    <w:rsid w:val="005D460E"/>
    <w:rsid w:val="005D4C9B"/>
    <w:rsid w:val="005D6714"/>
    <w:rsid w:val="005D6A81"/>
    <w:rsid w:val="005D7474"/>
    <w:rsid w:val="005E004B"/>
    <w:rsid w:val="005E2716"/>
    <w:rsid w:val="005E2973"/>
    <w:rsid w:val="005E2DDB"/>
    <w:rsid w:val="005E5C76"/>
    <w:rsid w:val="005E66DF"/>
    <w:rsid w:val="005E72A8"/>
    <w:rsid w:val="005E7E71"/>
    <w:rsid w:val="005F06F2"/>
    <w:rsid w:val="005F136C"/>
    <w:rsid w:val="005F299B"/>
    <w:rsid w:val="005F3608"/>
    <w:rsid w:val="005F47E3"/>
    <w:rsid w:val="005F498F"/>
    <w:rsid w:val="005F5956"/>
    <w:rsid w:val="005F59DA"/>
    <w:rsid w:val="005F65F3"/>
    <w:rsid w:val="005F660C"/>
    <w:rsid w:val="005F6C8C"/>
    <w:rsid w:val="005F7018"/>
    <w:rsid w:val="005F79CB"/>
    <w:rsid w:val="005F7B78"/>
    <w:rsid w:val="0060054A"/>
    <w:rsid w:val="006012CF"/>
    <w:rsid w:val="00602252"/>
    <w:rsid w:val="006022F9"/>
    <w:rsid w:val="00602E49"/>
    <w:rsid w:val="00603236"/>
    <w:rsid w:val="006057E2"/>
    <w:rsid w:val="00605EF6"/>
    <w:rsid w:val="006063A7"/>
    <w:rsid w:val="0060682A"/>
    <w:rsid w:val="00607B6A"/>
    <w:rsid w:val="00611CE5"/>
    <w:rsid w:val="00612EA7"/>
    <w:rsid w:val="0061366D"/>
    <w:rsid w:val="00613DC5"/>
    <w:rsid w:val="0061479A"/>
    <w:rsid w:val="00614C20"/>
    <w:rsid w:val="00614C26"/>
    <w:rsid w:val="006168E8"/>
    <w:rsid w:val="00622247"/>
    <w:rsid w:val="00622671"/>
    <w:rsid w:val="006226D8"/>
    <w:rsid w:val="00622CD9"/>
    <w:rsid w:val="00622D40"/>
    <w:rsid w:val="00624EBC"/>
    <w:rsid w:val="00624F93"/>
    <w:rsid w:val="00626878"/>
    <w:rsid w:val="00630678"/>
    <w:rsid w:val="00630A08"/>
    <w:rsid w:val="006319AE"/>
    <w:rsid w:val="00631FAD"/>
    <w:rsid w:val="00632616"/>
    <w:rsid w:val="006335F8"/>
    <w:rsid w:val="00634320"/>
    <w:rsid w:val="00634964"/>
    <w:rsid w:val="00635A3F"/>
    <w:rsid w:val="00636257"/>
    <w:rsid w:val="006371CE"/>
    <w:rsid w:val="0063724B"/>
    <w:rsid w:val="006374D1"/>
    <w:rsid w:val="00637733"/>
    <w:rsid w:val="006402D8"/>
    <w:rsid w:val="00640368"/>
    <w:rsid w:val="006403F2"/>
    <w:rsid w:val="006411CC"/>
    <w:rsid w:val="006413A9"/>
    <w:rsid w:val="0064174F"/>
    <w:rsid w:val="00641BE3"/>
    <w:rsid w:val="006426D7"/>
    <w:rsid w:val="006428F4"/>
    <w:rsid w:val="00645177"/>
    <w:rsid w:val="00646DEB"/>
    <w:rsid w:val="00646E61"/>
    <w:rsid w:val="006479D1"/>
    <w:rsid w:val="00650AD0"/>
    <w:rsid w:val="006511CB"/>
    <w:rsid w:val="006513ED"/>
    <w:rsid w:val="00652BDC"/>
    <w:rsid w:val="00652BF8"/>
    <w:rsid w:val="00653349"/>
    <w:rsid w:val="006534B5"/>
    <w:rsid w:val="00653ABD"/>
    <w:rsid w:val="006545EC"/>
    <w:rsid w:val="0065468D"/>
    <w:rsid w:val="00655408"/>
    <w:rsid w:val="00656073"/>
    <w:rsid w:val="0065622D"/>
    <w:rsid w:val="00656921"/>
    <w:rsid w:val="0065797F"/>
    <w:rsid w:val="00660184"/>
    <w:rsid w:val="006601D4"/>
    <w:rsid w:val="006603BB"/>
    <w:rsid w:val="00660582"/>
    <w:rsid w:val="00662139"/>
    <w:rsid w:val="0066326B"/>
    <w:rsid w:val="00663D87"/>
    <w:rsid w:val="00663E0F"/>
    <w:rsid w:val="00663E59"/>
    <w:rsid w:val="0066438F"/>
    <w:rsid w:val="006652D7"/>
    <w:rsid w:val="0066559A"/>
    <w:rsid w:val="00666367"/>
    <w:rsid w:val="00666D9B"/>
    <w:rsid w:val="006700C2"/>
    <w:rsid w:val="00670412"/>
    <w:rsid w:val="00670D92"/>
    <w:rsid w:val="006715E1"/>
    <w:rsid w:val="006716B4"/>
    <w:rsid w:val="00671920"/>
    <w:rsid w:val="006722AA"/>
    <w:rsid w:val="00672BA5"/>
    <w:rsid w:val="00673450"/>
    <w:rsid w:val="00673575"/>
    <w:rsid w:val="00673C18"/>
    <w:rsid w:val="00673F7D"/>
    <w:rsid w:val="006741BD"/>
    <w:rsid w:val="006743DF"/>
    <w:rsid w:val="006743EB"/>
    <w:rsid w:val="006752FE"/>
    <w:rsid w:val="00677FAE"/>
    <w:rsid w:val="00680A6E"/>
    <w:rsid w:val="0068150D"/>
    <w:rsid w:val="00681E3C"/>
    <w:rsid w:val="006824C3"/>
    <w:rsid w:val="006828D9"/>
    <w:rsid w:val="00683156"/>
    <w:rsid w:val="00683E87"/>
    <w:rsid w:val="006843B7"/>
    <w:rsid w:val="0068493A"/>
    <w:rsid w:val="006852AD"/>
    <w:rsid w:val="006856EB"/>
    <w:rsid w:val="006873D8"/>
    <w:rsid w:val="00687A89"/>
    <w:rsid w:val="00690E11"/>
    <w:rsid w:val="0069238E"/>
    <w:rsid w:val="00694748"/>
    <w:rsid w:val="0069530E"/>
    <w:rsid w:val="0069571E"/>
    <w:rsid w:val="00695A7D"/>
    <w:rsid w:val="00696843"/>
    <w:rsid w:val="00697133"/>
    <w:rsid w:val="00697276"/>
    <w:rsid w:val="006978C5"/>
    <w:rsid w:val="006A0AD4"/>
    <w:rsid w:val="006A0EA1"/>
    <w:rsid w:val="006A1871"/>
    <w:rsid w:val="006A1DF5"/>
    <w:rsid w:val="006A319E"/>
    <w:rsid w:val="006A3237"/>
    <w:rsid w:val="006A33F6"/>
    <w:rsid w:val="006A3757"/>
    <w:rsid w:val="006A4B49"/>
    <w:rsid w:val="006A508E"/>
    <w:rsid w:val="006A573C"/>
    <w:rsid w:val="006A5F53"/>
    <w:rsid w:val="006A63E8"/>
    <w:rsid w:val="006A6DAC"/>
    <w:rsid w:val="006A7222"/>
    <w:rsid w:val="006B1CE6"/>
    <w:rsid w:val="006B335F"/>
    <w:rsid w:val="006B3D77"/>
    <w:rsid w:val="006B4011"/>
    <w:rsid w:val="006B4FCE"/>
    <w:rsid w:val="006B6C6C"/>
    <w:rsid w:val="006B6E71"/>
    <w:rsid w:val="006C0DBE"/>
    <w:rsid w:val="006C13AC"/>
    <w:rsid w:val="006C1552"/>
    <w:rsid w:val="006C2FBB"/>
    <w:rsid w:val="006C4DCD"/>
    <w:rsid w:val="006C4E7A"/>
    <w:rsid w:val="006C53CF"/>
    <w:rsid w:val="006C59A1"/>
    <w:rsid w:val="006C689A"/>
    <w:rsid w:val="006C68B8"/>
    <w:rsid w:val="006C6AC5"/>
    <w:rsid w:val="006C6C55"/>
    <w:rsid w:val="006C6F57"/>
    <w:rsid w:val="006C7285"/>
    <w:rsid w:val="006D0231"/>
    <w:rsid w:val="006D1B21"/>
    <w:rsid w:val="006D1D48"/>
    <w:rsid w:val="006D1DE7"/>
    <w:rsid w:val="006D2C29"/>
    <w:rsid w:val="006D2EB2"/>
    <w:rsid w:val="006D3FF2"/>
    <w:rsid w:val="006D4763"/>
    <w:rsid w:val="006D5717"/>
    <w:rsid w:val="006D60D8"/>
    <w:rsid w:val="006D6F3C"/>
    <w:rsid w:val="006D7301"/>
    <w:rsid w:val="006D7428"/>
    <w:rsid w:val="006D76DA"/>
    <w:rsid w:val="006D7A89"/>
    <w:rsid w:val="006D7CCE"/>
    <w:rsid w:val="006E0C35"/>
    <w:rsid w:val="006E1017"/>
    <w:rsid w:val="006E2639"/>
    <w:rsid w:val="006E28B6"/>
    <w:rsid w:val="006E33AC"/>
    <w:rsid w:val="006E49BC"/>
    <w:rsid w:val="006E4FE0"/>
    <w:rsid w:val="006E54B0"/>
    <w:rsid w:val="006E6445"/>
    <w:rsid w:val="006E7033"/>
    <w:rsid w:val="006F1071"/>
    <w:rsid w:val="006F21D3"/>
    <w:rsid w:val="006F239A"/>
    <w:rsid w:val="006F2554"/>
    <w:rsid w:val="006F383C"/>
    <w:rsid w:val="006F41BD"/>
    <w:rsid w:val="006F4209"/>
    <w:rsid w:val="006F4C6F"/>
    <w:rsid w:val="006F57FF"/>
    <w:rsid w:val="006F601B"/>
    <w:rsid w:val="00701050"/>
    <w:rsid w:val="0070139A"/>
    <w:rsid w:val="0070157C"/>
    <w:rsid w:val="0070161E"/>
    <w:rsid w:val="0070255E"/>
    <w:rsid w:val="007039D8"/>
    <w:rsid w:val="00703C92"/>
    <w:rsid w:val="00703D88"/>
    <w:rsid w:val="007042A5"/>
    <w:rsid w:val="007058E4"/>
    <w:rsid w:val="00706720"/>
    <w:rsid w:val="00707161"/>
    <w:rsid w:val="00707330"/>
    <w:rsid w:val="007073E6"/>
    <w:rsid w:val="00707D56"/>
    <w:rsid w:val="00710223"/>
    <w:rsid w:val="007106F9"/>
    <w:rsid w:val="0071081D"/>
    <w:rsid w:val="007116BA"/>
    <w:rsid w:val="0071196F"/>
    <w:rsid w:val="00714180"/>
    <w:rsid w:val="00714683"/>
    <w:rsid w:val="00714ED5"/>
    <w:rsid w:val="00715366"/>
    <w:rsid w:val="00715699"/>
    <w:rsid w:val="00715EDD"/>
    <w:rsid w:val="00717911"/>
    <w:rsid w:val="00720A6E"/>
    <w:rsid w:val="00720C20"/>
    <w:rsid w:val="00720E35"/>
    <w:rsid w:val="00723759"/>
    <w:rsid w:val="00723B64"/>
    <w:rsid w:val="00723B6A"/>
    <w:rsid w:val="007248CB"/>
    <w:rsid w:val="00725D43"/>
    <w:rsid w:val="007263C7"/>
    <w:rsid w:val="007267E1"/>
    <w:rsid w:val="00726B43"/>
    <w:rsid w:val="00730F73"/>
    <w:rsid w:val="007316B9"/>
    <w:rsid w:val="00731AAB"/>
    <w:rsid w:val="00735B25"/>
    <w:rsid w:val="007366C6"/>
    <w:rsid w:val="0073702E"/>
    <w:rsid w:val="00740A01"/>
    <w:rsid w:val="0074135E"/>
    <w:rsid w:val="007416DC"/>
    <w:rsid w:val="00741E70"/>
    <w:rsid w:val="007425A3"/>
    <w:rsid w:val="007450E6"/>
    <w:rsid w:val="00745791"/>
    <w:rsid w:val="00746147"/>
    <w:rsid w:val="00746AEF"/>
    <w:rsid w:val="007508DC"/>
    <w:rsid w:val="00750F01"/>
    <w:rsid w:val="007512F1"/>
    <w:rsid w:val="007528A8"/>
    <w:rsid w:val="007554E9"/>
    <w:rsid w:val="0075563F"/>
    <w:rsid w:val="0075637C"/>
    <w:rsid w:val="00756602"/>
    <w:rsid w:val="0075671E"/>
    <w:rsid w:val="00756CF0"/>
    <w:rsid w:val="00757A08"/>
    <w:rsid w:val="00757E03"/>
    <w:rsid w:val="00761F12"/>
    <w:rsid w:val="007620B6"/>
    <w:rsid w:val="0076258D"/>
    <w:rsid w:val="00764BAB"/>
    <w:rsid w:val="00764DBD"/>
    <w:rsid w:val="00764DD6"/>
    <w:rsid w:val="00765073"/>
    <w:rsid w:val="00765476"/>
    <w:rsid w:val="00765D5E"/>
    <w:rsid w:val="0076641E"/>
    <w:rsid w:val="00766CD1"/>
    <w:rsid w:val="0076799D"/>
    <w:rsid w:val="0077074F"/>
    <w:rsid w:val="00771157"/>
    <w:rsid w:val="0077160F"/>
    <w:rsid w:val="00771B71"/>
    <w:rsid w:val="0077265D"/>
    <w:rsid w:val="00772AB5"/>
    <w:rsid w:val="00773274"/>
    <w:rsid w:val="00773B68"/>
    <w:rsid w:val="00773FD2"/>
    <w:rsid w:val="0077410C"/>
    <w:rsid w:val="00775997"/>
    <w:rsid w:val="00780054"/>
    <w:rsid w:val="0078071A"/>
    <w:rsid w:val="00780B8B"/>
    <w:rsid w:val="00780E4A"/>
    <w:rsid w:val="007825EC"/>
    <w:rsid w:val="007827A2"/>
    <w:rsid w:val="00783141"/>
    <w:rsid w:val="00783426"/>
    <w:rsid w:val="0078398B"/>
    <w:rsid w:val="00784626"/>
    <w:rsid w:val="00784BC6"/>
    <w:rsid w:val="00784FBA"/>
    <w:rsid w:val="0078533B"/>
    <w:rsid w:val="00790570"/>
    <w:rsid w:val="007914D2"/>
    <w:rsid w:val="00791BE3"/>
    <w:rsid w:val="007938C8"/>
    <w:rsid w:val="007938DD"/>
    <w:rsid w:val="00793F88"/>
    <w:rsid w:val="007969F1"/>
    <w:rsid w:val="007A0193"/>
    <w:rsid w:val="007A05D0"/>
    <w:rsid w:val="007A0E72"/>
    <w:rsid w:val="007A22C6"/>
    <w:rsid w:val="007A25DB"/>
    <w:rsid w:val="007A2A43"/>
    <w:rsid w:val="007A2F4B"/>
    <w:rsid w:val="007A3B50"/>
    <w:rsid w:val="007A43B1"/>
    <w:rsid w:val="007A4956"/>
    <w:rsid w:val="007A4B0D"/>
    <w:rsid w:val="007A4F37"/>
    <w:rsid w:val="007A5015"/>
    <w:rsid w:val="007A5598"/>
    <w:rsid w:val="007A59C4"/>
    <w:rsid w:val="007A6C62"/>
    <w:rsid w:val="007A7C57"/>
    <w:rsid w:val="007B08A2"/>
    <w:rsid w:val="007B13BA"/>
    <w:rsid w:val="007B2435"/>
    <w:rsid w:val="007B257A"/>
    <w:rsid w:val="007B298F"/>
    <w:rsid w:val="007B2A1D"/>
    <w:rsid w:val="007B2DEC"/>
    <w:rsid w:val="007B4B89"/>
    <w:rsid w:val="007B4E90"/>
    <w:rsid w:val="007B505D"/>
    <w:rsid w:val="007B50AC"/>
    <w:rsid w:val="007B53A4"/>
    <w:rsid w:val="007B5F83"/>
    <w:rsid w:val="007B644C"/>
    <w:rsid w:val="007B66E0"/>
    <w:rsid w:val="007B6EDD"/>
    <w:rsid w:val="007B77CB"/>
    <w:rsid w:val="007B7DAE"/>
    <w:rsid w:val="007C05C0"/>
    <w:rsid w:val="007C14CD"/>
    <w:rsid w:val="007C2055"/>
    <w:rsid w:val="007C3458"/>
    <w:rsid w:val="007C5848"/>
    <w:rsid w:val="007C61C5"/>
    <w:rsid w:val="007C775A"/>
    <w:rsid w:val="007C7B61"/>
    <w:rsid w:val="007C7CB3"/>
    <w:rsid w:val="007D123D"/>
    <w:rsid w:val="007D15B1"/>
    <w:rsid w:val="007D215F"/>
    <w:rsid w:val="007D291C"/>
    <w:rsid w:val="007D29AD"/>
    <w:rsid w:val="007D2D2A"/>
    <w:rsid w:val="007D30CB"/>
    <w:rsid w:val="007D3921"/>
    <w:rsid w:val="007D55A4"/>
    <w:rsid w:val="007D55D6"/>
    <w:rsid w:val="007D5708"/>
    <w:rsid w:val="007D6746"/>
    <w:rsid w:val="007D7BA8"/>
    <w:rsid w:val="007D7D8A"/>
    <w:rsid w:val="007E0450"/>
    <w:rsid w:val="007E1309"/>
    <w:rsid w:val="007E13E5"/>
    <w:rsid w:val="007E13FB"/>
    <w:rsid w:val="007E1964"/>
    <w:rsid w:val="007E1E5F"/>
    <w:rsid w:val="007E1F24"/>
    <w:rsid w:val="007E267E"/>
    <w:rsid w:val="007E26FF"/>
    <w:rsid w:val="007E29D1"/>
    <w:rsid w:val="007E2C25"/>
    <w:rsid w:val="007E2C88"/>
    <w:rsid w:val="007E3423"/>
    <w:rsid w:val="007E34D0"/>
    <w:rsid w:val="007E41D4"/>
    <w:rsid w:val="007E428C"/>
    <w:rsid w:val="007E4350"/>
    <w:rsid w:val="007E4570"/>
    <w:rsid w:val="007E4735"/>
    <w:rsid w:val="007E4E88"/>
    <w:rsid w:val="007E5133"/>
    <w:rsid w:val="007E5CBA"/>
    <w:rsid w:val="007E5E5E"/>
    <w:rsid w:val="007E6285"/>
    <w:rsid w:val="007E6620"/>
    <w:rsid w:val="007E6AF3"/>
    <w:rsid w:val="007E73B9"/>
    <w:rsid w:val="007F0725"/>
    <w:rsid w:val="007F0AB9"/>
    <w:rsid w:val="007F1043"/>
    <w:rsid w:val="007F13DF"/>
    <w:rsid w:val="007F1B67"/>
    <w:rsid w:val="007F2C9C"/>
    <w:rsid w:val="007F2E6D"/>
    <w:rsid w:val="007F2F09"/>
    <w:rsid w:val="007F33BC"/>
    <w:rsid w:val="007F43DC"/>
    <w:rsid w:val="007F572B"/>
    <w:rsid w:val="007F5C44"/>
    <w:rsid w:val="007F6FA4"/>
    <w:rsid w:val="007F7318"/>
    <w:rsid w:val="00800199"/>
    <w:rsid w:val="00800FEB"/>
    <w:rsid w:val="0080389B"/>
    <w:rsid w:val="008045CD"/>
    <w:rsid w:val="008046F0"/>
    <w:rsid w:val="00805612"/>
    <w:rsid w:val="00806421"/>
    <w:rsid w:val="00806432"/>
    <w:rsid w:val="00807523"/>
    <w:rsid w:val="00807FFE"/>
    <w:rsid w:val="0081104F"/>
    <w:rsid w:val="00811530"/>
    <w:rsid w:val="008129DB"/>
    <w:rsid w:val="008133FF"/>
    <w:rsid w:val="008156A0"/>
    <w:rsid w:val="00815ED7"/>
    <w:rsid w:val="0081695D"/>
    <w:rsid w:val="00816B1B"/>
    <w:rsid w:val="00817560"/>
    <w:rsid w:val="008177FF"/>
    <w:rsid w:val="00821049"/>
    <w:rsid w:val="00822CAF"/>
    <w:rsid w:val="008232FD"/>
    <w:rsid w:val="0082445E"/>
    <w:rsid w:val="00824A8F"/>
    <w:rsid w:val="00824E93"/>
    <w:rsid w:val="00825B69"/>
    <w:rsid w:val="0082651F"/>
    <w:rsid w:val="00826D88"/>
    <w:rsid w:val="00826E09"/>
    <w:rsid w:val="008301C5"/>
    <w:rsid w:val="008313C4"/>
    <w:rsid w:val="0083239E"/>
    <w:rsid w:val="0083296F"/>
    <w:rsid w:val="00833DC6"/>
    <w:rsid w:val="0083559F"/>
    <w:rsid w:val="00835B4C"/>
    <w:rsid w:val="0083637F"/>
    <w:rsid w:val="0083676F"/>
    <w:rsid w:val="00836DF3"/>
    <w:rsid w:val="00836E82"/>
    <w:rsid w:val="008373ED"/>
    <w:rsid w:val="008378FA"/>
    <w:rsid w:val="008400F3"/>
    <w:rsid w:val="008418CF"/>
    <w:rsid w:val="00841F82"/>
    <w:rsid w:val="0084212D"/>
    <w:rsid w:val="00842573"/>
    <w:rsid w:val="00842AD2"/>
    <w:rsid w:val="00843266"/>
    <w:rsid w:val="008441B4"/>
    <w:rsid w:val="00844F06"/>
    <w:rsid w:val="0084560A"/>
    <w:rsid w:val="00845CC6"/>
    <w:rsid w:val="00846C35"/>
    <w:rsid w:val="008473D1"/>
    <w:rsid w:val="00847A20"/>
    <w:rsid w:val="00847F30"/>
    <w:rsid w:val="0085089F"/>
    <w:rsid w:val="00850EBD"/>
    <w:rsid w:val="008519AE"/>
    <w:rsid w:val="00851F74"/>
    <w:rsid w:val="0085230B"/>
    <w:rsid w:val="00852AAC"/>
    <w:rsid w:val="00853939"/>
    <w:rsid w:val="00854586"/>
    <w:rsid w:val="00854AB3"/>
    <w:rsid w:val="00854EA3"/>
    <w:rsid w:val="0085519F"/>
    <w:rsid w:val="00855C93"/>
    <w:rsid w:val="00856BF6"/>
    <w:rsid w:val="008577B3"/>
    <w:rsid w:val="00857AA3"/>
    <w:rsid w:val="008601B2"/>
    <w:rsid w:val="008602BA"/>
    <w:rsid w:val="00860DCD"/>
    <w:rsid w:val="00861136"/>
    <w:rsid w:val="00861931"/>
    <w:rsid w:val="00863BA3"/>
    <w:rsid w:val="00865C9C"/>
    <w:rsid w:val="008660BB"/>
    <w:rsid w:val="00866511"/>
    <w:rsid w:val="008665D7"/>
    <w:rsid w:val="00867398"/>
    <w:rsid w:val="00867A00"/>
    <w:rsid w:val="00870087"/>
    <w:rsid w:val="00871BAC"/>
    <w:rsid w:val="0087204B"/>
    <w:rsid w:val="00873095"/>
    <w:rsid w:val="00873633"/>
    <w:rsid w:val="00874030"/>
    <w:rsid w:val="008741AB"/>
    <w:rsid w:val="008756A6"/>
    <w:rsid w:val="008756B3"/>
    <w:rsid w:val="00876BEB"/>
    <w:rsid w:val="00877DB1"/>
    <w:rsid w:val="0088075B"/>
    <w:rsid w:val="00880E39"/>
    <w:rsid w:val="00881239"/>
    <w:rsid w:val="00881601"/>
    <w:rsid w:val="00881801"/>
    <w:rsid w:val="00881C0C"/>
    <w:rsid w:val="00882088"/>
    <w:rsid w:val="008835DE"/>
    <w:rsid w:val="008849C5"/>
    <w:rsid w:val="00884AA9"/>
    <w:rsid w:val="00884C48"/>
    <w:rsid w:val="00885649"/>
    <w:rsid w:val="00885F02"/>
    <w:rsid w:val="00886301"/>
    <w:rsid w:val="008867D4"/>
    <w:rsid w:val="00886DA3"/>
    <w:rsid w:val="00887886"/>
    <w:rsid w:val="008918ED"/>
    <w:rsid w:val="00892327"/>
    <w:rsid w:val="00892A79"/>
    <w:rsid w:val="0089302A"/>
    <w:rsid w:val="00893694"/>
    <w:rsid w:val="008940DB"/>
    <w:rsid w:val="00894322"/>
    <w:rsid w:val="008956BE"/>
    <w:rsid w:val="0089610B"/>
    <w:rsid w:val="00896E04"/>
    <w:rsid w:val="008976CF"/>
    <w:rsid w:val="008977E1"/>
    <w:rsid w:val="0089781A"/>
    <w:rsid w:val="00897833"/>
    <w:rsid w:val="008978CE"/>
    <w:rsid w:val="008A0173"/>
    <w:rsid w:val="008A0673"/>
    <w:rsid w:val="008A077E"/>
    <w:rsid w:val="008A11DA"/>
    <w:rsid w:val="008A122D"/>
    <w:rsid w:val="008A18ED"/>
    <w:rsid w:val="008A2825"/>
    <w:rsid w:val="008A473D"/>
    <w:rsid w:val="008A5D9C"/>
    <w:rsid w:val="008A6C5D"/>
    <w:rsid w:val="008A77BC"/>
    <w:rsid w:val="008B1945"/>
    <w:rsid w:val="008B1975"/>
    <w:rsid w:val="008B1A55"/>
    <w:rsid w:val="008B225A"/>
    <w:rsid w:val="008B2407"/>
    <w:rsid w:val="008B430B"/>
    <w:rsid w:val="008B4641"/>
    <w:rsid w:val="008B4656"/>
    <w:rsid w:val="008B4AE3"/>
    <w:rsid w:val="008B5DC2"/>
    <w:rsid w:val="008B6130"/>
    <w:rsid w:val="008B7501"/>
    <w:rsid w:val="008C16EA"/>
    <w:rsid w:val="008C28B7"/>
    <w:rsid w:val="008C353C"/>
    <w:rsid w:val="008C4AFB"/>
    <w:rsid w:val="008C4E85"/>
    <w:rsid w:val="008C53F4"/>
    <w:rsid w:val="008C5CA3"/>
    <w:rsid w:val="008C60AA"/>
    <w:rsid w:val="008C69A9"/>
    <w:rsid w:val="008C7B2C"/>
    <w:rsid w:val="008D0292"/>
    <w:rsid w:val="008D0ADA"/>
    <w:rsid w:val="008D12AB"/>
    <w:rsid w:val="008D14B3"/>
    <w:rsid w:val="008D2171"/>
    <w:rsid w:val="008D373F"/>
    <w:rsid w:val="008D4012"/>
    <w:rsid w:val="008D4803"/>
    <w:rsid w:val="008D4BE6"/>
    <w:rsid w:val="008D6134"/>
    <w:rsid w:val="008D6809"/>
    <w:rsid w:val="008D6DEA"/>
    <w:rsid w:val="008D7E7E"/>
    <w:rsid w:val="008E037D"/>
    <w:rsid w:val="008E1457"/>
    <w:rsid w:val="008E14A0"/>
    <w:rsid w:val="008E1612"/>
    <w:rsid w:val="008E173C"/>
    <w:rsid w:val="008E1FF4"/>
    <w:rsid w:val="008E27F6"/>
    <w:rsid w:val="008E288C"/>
    <w:rsid w:val="008E2BC5"/>
    <w:rsid w:val="008E2BF3"/>
    <w:rsid w:val="008E2E47"/>
    <w:rsid w:val="008E3EED"/>
    <w:rsid w:val="008E3F98"/>
    <w:rsid w:val="008E4AE9"/>
    <w:rsid w:val="008E4EBA"/>
    <w:rsid w:val="008E5308"/>
    <w:rsid w:val="008E63AC"/>
    <w:rsid w:val="008E6A0C"/>
    <w:rsid w:val="008E6B52"/>
    <w:rsid w:val="008E6E45"/>
    <w:rsid w:val="008E7DF3"/>
    <w:rsid w:val="008F0A68"/>
    <w:rsid w:val="008F13B2"/>
    <w:rsid w:val="008F1D28"/>
    <w:rsid w:val="008F1FA3"/>
    <w:rsid w:val="008F2200"/>
    <w:rsid w:val="008F26E1"/>
    <w:rsid w:val="008F29BA"/>
    <w:rsid w:val="008F31CF"/>
    <w:rsid w:val="008F3955"/>
    <w:rsid w:val="008F3C90"/>
    <w:rsid w:val="008F400E"/>
    <w:rsid w:val="008F4049"/>
    <w:rsid w:val="008F476A"/>
    <w:rsid w:val="008F4A78"/>
    <w:rsid w:val="008F4E13"/>
    <w:rsid w:val="008F51AE"/>
    <w:rsid w:val="008F68C2"/>
    <w:rsid w:val="008F6D0E"/>
    <w:rsid w:val="00900AA5"/>
    <w:rsid w:val="00901A8B"/>
    <w:rsid w:val="00901C0E"/>
    <w:rsid w:val="00901D56"/>
    <w:rsid w:val="00902221"/>
    <w:rsid w:val="0090538B"/>
    <w:rsid w:val="00906328"/>
    <w:rsid w:val="009064E5"/>
    <w:rsid w:val="0090738A"/>
    <w:rsid w:val="00910154"/>
    <w:rsid w:val="00910156"/>
    <w:rsid w:val="00910BEC"/>
    <w:rsid w:val="009119D7"/>
    <w:rsid w:val="00911B79"/>
    <w:rsid w:val="00912979"/>
    <w:rsid w:val="00913BD5"/>
    <w:rsid w:val="009140BE"/>
    <w:rsid w:val="009144F0"/>
    <w:rsid w:val="00914F6F"/>
    <w:rsid w:val="00915AB7"/>
    <w:rsid w:val="00916E0C"/>
    <w:rsid w:val="009170BB"/>
    <w:rsid w:val="0092052C"/>
    <w:rsid w:val="00920BBD"/>
    <w:rsid w:val="009215F5"/>
    <w:rsid w:val="009223C0"/>
    <w:rsid w:val="00923113"/>
    <w:rsid w:val="009247E6"/>
    <w:rsid w:val="00925416"/>
    <w:rsid w:val="00926658"/>
    <w:rsid w:val="00926A4B"/>
    <w:rsid w:val="0092703F"/>
    <w:rsid w:val="0092716B"/>
    <w:rsid w:val="00927493"/>
    <w:rsid w:val="009275E1"/>
    <w:rsid w:val="00927710"/>
    <w:rsid w:val="00927C00"/>
    <w:rsid w:val="00930352"/>
    <w:rsid w:val="009319C4"/>
    <w:rsid w:val="00931EA7"/>
    <w:rsid w:val="00932C18"/>
    <w:rsid w:val="00933460"/>
    <w:rsid w:val="009341EB"/>
    <w:rsid w:val="00935835"/>
    <w:rsid w:val="009358E0"/>
    <w:rsid w:val="0093598D"/>
    <w:rsid w:val="00935B37"/>
    <w:rsid w:val="00935EAF"/>
    <w:rsid w:val="009363FB"/>
    <w:rsid w:val="009364E2"/>
    <w:rsid w:val="00936854"/>
    <w:rsid w:val="00936C49"/>
    <w:rsid w:val="00940B64"/>
    <w:rsid w:val="0094128D"/>
    <w:rsid w:val="009412A0"/>
    <w:rsid w:val="0094131E"/>
    <w:rsid w:val="00942D5E"/>
    <w:rsid w:val="00942EB2"/>
    <w:rsid w:val="00943639"/>
    <w:rsid w:val="00943BF3"/>
    <w:rsid w:val="00944DB3"/>
    <w:rsid w:val="00945EA5"/>
    <w:rsid w:val="00946A6D"/>
    <w:rsid w:val="00946C04"/>
    <w:rsid w:val="00946E4B"/>
    <w:rsid w:val="00946F7C"/>
    <w:rsid w:val="00947452"/>
    <w:rsid w:val="00947527"/>
    <w:rsid w:val="00950624"/>
    <w:rsid w:val="0095081C"/>
    <w:rsid w:val="009508B4"/>
    <w:rsid w:val="009510CD"/>
    <w:rsid w:val="009517E8"/>
    <w:rsid w:val="009521BC"/>
    <w:rsid w:val="0095313F"/>
    <w:rsid w:val="00953E21"/>
    <w:rsid w:val="00953ECE"/>
    <w:rsid w:val="009543E1"/>
    <w:rsid w:val="0095581F"/>
    <w:rsid w:val="0095585D"/>
    <w:rsid w:val="00955EA8"/>
    <w:rsid w:val="00956AD3"/>
    <w:rsid w:val="00956E0B"/>
    <w:rsid w:val="00956F91"/>
    <w:rsid w:val="00957301"/>
    <w:rsid w:val="009575A5"/>
    <w:rsid w:val="00957795"/>
    <w:rsid w:val="00957FC1"/>
    <w:rsid w:val="00960474"/>
    <w:rsid w:val="009620E8"/>
    <w:rsid w:val="0096289D"/>
    <w:rsid w:val="00963A42"/>
    <w:rsid w:val="009644FC"/>
    <w:rsid w:val="00964589"/>
    <w:rsid w:val="00964B67"/>
    <w:rsid w:val="009655E3"/>
    <w:rsid w:val="009666BA"/>
    <w:rsid w:val="00967BBF"/>
    <w:rsid w:val="00967C57"/>
    <w:rsid w:val="00970182"/>
    <w:rsid w:val="00970F82"/>
    <w:rsid w:val="0097102A"/>
    <w:rsid w:val="0097125A"/>
    <w:rsid w:val="00972AB4"/>
    <w:rsid w:val="00972F8E"/>
    <w:rsid w:val="00972F99"/>
    <w:rsid w:val="00975B97"/>
    <w:rsid w:val="00976553"/>
    <w:rsid w:val="00976E5A"/>
    <w:rsid w:val="00977176"/>
    <w:rsid w:val="009771C4"/>
    <w:rsid w:val="0097739C"/>
    <w:rsid w:val="00981488"/>
    <w:rsid w:val="00981B38"/>
    <w:rsid w:val="0098278F"/>
    <w:rsid w:val="00983586"/>
    <w:rsid w:val="00983D73"/>
    <w:rsid w:val="009847A6"/>
    <w:rsid w:val="00984DAD"/>
    <w:rsid w:val="0098531B"/>
    <w:rsid w:val="0098597B"/>
    <w:rsid w:val="00985C0D"/>
    <w:rsid w:val="009861FE"/>
    <w:rsid w:val="00987EC9"/>
    <w:rsid w:val="00990C42"/>
    <w:rsid w:val="009934A7"/>
    <w:rsid w:val="009944B0"/>
    <w:rsid w:val="00994510"/>
    <w:rsid w:val="00995951"/>
    <w:rsid w:val="009960A9"/>
    <w:rsid w:val="009964E4"/>
    <w:rsid w:val="00997584"/>
    <w:rsid w:val="00997C46"/>
    <w:rsid w:val="00997CDB"/>
    <w:rsid w:val="00997DE1"/>
    <w:rsid w:val="009A0607"/>
    <w:rsid w:val="009A0C25"/>
    <w:rsid w:val="009A1C8C"/>
    <w:rsid w:val="009A2923"/>
    <w:rsid w:val="009A2A69"/>
    <w:rsid w:val="009A2EF6"/>
    <w:rsid w:val="009A36C7"/>
    <w:rsid w:val="009A3C2C"/>
    <w:rsid w:val="009A3FD0"/>
    <w:rsid w:val="009A476A"/>
    <w:rsid w:val="009A53D6"/>
    <w:rsid w:val="009A5F0F"/>
    <w:rsid w:val="009A5F27"/>
    <w:rsid w:val="009A65D4"/>
    <w:rsid w:val="009A6ABA"/>
    <w:rsid w:val="009A6B74"/>
    <w:rsid w:val="009A6E09"/>
    <w:rsid w:val="009A769D"/>
    <w:rsid w:val="009B23A7"/>
    <w:rsid w:val="009B284D"/>
    <w:rsid w:val="009B3E27"/>
    <w:rsid w:val="009B54CE"/>
    <w:rsid w:val="009B6863"/>
    <w:rsid w:val="009C026F"/>
    <w:rsid w:val="009C3E3C"/>
    <w:rsid w:val="009C3E91"/>
    <w:rsid w:val="009C5744"/>
    <w:rsid w:val="009C5949"/>
    <w:rsid w:val="009C7463"/>
    <w:rsid w:val="009C7750"/>
    <w:rsid w:val="009D02CE"/>
    <w:rsid w:val="009D0D44"/>
    <w:rsid w:val="009D24F0"/>
    <w:rsid w:val="009D35B4"/>
    <w:rsid w:val="009D3DB4"/>
    <w:rsid w:val="009D4A09"/>
    <w:rsid w:val="009D4FF4"/>
    <w:rsid w:val="009D5A8F"/>
    <w:rsid w:val="009D5AF5"/>
    <w:rsid w:val="009D62C7"/>
    <w:rsid w:val="009D63B6"/>
    <w:rsid w:val="009D65FB"/>
    <w:rsid w:val="009D672B"/>
    <w:rsid w:val="009D7113"/>
    <w:rsid w:val="009D714D"/>
    <w:rsid w:val="009D72B5"/>
    <w:rsid w:val="009E0CEB"/>
    <w:rsid w:val="009E3920"/>
    <w:rsid w:val="009E39FE"/>
    <w:rsid w:val="009E3B69"/>
    <w:rsid w:val="009E523C"/>
    <w:rsid w:val="009E589F"/>
    <w:rsid w:val="009E67A8"/>
    <w:rsid w:val="009E6BE2"/>
    <w:rsid w:val="009E7C01"/>
    <w:rsid w:val="009E7D6D"/>
    <w:rsid w:val="009E7ED5"/>
    <w:rsid w:val="009F0054"/>
    <w:rsid w:val="009F07CA"/>
    <w:rsid w:val="009F0A00"/>
    <w:rsid w:val="009F10D8"/>
    <w:rsid w:val="009F2862"/>
    <w:rsid w:val="009F2CC7"/>
    <w:rsid w:val="009F4025"/>
    <w:rsid w:val="009F4056"/>
    <w:rsid w:val="009F43D4"/>
    <w:rsid w:val="009F4D5B"/>
    <w:rsid w:val="009F4DB2"/>
    <w:rsid w:val="009F5D69"/>
    <w:rsid w:val="009F6160"/>
    <w:rsid w:val="009F6914"/>
    <w:rsid w:val="009F7E3F"/>
    <w:rsid w:val="00A00795"/>
    <w:rsid w:val="00A00AA2"/>
    <w:rsid w:val="00A00E1B"/>
    <w:rsid w:val="00A018DD"/>
    <w:rsid w:val="00A01A20"/>
    <w:rsid w:val="00A01B15"/>
    <w:rsid w:val="00A02078"/>
    <w:rsid w:val="00A03AAA"/>
    <w:rsid w:val="00A046D1"/>
    <w:rsid w:val="00A04C0F"/>
    <w:rsid w:val="00A050B7"/>
    <w:rsid w:val="00A05BEB"/>
    <w:rsid w:val="00A0605E"/>
    <w:rsid w:val="00A07E51"/>
    <w:rsid w:val="00A1066B"/>
    <w:rsid w:val="00A11527"/>
    <w:rsid w:val="00A11E29"/>
    <w:rsid w:val="00A12551"/>
    <w:rsid w:val="00A12673"/>
    <w:rsid w:val="00A12BEC"/>
    <w:rsid w:val="00A132B8"/>
    <w:rsid w:val="00A13E4E"/>
    <w:rsid w:val="00A15109"/>
    <w:rsid w:val="00A15361"/>
    <w:rsid w:val="00A16194"/>
    <w:rsid w:val="00A16CCE"/>
    <w:rsid w:val="00A1709A"/>
    <w:rsid w:val="00A17149"/>
    <w:rsid w:val="00A1736D"/>
    <w:rsid w:val="00A1745E"/>
    <w:rsid w:val="00A2101C"/>
    <w:rsid w:val="00A233AC"/>
    <w:rsid w:val="00A2394C"/>
    <w:rsid w:val="00A23F62"/>
    <w:rsid w:val="00A24045"/>
    <w:rsid w:val="00A25195"/>
    <w:rsid w:val="00A251D7"/>
    <w:rsid w:val="00A2549B"/>
    <w:rsid w:val="00A25997"/>
    <w:rsid w:val="00A27EC2"/>
    <w:rsid w:val="00A300EB"/>
    <w:rsid w:val="00A30D9F"/>
    <w:rsid w:val="00A31115"/>
    <w:rsid w:val="00A32153"/>
    <w:rsid w:val="00A32272"/>
    <w:rsid w:val="00A3256E"/>
    <w:rsid w:val="00A33720"/>
    <w:rsid w:val="00A33A7B"/>
    <w:rsid w:val="00A33DE1"/>
    <w:rsid w:val="00A36433"/>
    <w:rsid w:val="00A3644C"/>
    <w:rsid w:val="00A36492"/>
    <w:rsid w:val="00A36FDF"/>
    <w:rsid w:val="00A376A7"/>
    <w:rsid w:val="00A400AF"/>
    <w:rsid w:val="00A4032A"/>
    <w:rsid w:val="00A40B18"/>
    <w:rsid w:val="00A410BA"/>
    <w:rsid w:val="00A410EA"/>
    <w:rsid w:val="00A41D6B"/>
    <w:rsid w:val="00A43A35"/>
    <w:rsid w:val="00A440EB"/>
    <w:rsid w:val="00A4489A"/>
    <w:rsid w:val="00A44A18"/>
    <w:rsid w:val="00A44D94"/>
    <w:rsid w:val="00A452CF"/>
    <w:rsid w:val="00A4536A"/>
    <w:rsid w:val="00A45651"/>
    <w:rsid w:val="00A46029"/>
    <w:rsid w:val="00A4609C"/>
    <w:rsid w:val="00A509BA"/>
    <w:rsid w:val="00A50E58"/>
    <w:rsid w:val="00A51163"/>
    <w:rsid w:val="00A5118E"/>
    <w:rsid w:val="00A51DE2"/>
    <w:rsid w:val="00A51F6E"/>
    <w:rsid w:val="00A536C3"/>
    <w:rsid w:val="00A53F3C"/>
    <w:rsid w:val="00A544AA"/>
    <w:rsid w:val="00A548F2"/>
    <w:rsid w:val="00A54BB4"/>
    <w:rsid w:val="00A54CA3"/>
    <w:rsid w:val="00A56D81"/>
    <w:rsid w:val="00A6047B"/>
    <w:rsid w:val="00A6248E"/>
    <w:rsid w:val="00A628AC"/>
    <w:rsid w:val="00A62C68"/>
    <w:rsid w:val="00A63A8E"/>
    <w:rsid w:val="00A64053"/>
    <w:rsid w:val="00A6468F"/>
    <w:rsid w:val="00A64747"/>
    <w:rsid w:val="00A65516"/>
    <w:rsid w:val="00A669B7"/>
    <w:rsid w:val="00A66E96"/>
    <w:rsid w:val="00A67734"/>
    <w:rsid w:val="00A67A15"/>
    <w:rsid w:val="00A67B01"/>
    <w:rsid w:val="00A71367"/>
    <w:rsid w:val="00A721D5"/>
    <w:rsid w:val="00A722A8"/>
    <w:rsid w:val="00A72F07"/>
    <w:rsid w:val="00A73BBC"/>
    <w:rsid w:val="00A74B04"/>
    <w:rsid w:val="00A7577B"/>
    <w:rsid w:val="00A7688C"/>
    <w:rsid w:val="00A77029"/>
    <w:rsid w:val="00A773E1"/>
    <w:rsid w:val="00A80211"/>
    <w:rsid w:val="00A80307"/>
    <w:rsid w:val="00A80A83"/>
    <w:rsid w:val="00A8246F"/>
    <w:rsid w:val="00A827E0"/>
    <w:rsid w:val="00A83C97"/>
    <w:rsid w:val="00A847BC"/>
    <w:rsid w:val="00A84DB6"/>
    <w:rsid w:val="00A8518D"/>
    <w:rsid w:val="00A90773"/>
    <w:rsid w:val="00A90CE5"/>
    <w:rsid w:val="00A91492"/>
    <w:rsid w:val="00A91A11"/>
    <w:rsid w:val="00A91F09"/>
    <w:rsid w:val="00A928A5"/>
    <w:rsid w:val="00A942D0"/>
    <w:rsid w:val="00A95830"/>
    <w:rsid w:val="00A96088"/>
    <w:rsid w:val="00A97D57"/>
    <w:rsid w:val="00AA0069"/>
    <w:rsid w:val="00AA0D6C"/>
    <w:rsid w:val="00AA2814"/>
    <w:rsid w:val="00AA2B7C"/>
    <w:rsid w:val="00AA2ECD"/>
    <w:rsid w:val="00AA375E"/>
    <w:rsid w:val="00AA425D"/>
    <w:rsid w:val="00AA4C03"/>
    <w:rsid w:val="00AA5459"/>
    <w:rsid w:val="00AA56CF"/>
    <w:rsid w:val="00AA5738"/>
    <w:rsid w:val="00AA6720"/>
    <w:rsid w:val="00AA6AAE"/>
    <w:rsid w:val="00AA6CF7"/>
    <w:rsid w:val="00AA750B"/>
    <w:rsid w:val="00AA7689"/>
    <w:rsid w:val="00AA7A6C"/>
    <w:rsid w:val="00AA7B05"/>
    <w:rsid w:val="00AB04C0"/>
    <w:rsid w:val="00AB13C8"/>
    <w:rsid w:val="00AB1F38"/>
    <w:rsid w:val="00AB4B53"/>
    <w:rsid w:val="00AB6036"/>
    <w:rsid w:val="00AB6B5A"/>
    <w:rsid w:val="00AB6BBA"/>
    <w:rsid w:val="00AB7319"/>
    <w:rsid w:val="00AB748A"/>
    <w:rsid w:val="00AB7760"/>
    <w:rsid w:val="00AC026B"/>
    <w:rsid w:val="00AC0AF8"/>
    <w:rsid w:val="00AC0D49"/>
    <w:rsid w:val="00AC0FAC"/>
    <w:rsid w:val="00AC10DA"/>
    <w:rsid w:val="00AC130F"/>
    <w:rsid w:val="00AC1D67"/>
    <w:rsid w:val="00AC3759"/>
    <w:rsid w:val="00AC4856"/>
    <w:rsid w:val="00AC636E"/>
    <w:rsid w:val="00AC6371"/>
    <w:rsid w:val="00AC7C30"/>
    <w:rsid w:val="00AD04F7"/>
    <w:rsid w:val="00AD0E55"/>
    <w:rsid w:val="00AD0E60"/>
    <w:rsid w:val="00AD1593"/>
    <w:rsid w:val="00AD16FD"/>
    <w:rsid w:val="00AD182B"/>
    <w:rsid w:val="00AD2512"/>
    <w:rsid w:val="00AD296E"/>
    <w:rsid w:val="00AD3F8A"/>
    <w:rsid w:val="00AD48C4"/>
    <w:rsid w:val="00AD618D"/>
    <w:rsid w:val="00AD6467"/>
    <w:rsid w:val="00AD6572"/>
    <w:rsid w:val="00AD6F29"/>
    <w:rsid w:val="00AE0189"/>
    <w:rsid w:val="00AE0C9A"/>
    <w:rsid w:val="00AE0E1D"/>
    <w:rsid w:val="00AE27CD"/>
    <w:rsid w:val="00AE3180"/>
    <w:rsid w:val="00AE465A"/>
    <w:rsid w:val="00AE4A18"/>
    <w:rsid w:val="00AE4EB4"/>
    <w:rsid w:val="00AE5290"/>
    <w:rsid w:val="00AE6A18"/>
    <w:rsid w:val="00AE6E26"/>
    <w:rsid w:val="00AE6E7D"/>
    <w:rsid w:val="00AE715A"/>
    <w:rsid w:val="00AE7FDC"/>
    <w:rsid w:val="00AF0413"/>
    <w:rsid w:val="00AF11FE"/>
    <w:rsid w:val="00AF1976"/>
    <w:rsid w:val="00AF34DD"/>
    <w:rsid w:val="00AF361E"/>
    <w:rsid w:val="00AF3B21"/>
    <w:rsid w:val="00AF3E21"/>
    <w:rsid w:val="00AF4139"/>
    <w:rsid w:val="00AF4169"/>
    <w:rsid w:val="00AF4354"/>
    <w:rsid w:val="00AF4B62"/>
    <w:rsid w:val="00AF613A"/>
    <w:rsid w:val="00AF62E4"/>
    <w:rsid w:val="00AF7732"/>
    <w:rsid w:val="00B0033E"/>
    <w:rsid w:val="00B00EBC"/>
    <w:rsid w:val="00B00FE9"/>
    <w:rsid w:val="00B010B4"/>
    <w:rsid w:val="00B016A1"/>
    <w:rsid w:val="00B01FC7"/>
    <w:rsid w:val="00B02A85"/>
    <w:rsid w:val="00B0377B"/>
    <w:rsid w:val="00B04399"/>
    <w:rsid w:val="00B046CC"/>
    <w:rsid w:val="00B078A5"/>
    <w:rsid w:val="00B07931"/>
    <w:rsid w:val="00B07966"/>
    <w:rsid w:val="00B10983"/>
    <w:rsid w:val="00B109B0"/>
    <w:rsid w:val="00B114EB"/>
    <w:rsid w:val="00B11648"/>
    <w:rsid w:val="00B11DAB"/>
    <w:rsid w:val="00B14331"/>
    <w:rsid w:val="00B1505A"/>
    <w:rsid w:val="00B211F2"/>
    <w:rsid w:val="00B220E5"/>
    <w:rsid w:val="00B22CAC"/>
    <w:rsid w:val="00B22EE9"/>
    <w:rsid w:val="00B23956"/>
    <w:rsid w:val="00B2402C"/>
    <w:rsid w:val="00B25B45"/>
    <w:rsid w:val="00B264F0"/>
    <w:rsid w:val="00B2662E"/>
    <w:rsid w:val="00B26706"/>
    <w:rsid w:val="00B3070A"/>
    <w:rsid w:val="00B3125E"/>
    <w:rsid w:val="00B31CBE"/>
    <w:rsid w:val="00B32415"/>
    <w:rsid w:val="00B3288B"/>
    <w:rsid w:val="00B332D0"/>
    <w:rsid w:val="00B33965"/>
    <w:rsid w:val="00B34078"/>
    <w:rsid w:val="00B3485E"/>
    <w:rsid w:val="00B34965"/>
    <w:rsid w:val="00B3555B"/>
    <w:rsid w:val="00B356EE"/>
    <w:rsid w:val="00B35774"/>
    <w:rsid w:val="00B358FB"/>
    <w:rsid w:val="00B37582"/>
    <w:rsid w:val="00B37FB4"/>
    <w:rsid w:val="00B40107"/>
    <w:rsid w:val="00B405BB"/>
    <w:rsid w:val="00B41659"/>
    <w:rsid w:val="00B41F4B"/>
    <w:rsid w:val="00B42355"/>
    <w:rsid w:val="00B42B97"/>
    <w:rsid w:val="00B433D9"/>
    <w:rsid w:val="00B438F1"/>
    <w:rsid w:val="00B43C3B"/>
    <w:rsid w:val="00B446E1"/>
    <w:rsid w:val="00B45E74"/>
    <w:rsid w:val="00B46507"/>
    <w:rsid w:val="00B467AB"/>
    <w:rsid w:val="00B469B5"/>
    <w:rsid w:val="00B46F65"/>
    <w:rsid w:val="00B471EE"/>
    <w:rsid w:val="00B47368"/>
    <w:rsid w:val="00B50403"/>
    <w:rsid w:val="00B509CD"/>
    <w:rsid w:val="00B517C7"/>
    <w:rsid w:val="00B51D46"/>
    <w:rsid w:val="00B52791"/>
    <w:rsid w:val="00B52DF1"/>
    <w:rsid w:val="00B53D5E"/>
    <w:rsid w:val="00B54E2C"/>
    <w:rsid w:val="00B550C0"/>
    <w:rsid w:val="00B55B74"/>
    <w:rsid w:val="00B55C5A"/>
    <w:rsid w:val="00B55F47"/>
    <w:rsid w:val="00B55FE7"/>
    <w:rsid w:val="00B56E6F"/>
    <w:rsid w:val="00B56FB7"/>
    <w:rsid w:val="00B61223"/>
    <w:rsid w:val="00B61356"/>
    <w:rsid w:val="00B6162D"/>
    <w:rsid w:val="00B62239"/>
    <w:rsid w:val="00B62DB3"/>
    <w:rsid w:val="00B630D8"/>
    <w:rsid w:val="00B638F6"/>
    <w:rsid w:val="00B63CFE"/>
    <w:rsid w:val="00B63EAE"/>
    <w:rsid w:val="00B658D2"/>
    <w:rsid w:val="00B65C11"/>
    <w:rsid w:val="00B66235"/>
    <w:rsid w:val="00B662C9"/>
    <w:rsid w:val="00B66326"/>
    <w:rsid w:val="00B66A4E"/>
    <w:rsid w:val="00B67CAF"/>
    <w:rsid w:val="00B700E1"/>
    <w:rsid w:val="00B70880"/>
    <w:rsid w:val="00B711D5"/>
    <w:rsid w:val="00B71FEC"/>
    <w:rsid w:val="00B72046"/>
    <w:rsid w:val="00B724A8"/>
    <w:rsid w:val="00B7407D"/>
    <w:rsid w:val="00B74DE9"/>
    <w:rsid w:val="00B755B8"/>
    <w:rsid w:val="00B757F5"/>
    <w:rsid w:val="00B75A98"/>
    <w:rsid w:val="00B75DDA"/>
    <w:rsid w:val="00B7720F"/>
    <w:rsid w:val="00B807B6"/>
    <w:rsid w:val="00B82046"/>
    <w:rsid w:val="00B848D1"/>
    <w:rsid w:val="00B84943"/>
    <w:rsid w:val="00B8640E"/>
    <w:rsid w:val="00B87B08"/>
    <w:rsid w:val="00B906F8"/>
    <w:rsid w:val="00B91277"/>
    <w:rsid w:val="00B928F2"/>
    <w:rsid w:val="00B92A72"/>
    <w:rsid w:val="00B93D0E"/>
    <w:rsid w:val="00B9467E"/>
    <w:rsid w:val="00B97439"/>
    <w:rsid w:val="00BA0C15"/>
    <w:rsid w:val="00BA0DE5"/>
    <w:rsid w:val="00BA1D7C"/>
    <w:rsid w:val="00BA1F56"/>
    <w:rsid w:val="00BA2113"/>
    <w:rsid w:val="00BA50D4"/>
    <w:rsid w:val="00BA6199"/>
    <w:rsid w:val="00BA6E26"/>
    <w:rsid w:val="00BA71B6"/>
    <w:rsid w:val="00BA7C43"/>
    <w:rsid w:val="00BB17C3"/>
    <w:rsid w:val="00BB30A1"/>
    <w:rsid w:val="00BB3ACB"/>
    <w:rsid w:val="00BB3FE1"/>
    <w:rsid w:val="00BB4C2F"/>
    <w:rsid w:val="00BB4F10"/>
    <w:rsid w:val="00BB4F37"/>
    <w:rsid w:val="00BB5236"/>
    <w:rsid w:val="00BB5758"/>
    <w:rsid w:val="00BB5B34"/>
    <w:rsid w:val="00BB652A"/>
    <w:rsid w:val="00BC0B1B"/>
    <w:rsid w:val="00BC125C"/>
    <w:rsid w:val="00BC1534"/>
    <w:rsid w:val="00BC1C88"/>
    <w:rsid w:val="00BC1EEF"/>
    <w:rsid w:val="00BC283B"/>
    <w:rsid w:val="00BC29D5"/>
    <w:rsid w:val="00BC2E2A"/>
    <w:rsid w:val="00BC324D"/>
    <w:rsid w:val="00BC3762"/>
    <w:rsid w:val="00BC3DDE"/>
    <w:rsid w:val="00BC4DDE"/>
    <w:rsid w:val="00BC4E24"/>
    <w:rsid w:val="00BC4E2B"/>
    <w:rsid w:val="00BC5057"/>
    <w:rsid w:val="00BC563C"/>
    <w:rsid w:val="00BC5A19"/>
    <w:rsid w:val="00BC5BFE"/>
    <w:rsid w:val="00BC5FE9"/>
    <w:rsid w:val="00BC732F"/>
    <w:rsid w:val="00BC7E43"/>
    <w:rsid w:val="00BD0ADE"/>
    <w:rsid w:val="00BD4AD9"/>
    <w:rsid w:val="00BD6CCE"/>
    <w:rsid w:val="00BD6F50"/>
    <w:rsid w:val="00BD782B"/>
    <w:rsid w:val="00BE0B25"/>
    <w:rsid w:val="00BE2564"/>
    <w:rsid w:val="00BE29CC"/>
    <w:rsid w:val="00BE3545"/>
    <w:rsid w:val="00BE3D2D"/>
    <w:rsid w:val="00BE4489"/>
    <w:rsid w:val="00BE463C"/>
    <w:rsid w:val="00BE4943"/>
    <w:rsid w:val="00BE500F"/>
    <w:rsid w:val="00BE5B3E"/>
    <w:rsid w:val="00BE73AE"/>
    <w:rsid w:val="00BE7419"/>
    <w:rsid w:val="00BE7B79"/>
    <w:rsid w:val="00BE7DFA"/>
    <w:rsid w:val="00BF130F"/>
    <w:rsid w:val="00BF1CFF"/>
    <w:rsid w:val="00BF231A"/>
    <w:rsid w:val="00BF2372"/>
    <w:rsid w:val="00BF2CEC"/>
    <w:rsid w:val="00BF2ED2"/>
    <w:rsid w:val="00BF4DE3"/>
    <w:rsid w:val="00BF68DE"/>
    <w:rsid w:val="00BF6C40"/>
    <w:rsid w:val="00BF7A20"/>
    <w:rsid w:val="00BF7A64"/>
    <w:rsid w:val="00BF7B2C"/>
    <w:rsid w:val="00C00171"/>
    <w:rsid w:val="00C00518"/>
    <w:rsid w:val="00C00BCB"/>
    <w:rsid w:val="00C00CE9"/>
    <w:rsid w:val="00C013BB"/>
    <w:rsid w:val="00C01C2F"/>
    <w:rsid w:val="00C01F9C"/>
    <w:rsid w:val="00C0251E"/>
    <w:rsid w:val="00C02BFC"/>
    <w:rsid w:val="00C034C4"/>
    <w:rsid w:val="00C0612C"/>
    <w:rsid w:val="00C064E4"/>
    <w:rsid w:val="00C064ED"/>
    <w:rsid w:val="00C072E1"/>
    <w:rsid w:val="00C07A34"/>
    <w:rsid w:val="00C105B6"/>
    <w:rsid w:val="00C10739"/>
    <w:rsid w:val="00C10D35"/>
    <w:rsid w:val="00C10E84"/>
    <w:rsid w:val="00C11293"/>
    <w:rsid w:val="00C11376"/>
    <w:rsid w:val="00C11383"/>
    <w:rsid w:val="00C115F0"/>
    <w:rsid w:val="00C119E9"/>
    <w:rsid w:val="00C11FBD"/>
    <w:rsid w:val="00C12DA0"/>
    <w:rsid w:val="00C13DB4"/>
    <w:rsid w:val="00C14058"/>
    <w:rsid w:val="00C147AD"/>
    <w:rsid w:val="00C15FE2"/>
    <w:rsid w:val="00C16256"/>
    <w:rsid w:val="00C20BB0"/>
    <w:rsid w:val="00C22704"/>
    <w:rsid w:val="00C25DE8"/>
    <w:rsid w:val="00C25EDC"/>
    <w:rsid w:val="00C25F45"/>
    <w:rsid w:val="00C26CC3"/>
    <w:rsid w:val="00C270E9"/>
    <w:rsid w:val="00C274D3"/>
    <w:rsid w:val="00C30010"/>
    <w:rsid w:val="00C30566"/>
    <w:rsid w:val="00C31905"/>
    <w:rsid w:val="00C32EE9"/>
    <w:rsid w:val="00C34EAA"/>
    <w:rsid w:val="00C35315"/>
    <w:rsid w:val="00C35392"/>
    <w:rsid w:val="00C35C4D"/>
    <w:rsid w:val="00C3636E"/>
    <w:rsid w:val="00C36922"/>
    <w:rsid w:val="00C40021"/>
    <w:rsid w:val="00C4231E"/>
    <w:rsid w:val="00C4272E"/>
    <w:rsid w:val="00C44932"/>
    <w:rsid w:val="00C45FA4"/>
    <w:rsid w:val="00C46332"/>
    <w:rsid w:val="00C46CDE"/>
    <w:rsid w:val="00C50814"/>
    <w:rsid w:val="00C51059"/>
    <w:rsid w:val="00C51EFA"/>
    <w:rsid w:val="00C52AA1"/>
    <w:rsid w:val="00C53BE2"/>
    <w:rsid w:val="00C55F42"/>
    <w:rsid w:val="00C56523"/>
    <w:rsid w:val="00C56AEC"/>
    <w:rsid w:val="00C57403"/>
    <w:rsid w:val="00C63A3D"/>
    <w:rsid w:val="00C63E13"/>
    <w:rsid w:val="00C64023"/>
    <w:rsid w:val="00C64BC4"/>
    <w:rsid w:val="00C65211"/>
    <w:rsid w:val="00C657D8"/>
    <w:rsid w:val="00C66689"/>
    <w:rsid w:val="00C672F7"/>
    <w:rsid w:val="00C674B0"/>
    <w:rsid w:val="00C67E68"/>
    <w:rsid w:val="00C71D43"/>
    <w:rsid w:val="00C71ECB"/>
    <w:rsid w:val="00C738DD"/>
    <w:rsid w:val="00C73EF1"/>
    <w:rsid w:val="00C74256"/>
    <w:rsid w:val="00C764CA"/>
    <w:rsid w:val="00C7744A"/>
    <w:rsid w:val="00C800CA"/>
    <w:rsid w:val="00C8024E"/>
    <w:rsid w:val="00C82451"/>
    <w:rsid w:val="00C82A0E"/>
    <w:rsid w:val="00C83DD2"/>
    <w:rsid w:val="00C86EAC"/>
    <w:rsid w:val="00C90453"/>
    <w:rsid w:val="00C9056C"/>
    <w:rsid w:val="00C9072C"/>
    <w:rsid w:val="00C90C03"/>
    <w:rsid w:val="00C917BF"/>
    <w:rsid w:val="00C91F08"/>
    <w:rsid w:val="00C920E7"/>
    <w:rsid w:val="00C9266F"/>
    <w:rsid w:val="00C94665"/>
    <w:rsid w:val="00C948AA"/>
    <w:rsid w:val="00C94CB0"/>
    <w:rsid w:val="00C952CA"/>
    <w:rsid w:val="00C96E7C"/>
    <w:rsid w:val="00C96FC2"/>
    <w:rsid w:val="00CA0322"/>
    <w:rsid w:val="00CA0489"/>
    <w:rsid w:val="00CA2344"/>
    <w:rsid w:val="00CA2418"/>
    <w:rsid w:val="00CA2837"/>
    <w:rsid w:val="00CA2B42"/>
    <w:rsid w:val="00CA42DC"/>
    <w:rsid w:val="00CA48FC"/>
    <w:rsid w:val="00CA4E4B"/>
    <w:rsid w:val="00CA659A"/>
    <w:rsid w:val="00CA6C11"/>
    <w:rsid w:val="00CA7EDA"/>
    <w:rsid w:val="00CA7FA4"/>
    <w:rsid w:val="00CB07A7"/>
    <w:rsid w:val="00CB0804"/>
    <w:rsid w:val="00CB100B"/>
    <w:rsid w:val="00CB1235"/>
    <w:rsid w:val="00CB153D"/>
    <w:rsid w:val="00CB16E1"/>
    <w:rsid w:val="00CB18DC"/>
    <w:rsid w:val="00CB19AC"/>
    <w:rsid w:val="00CB1A79"/>
    <w:rsid w:val="00CB2118"/>
    <w:rsid w:val="00CB2E90"/>
    <w:rsid w:val="00CB31D9"/>
    <w:rsid w:val="00CB3D60"/>
    <w:rsid w:val="00CB55AB"/>
    <w:rsid w:val="00CB669C"/>
    <w:rsid w:val="00CC0DFF"/>
    <w:rsid w:val="00CC1EDF"/>
    <w:rsid w:val="00CC2E73"/>
    <w:rsid w:val="00CC2FC3"/>
    <w:rsid w:val="00CC3329"/>
    <w:rsid w:val="00CC47C1"/>
    <w:rsid w:val="00CC523B"/>
    <w:rsid w:val="00CC5780"/>
    <w:rsid w:val="00CC5C80"/>
    <w:rsid w:val="00CC60A0"/>
    <w:rsid w:val="00CC77A7"/>
    <w:rsid w:val="00CC7E22"/>
    <w:rsid w:val="00CC7E36"/>
    <w:rsid w:val="00CC7F5B"/>
    <w:rsid w:val="00CD06A5"/>
    <w:rsid w:val="00CD10E5"/>
    <w:rsid w:val="00CD1C45"/>
    <w:rsid w:val="00CD23E5"/>
    <w:rsid w:val="00CD2664"/>
    <w:rsid w:val="00CD2E7A"/>
    <w:rsid w:val="00CD3838"/>
    <w:rsid w:val="00CD4CD2"/>
    <w:rsid w:val="00CD4D75"/>
    <w:rsid w:val="00CD4D83"/>
    <w:rsid w:val="00CD5551"/>
    <w:rsid w:val="00CD5CD9"/>
    <w:rsid w:val="00CD68DB"/>
    <w:rsid w:val="00CD692C"/>
    <w:rsid w:val="00CD7019"/>
    <w:rsid w:val="00CD7EDD"/>
    <w:rsid w:val="00CE0439"/>
    <w:rsid w:val="00CE0714"/>
    <w:rsid w:val="00CE1841"/>
    <w:rsid w:val="00CE195A"/>
    <w:rsid w:val="00CE1FEB"/>
    <w:rsid w:val="00CE2F9C"/>
    <w:rsid w:val="00CE3D50"/>
    <w:rsid w:val="00CE4053"/>
    <w:rsid w:val="00CE44D7"/>
    <w:rsid w:val="00CE4AC9"/>
    <w:rsid w:val="00CE57A1"/>
    <w:rsid w:val="00CE69E8"/>
    <w:rsid w:val="00CE71F9"/>
    <w:rsid w:val="00CE77C7"/>
    <w:rsid w:val="00CE7C8A"/>
    <w:rsid w:val="00CE7CF8"/>
    <w:rsid w:val="00CE7CFD"/>
    <w:rsid w:val="00CF0015"/>
    <w:rsid w:val="00CF0995"/>
    <w:rsid w:val="00CF1E7A"/>
    <w:rsid w:val="00CF2C24"/>
    <w:rsid w:val="00CF2E6F"/>
    <w:rsid w:val="00CF3443"/>
    <w:rsid w:val="00CF3906"/>
    <w:rsid w:val="00CF7610"/>
    <w:rsid w:val="00CF7B47"/>
    <w:rsid w:val="00CF7DC4"/>
    <w:rsid w:val="00CF7FED"/>
    <w:rsid w:val="00D00027"/>
    <w:rsid w:val="00D00EAD"/>
    <w:rsid w:val="00D02E54"/>
    <w:rsid w:val="00D0402B"/>
    <w:rsid w:val="00D04050"/>
    <w:rsid w:val="00D04F7C"/>
    <w:rsid w:val="00D0517B"/>
    <w:rsid w:val="00D05655"/>
    <w:rsid w:val="00D059CF"/>
    <w:rsid w:val="00D05FB6"/>
    <w:rsid w:val="00D0627D"/>
    <w:rsid w:val="00D0718B"/>
    <w:rsid w:val="00D07980"/>
    <w:rsid w:val="00D10986"/>
    <w:rsid w:val="00D1167C"/>
    <w:rsid w:val="00D12415"/>
    <w:rsid w:val="00D12E8F"/>
    <w:rsid w:val="00D13B8C"/>
    <w:rsid w:val="00D1474C"/>
    <w:rsid w:val="00D164A2"/>
    <w:rsid w:val="00D17E78"/>
    <w:rsid w:val="00D17F2E"/>
    <w:rsid w:val="00D20106"/>
    <w:rsid w:val="00D210D7"/>
    <w:rsid w:val="00D21BD6"/>
    <w:rsid w:val="00D2229A"/>
    <w:rsid w:val="00D22BA4"/>
    <w:rsid w:val="00D23572"/>
    <w:rsid w:val="00D23E1D"/>
    <w:rsid w:val="00D25BDD"/>
    <w:rsid w:val="00D27489"/>
    <w:rsid w:val="00D27D1D"/>
    <w:rsid w:val="00D27F74"/>
    <w:rsid w:val="00D301DA"/>
    <w:rsid w:val="00D30FA3"/>
    <w:rsid w:val="00D31614"/>
    <w:rsid w:val="00D3182A"/>
    <w:rsid w:val="00D3194A"/>
    <w:rsid w:val="00D31DA1"/>
    <w:rsid w:val="00D322E0"/>
    <w:rsid w:val="00D324BB"/>
    <w:rsid w:val="00D32C6F"/>
    <w:rsid w:val="00D338FD"/>
    <w:rsid w:val="00D36771"/>
    <w:rsid w:val="00D401C1"/>
    <w:rsid w:val="00D402C8"/>
    <w:rsid w:val="00D40D70"/>
    <w:rsid w:val="00D426FE"/>
    <w:rsid w:val="00D4298B"/>
    <w:rsid w:val="00D42A45"/>
    <w:rsid w:val="00D43237"/>
    <w:rsid w:val="00D44037"/>
    <w:rsid w:val="00D444EF"/>
    <w:rsid w:val="00D455CF"/>
    <w:rsid w:val="00D45E2E"/>
    <w:rsid w:val="00D46BC9"/>
    <w:rsid w:val="00D5055A"/>
    <w:rsid w:val="00D506F9"/>
    <w:rsid w:val="00D51BDB"/>
    <w:rsid w:val="00D53511"/>
    <w:rsid w:val="00D54721"/>
    <w:rsid w:val="00D5523C"/>
    <w:rsid w:val="00D5679E"/>
    <w:rsid w:val="00D571C4"/>
    <w:rsid w:val="00D57927"/>
    <w:rsid w:val="00D57EB0"/>
    <w:rsid w:val="00D608BD"/>
    <w:rsid w:val="00D6146E"/>
    <w:rsid w:val="00D61C16"/>
    <w:rsid w:val="00D6287A"/>
    <w:rsid w:val="00D62C9A"/>
    <w:rsid w:val="00D636FD"/>
    <w:rsid w:val="00D63911"/>
    <w:rsid w:val="00D63ECE"/>
    <w:rsid w:val="00D64ECC"/>
    <w:rsid w:val="00D6719A"/>
    <w:rsid w:val="00D70C98"/>
    <w:rsid w:val="00D71758"/>
    <w:rsid w:val="00D71A3E"/>
    <w:rsid w:val="00D72F2C"/>
    <w:rsid w:val="00D7300F"/>
    <w:rsid w:val="00D7346C"/>
    <w:rsid w:val="00D73D1D"/>
    <w:rsid w:val="00D73DCD"/>
    <w:rsid w:val="00D740DC"/>
    <w:rsid w:val="00D740EA"/>
    <w:rsid w:val="00D74214"/>
    <w:rsid w:val="00D743C0"/>
    <w:rsid w:val="00D74E3B"/>
    <w:rsid w:val="00D75E17"/>
    <w:rsid w:val="00D763F4"/>
    <w:rsid w:val="00D771C5"/>
    <w:rsid w:val="00D775B2"/>
    <w:rsid w:val="00D77937"/>
    <w:rsid w:val="00D80F15"/>
    <w:rsid w:val="00D81583"/>
    <w:rsid w:val="00D82223"/>
    <w:rsid w:val="00D833FB"/>
    <w:rsid w:val="00D83ADF"/>
    <w:rsid w:val="00D83B12"/>
    <w:rsid w:val="00D83E3D"/>
    <w:rsid w:val="00D84963"/>
    <w:rsid w:val="00D84BE9"/>
    <w:rsid w:val="00D85288"/>
    <w:rsid w:val="00D8743E"/>
    <w:rsid w:val="00D876BD"/>
    <w:rsid w:val="00D87950"/>
    <w:rsid w:val="00D87D2C"/>
    <w:rsid w:val="00D91861"/>
    <w:rsid w:val="00D9237D"/>
    <w:rsid w:val="00D9376E"/>
    <w:rsid w:val="00D93C93"/>
    <w:rsid w:val="00D951DB"/>
    <w:rsid w:val="00D9577F"/>
    <w:rsid w:val="00D95890"/>
    <w:rsid w:val="00D962D6"/>
    <w:rsid w:val="00D973B4"/>
    <w:rsid w:val="00D9789A"/>
    <w:rsid w:val="00D97D41"/>
    <w:rsid w:val="00DA09C7"/>
    <w:rsid w:val="00DA1C16"/>
    <w:rsid w:val="00DA217E"/>
    <w:rsid w:val="00DA223B"/>
    <w:rsid w:val="00DA27EA"/>
    <w:rsid w:val="00DA2F34"/>
    <w:rsid w:val="00DA3C2A"/>
    <w:rsid w:val="00DA4461"/>
    <w:rsid w:val="00DA45FD"/>
    <w:rsid w:val="00DA4822"/>
    <w:rsid w:val="00DA4ABA"/>
    <w:rsid w:val="00DA5471"/>
    <w:rsid w:val="00DA67CD"/>
    <w:rsid w:val="00DA7B4E"/>
    <w:rsid w:val="00DA7D4C"/>
    <w:rsid w:val="00DB043A"/>
    <w:rsid w:val="00DB3BDA"/>
    <w:rsid w:val="00DB4FC1"/>
    <w:rsid w:val="00DB56F8"/>
    <w:rsid w:val="00DB5732"/>
    <w:rsid w:val="00DB61DB"/>
    <w:rsid w:val="00DB716C"/>
    <w:rsid w:val="00DB7CAC"/>
    <w:rsid w:val="00DC09DE"/>
    <w:rsid w:val="00DC39F1"/>
    <w:rsid w:val="00DC4AA8"/>
    <w:rsid w:val="00DC51C7"/>
    <w:rsid w:val="00DC555A"/>
    <w:rsid w:val="00DC64A0"/>
    <w:rsid w:val="00DC68C2"/>
    <w:rsid w:val="00DC6BFD"/>
    <w:rsid w:val="00DC6C0A"/>
    <w:rsid w:val="00DD0303"/>
    <w:rsid w:val="00DD1E5C"/>
    <w:rsid w:val="00DD21FC"/>
    <w:rsid w:val="00DD23E0"/>
    <w:rsid w:val="00DD2431"/>
    <w:rsid w:val="00DD2598"/>
    <w:rsid w:val="00DD30BE"/>
    <w:rsid w:val="00DD377B"/>
    <w:rsid w:val="00DD3C89"/>
    <w:rsid w:val="00DD4915"/>
    <w:rsid w:val="00DD49C6"/>
    <w:rsid w:val="00DD4E83"/>
    <w:rsid w:val="00DD5ADF"/>
    <w:rsid w:val="00DD5AF5"/>
    <w:rsid w:val="00DD6AEB"/>
    <w:rsid w:val="00DD780D"/>
    <w:rsid w:val="00DE1266"/>
    <w:rsid w:val="00DE16BF"/>
    <w:rsid w:val="00DE1A58"/>
    <w:rsid w:val="00DE2196"/>
    <w:rsid w:val="00DE318D"/>
    <w:rsid w:val="00DE5284"/>
    <w:rsid w:val="00DE5643"/>
    <w:rsid w:val="00DE7BA0"/>
    <w:rsid w:val="00DF0449"/>
    <w:rsid w:val="00DF07C7"/>
    <w:rsid w:val="00DF0EC7"/>
    <w:rsid w:val="00DF16B3"/>
    <w:rsid w:val="00DF343B"/>
    <w:rsid w:val="00DF369F"/>
    <w:rsid w:val="00DF48C9"/>
    <w:rsid w:val="00DF4E4A"/>
    <w:rsid w:val="00DF5274"/>
    <w:rsid w:val="00DF547E"/>
    <w:rsid w:val="00DF5542"/>
    <w:rsid w:val="00DF71FC"/>
    <w:rsid w:val="00DF7635"/>
    <w:rsid w:val="00E008A3"/>
    <w:rsid w:val="00E00A37"/>
    <w:rsid w:val="00E01922"/>
    <w:rsid w:val="00E01D74"/>
    <w:rsid w:val="00E02577"/>
    <w:rsid w:val="00E02861"/>
    <w:rsid w:val="00E02A81"/>
    <w:rsid w:val="00E059E3"/>
    <w:rsid w:val="00E05A44"/>
    <w:rsid w:val="00E05D9E"/>
    <w:rsid w:val="00E06097"/>
    <w:rsid w:val="00E07190"/>
    <w:rsid w:val="00E07327"/>
    <w:rsid w:val="00E07542"/>
    <w:rsid w:val="00E07744"/>
    <w:rsid w:val="00E10436"/>
    <w:rsid w:val="00E10466"/>
    <w:rsid w:val="00E11909"/>
    <w:rsid w:val="00E13D53"/>
    <w:rsid w:val="00E14970"/>
    <w:rsid w:val="00E161D4"/>
    <w:rsid w:val="00E16F6E"/>
    <w:rsid w:val="00E1701A"/>
    <w:rsid w:val="00E201E6"/>
    <w:rsid w:val="00E2065A"/>
    <w:rsid w:val="00E22C62"/>
    <w:rsid w:val="00E22D04"/>
    <w:rsid w:val="00E232E2"/>
    <w:rsid w:val="00E24024"/>
    <w:rsid w:val="00E25723"/>
    <w:rsid w:val="00E258D3"/>
    <w:rsid w:val="00E2679C"/>
    <w:rsid w:val="00E26B04"/>
    <w:rsid w:val="00E300B4"/>
    <w:rsid w:val="00E3046D"/>
    <w:rsid w:val="00E30D20"/>
    <w:rsid w:val="00E3131C"/>
    <w:rsid w:val="00E31ED9"/>
    <w:rsid w:val="00E31FC8"/>
    <w:rsid w:val="00E32556"/>
    <w:rsid w:val="00E33867"/>
    <w:rsid w:val="00E34020"/>
    <w:rsid w:val="00E35990"/>
    <w:rsid w:val="00E3624D"/>
    <w:rsid w:val="00E36B11"/>
    <w:rsid w:val="00E37AF2"/>
    <w:rsid w:val="00E40500"/>
    <w:rsid w:val="00E40788"/>
    <w:rsid w:val="00E41DE0"/>
    <w:rsid w:val="00E42257"/>
    <w:rsid w:val="00E4251F"/>
    <w:rsid w:val="00E42D39"/>
    <w:rsid w:val="00E43D0F"/>
    <w:rsid w:val="00E47AAA"/>
    <w:rsid w:val="00E47D9F"/>
    <w:rsid w:val="00E47EED"/>
    <w:rsid w:val="00E5061D"/>
    <w:rsid w:val="00E50797"/>
    <w:rsid w:val="00E5281A"/>
    <w:rsid w:val="00E52A0C"/>
    <w:rsid w:val="00E537EA"/>
    <w:rsid w:val="00E54A32"/>
    <w:rsid w:val="00E55961"/>
    <w:rsid w:val="00E56331"/>
    <w:rsid w:val="00E566BA"/>
    <w:rsid w:val="00E57031"/>
    <w:rsid w:val="00E577A1"/>
    <w:rsid w:val="00E5781F"/>
    <w:rsid w:val="00E60298"/>
    <w:rsid w:val="00E60AF0"/>
    <w:rsid w:val="00E60BEF"/>
    <w:rsid w:val="00E612C3"/>
    <w:rsid w:val="00E62351"/>
    <w:rsid w:val="00E62F17"/>
    <w:rsid w:val="00E6370F"/>
    <w:rsid w:val="00E6390F"/>
    <w:rsid w:val="00E63CA1"/>
    <w:rsid w:val="00E64B6D"/>
    <w:rsid w:val="00E65240"/>
    <w:rsid w:val="00E658DE"/>
    <w:rsid w:val="00E66875"/>
    <w:rsid w:val="00E66D80"/>
    <w:rsid w:val="00E66EDB"/>
    <w:rsid w:val="00E67008"/>
    <w:rsid w:val="00E70C2D"/>
    <w:rsid w:val="00E71B76"/>
    <w:rsid w:val="00E71E06"/>
    <w:rsid w:val="00E724FF"/>
    <w:rsid w:val="00E73C90"/>
    <w:rsid w:val="00E7495B"/>
    <w:rsid w:val="00E74B30"/>
    <w:rsid w:val="00E74D40"/>
    <w:rsid w:val="00E756D3"/>
    <w:rsid w:val="00E80278"/>
    <w:rsid w:val="00E80BDD"/>
    <w:rsid w:val="00E8162F"/>
    <w:rsid w:val="00E848CB"/>
    <w:rsid w:val="00E8740C"/>
    <w:rsid w:val="00E90BD0"/>
    <w:rsid w:val="00E913E6"/>
    <w:rsid w:val="00E9151C"/>
    <w:rsid w:val="00E922B8"/>
    <w:rsid w:val="00E9284A"/>
    <w:rsid w:val="00E93716"/>
    <w:rsid w:val="00E94EAE"/>
    <w:rsid w:val="00E951A5"/>
    <w:rsid w:val="00E95B7B"/>
    <w:rsid w:val="00E971B8"/>
    <w:rsid w:val="00E97411"/>
    <w:rsid w:val="00E975E1"/>
    <w:rsid w:val="00EA0243"/>
    <w:rsid w:val="00EA029E"/>
    <w:rsid w:val="00EA0C38"/>
    <w:rsid w:val="00EA0D7E"/>
    <w:rsid w:val="00EA1AEF"/>
    <w:rsid w:val="00EA1BF0"/>
    <w:rsid w:val="00EA28A7"/>
    <w:rsid w:val="00EA31E7"/>
    <w:rsid w:val="00EA445F"/>
    <w:rsid w:val="00EA589C"/>
    <w:rsid w:val="00EA58CD"/>
    <w:rsid w:val="00EA5C0A"/>
    <w:rsid w:val="00EA5C6C"/>
    <w:rsid w:val="00EA6DB6"/>
    <w:rsid w:val="00EA6E64"/>
    <w:rsid w:val="00EA7E66"/>
    <w:rsid w:val="00EB0AEF"/>
    <w:rsid w:val="00EB13A9"/>
    <w:rsid w:val="00EB14CD"/>
    <w:rsid w:val="00EB1C03"/>
    <w:rsid w:val="00EB426A"/>
    <w:rsid w:val="00EB443E"/>
    <w:rsid w:val="00EB4F72"/>
    <w:rsid w:val="00EB51E9"/>
    <w:rsid w:val="00EB57B9"/>
    <w:rsid w:val="00EB5F95"/>
    <w:rsid w:val="00EB731B"/>
    <w:rsid w:val="00EC0029"/>
    <w:rsid w:val="00EC01B6"/>
    <w:rsid w:val="00EC1391"/>
    <w:rsid w:val="00EC1563"/>
    <w:rsid w:val="00EC1A9A"/>
    <w:rsid w:val="00EC1CA6"/>
    <w:rsid w:val="00EC1EBE"/>
    <w:rsid w:val="00EC28BA"/>
    <w:rsid w:val="00EC2E54"/>
    <w:rsid w:val="00EC761D"/>
    <w:rsid w:val="00ED0AB2"/>
    <w:rsid w:val="00ED0D3D"/>
    <w:rsid w:val="00ED2592"/>
    <w:rsid w:val="00ED336E"/>
    <w:rsid w:val="00ED36E4"/>
    <w:rsid w:val="00ED51AE"/>
    <w:rsid w:val="00ED544A"/>
    <w:rsid w:val="00ED56A3"/>
    <w:rsid w:val="00ED5EB8"/>
    <w:rsid w:val="00ED6492"/>
    <w:rsid w:val="00ED6919"/>
    <w:rsid w:val="00ED6A15"/>
    <w:rsid w:val="00ED7760"/>
    <w:rsid w:val="00EE0307"/>
    <w:rsid w:val="00EE0372"/>
    <w:rsid w:val="00EE145F"/>
    <w:rsid w:val="00EE17F7"/>
    <w:rsid w:val="00EE339F"/>
    <w:rsid w:val="00EE3ED0"/>
    <w:rsid w:val="00EE4D99"/>
    <w:rsid w:val="00EE54F4"/>
    <w:rsid w:val="00EE5C29"/>
    <w:rsid w:val="00EE5C4C"/>
    <w:rsid w:val="00EE6297"/>
    <w:rsid w:val="00EE72AC"/>
    <w:rsid w:val="00EE7BDE"/>
    <w:rsid w:val="00EF04C8"/>
    <w:rsid w:val="00EF0526"/>
    <w:rsid w:val="00EF10B6"/>
    <w:rsid w:val="00EF15FE"/>
    <w:rsid w:val="00EF1D66"/>
    <w:rsid w:val="00EF21FC"/>
    <w:rsid w:val="00EF2513"/>
    <w:rsid w:val="00EF286D"/>
    <w:rsid w:val="00EF3554"/>
    <w:rsid w:val="00EF3DE5"/>
    <w:rsid w:val="00EF47DD"/>
    <w:rsid w:val="00EF5092"/>
    <w:rsid w:val="00EF67DD"/>
    <w:rsid w:val="00F030CE"/>
    <w:rsid w:val="00F04C58"/>
    <w:rsid w:val="00F04CB0"/>
    <w:rsid w:val="00F05157"/>
    <w:rsid w:val="00F05E6D"/>
    <w:rsid w:val="00F076A6"/>
    <w:rsid w:val="00F103CD"/>
    <w:rsid w:val="00F10D2D"/>
    <w:rsid w:val="00F10F99"/>
    <w:rsid w:val="00F1143E"/>
    <w:rsid w:val="00F1283C"/>
    <w:rsid w:val="00F1340A"/>
    <w:rsid w:val="00F13841"/>
    <w:rsid w:val="00F13940"/>
    <w:rsid w:val="00F15D74"/>
    <w:rsid w:val="00F16560"/>
    <w:rsid w:val="00F16733"/>
    <w:rsid w:val="00F172D5"/>
    <w:rsid w:val="00F17CF4"/>
    <w:rsid w:val="00F204D6"/>
    <w:rsid w:val="00F21061"/>
    <w:rsid w:val="00F21F1B"/>
    <w:rsid w:val="00F2201A"/>
    <w:rsid w:val="00F22107"/>
    <w:rsid w:val="00F241B6"/>
    <w:rsid w:val="00F25313"/>
    <w:rsid w:val="00F25DB3"/>
    <w:rsid w:val="00F2645D"/>
    <w:rsid w:val="00F2700A"/>
    <w:rsid w:val="00F302F9"/>
    <w:rsid w:val="00F30A11"/>
    <w:rsid w:val="00F318A0"/>
    <w:rsid w:val="00F31FF8"/>
    <w:rsid w:val="00F32151"/>
    <w:rsid w:val="00F32352"/>
    <w:rsid w:val="00F32514"/>
    <w:rsid w:val="00F33EE0"/>
    <w:rsid w:val="00F34ACD"/>
    <w:rsid w:val="00F35C7E"/>
    <w:rsid w:val="00F35CB8"/>
    <w:rsid w:val="00F35E77"/>
    <w:rsid w:val="00F3694B"/>
    <w:rsid w:val="00F37F70"/>
    <w:rsid w:val="00F419FB"/>
    <w:rsid w:val="00F42061"/>
    <w:rsid w:val="00F43C66"/>
    <w:rsid w:val="00F443A1"/>
    <w:rsid w:val="00F4549E"/>
    <w:rsid w:val="00F46787"/>
    <w:rsid w:val="00F4737A"/>
    <w:rsid w:val="00F47594"/>
    <w:rsid w:val="00F505AB"/>
    <w:rsid w:val="00F51F07"/>
    <w:rsid w:val="00F5240B"/>
    <w:rsid w:val="00F52664"/>
    <w:rsid w:val="00F52995"/>
    <w:rsid w:val="00F53080"/>
    <w:rsid w:val="00F538CC"/>
    <w:rsid w:val="00F53974"/>
    <w:rsid w:val="00F53CA5"/>
    <w:rsid w:val="00F54927"/>
    <w:rsid w:val="00F54AB6"/>
    <w:rsid w:val="00F55914"/>
    <w:rsid w:val="00F57A92"/>
    <w:rsid w:val="00F60549"/>
    <w:rsid w:val="00F606C3"/>
    <w:rsid w:val="00F6193B"/>
    <w:rsid w:val="00F61CBE"/>
    <w:rsid w:val="00F61FA2"/>
    <w:rsid w:val="00F631C0"/>
    <w:rsid w:val="00F6324C"/>
    <w:rsid w:val="00F64828"/>
    <w:rsid w:val="00F663D4"/>
    <w:rsid w:val="00F66692"/>
    <w:rsid w:val="00F66D48"/>
    <w:rsid w:val="00F67051"/>
    <w:rsid w:val="00F6753E"/>
    <w:rsid w:val="00F67A00"/>
    <w:rsid w:val="00F70182"/>
    <w:rsid w:val="00F704DC"/>
    <w:rsid w:val="00F708C8"/>
    <w:rsid w:val="00F70D54"/>
    <w:rsid w:val="00F716DB"/>
    <w:rsid w:val="00F718F2"/>
    <w:rsid w:val="00F732F5"/>
    <w:rsid w:val="00F73E1C"/>
    <w:rsid w:val="00F748CC"/>
    <w:rsid w:val="00F74CC7"/>
    <w:rsid w:val="00F751D9"/>
    <w:rsid w:val="00F75558"/>
    <w:rsid w:val="00F75851"/>
    <w:rsid w:val="00F75F5F"/>
    <w:rsid w:val="00F760B8"/>
    <w:rsid w:val="00F77706"/>
    <w:rsid w:val="00F77A6D"/>
    <w:rsid w:val="00F80758"/>
    <w:rsid w:val="00F80EBF"/>
    <w:rsid w:val="00F8105C"/>
    <w:rsid w:val="00F8106D"/>
    <w:rsid w:val="00F81128"/>
    <w:rsid w:val="00F82662"/>
    <w:rsid w:val="00F82B3E"/>
    <w:rsid w:val="00F82D84"/>
    <w:rsid w:val="00F82F12"/>
    <w:rsid w:val="00F82FFE"/>
    <w:rsid w:val="00F83706"/>
    <w:rsid w:val="00F845B6"/>
    <w:rsid w:val="00F846C8"/>
    <w:rsid w:val="00F85308"/>
    <w:rsid w:val="00F853C8"/>
    <w:rsid w:val="00F85732"/>
    <w:rsid w:val="00F85CF8"/>
    <w:rsid w:val="00F861F5"/>
    <w:rsid w:val="00F906FC"/>
    <w:rsid w:val="00F90E78"/>
    <w:rsid w:val="00F93146"/>
    <w:rsid w:val="00F93F20"/>
    <w:rsid w:val="00F94E5B"/>
    <w:rsid w:val="00F96FD2"/>
    <w:rsid w:val="00F97579"/>
    <w:rsid w:val="00F97616"/>
    <w:rsid w:val="00F97DED"/>
    <w:rsid w:val="00FA12D0"/>
    <w:rsid w:val="00FA29BD"/>
    <w:rsid w:val="00FA38D3"/>
    <w:rsid w:val="00FA4B30"/>
    <w:rsid w:val="00FA5399"/>
    <w:rsid w:val="00FA5515"/>
    <w:rsid w:val="00FA586F"/>
    <w:rsid w:val="00FA63CD"/>
    <w:rsid w:val="00FA6ADB"/>
    <w:rsid w:val="00FA6C4D"/>
    <w:rsid w:val="00FA6D3B"/>
    <w:rsid w:val="00FA706C"/>
    <w:rsid w:val="00FA7603"/>
    <w:rsid w:val="00FA7880"/>
    <w:rsid w:val="00FA799E"/>
    <w:rsid w:val="00FB0AE1"/>
    <w:rsid w:val="00FB303E"/>
    <w:rsid w:val="00FB3106"/>
    <w:rsid w:val="00FB42BB"/>
    <w:rsid w:val="00FB4A24"/>
    <w:rsid w:val="00FB4D4C"/>
    <w:rsid w:val="00FB54FC"/>
    <w:rsid w:val="00FB5536"/>
    <w:rsid w:val="00FB56BD"/>
    <w:rsid w:val="00FB57AA"/>
    <w:rsid w:val="00FB5AAB"/>
    <w:rsid w:val="00FB6A0D"/>
    <w:rsid w:val="00FB7288"/>
    <w:rsid w:val="00FB7B73"/>
    <w:rsid w:val="00FC0083"/>
    <w:rsid w:val="00FC0CC4"/>
    <w:rsid w:val="00FC13F9"/>
    <w:rsid w:val="00FC1EB2"/>
    <w:rsid w:val="00FC3D46"/>
    <w:rsid w:val="00FC3EC7"/>
    <w:rsid w:val="00FC58EA"/>
    <w:rsid w:val="00FD0667"/>
    <w:rsid w:val="00FD0688"/>
    <w:rsid w:val="00FD06CC"/>
    <w:rsid w:val="00FD06CD"/>
    <w:rsid w:val="00FD0C96"/>
    <w:rsid w:val="00FD1844"/>
    <w:rsid w:val="00FD1E77"/>
    <w:rsid w:val="00FD2974"/>
    <w:rsid w:val="00FD2E2F"/>
    <w:rsid w:val="00FD37C9"/>
    <w:rsid w:val="00FD3A06"/>
    <w:rsid w:val="00FD4C17"/>
    <w:rsid w:val="00FD4FF2"/>
    <w:rsid w:val="00FD5994"/>
    <w:rsid w:val="00FD6455"/>
    <w:rsid w:val="00FD677D"/>
    <w:rsid w:val="00FD6901"/>
    <w:rsid w:val="00FD6E07"/>
    <w:rsid w:val="00FD70B2"/>
    <w:rsid w:val="00FE041D"/>
    <w:rsid w:val="00FE0923"/>
    <w:rsid w:val="00FE117F"/>
    <w:rsid w:val="00FE1CBC"/>
    <w:rsid w:val="00FE1F58"/>
    <w:rsid w:val="00FE269D"/>
    <w:rsid w:val="00FE31BB"/>
    <w:rsid w:val="00FE32E6"/>
    <w:rsid w:val="00FE5492"/>
    <w:rsid w:val="00FE57A8"/>
    <w:rsid w:val="00FE74E1"/>
    <w:rsid w:val="00FF0FE3"/>
    <w:rsid w:val="00FF1551"/>
    <w:rsid w:val="00FF2E65"/>
    <w:rsid w:val="00FF3FB5"/>
    <w:rsid w:val="00FF4441"/>
    <w:rsid w:val="00FF4D48"/>
    <w:rsid w:val="00FF4F66"/>
    <w:rsid w:val="00FF52C8"/>
    <w:rsid w:val="00FF545E"/>
    <w:rsid w:val="00FF7A54"/>
    <w:rsid w:val="0182392F"/>
    <w:rsid w:val="0193C72D"/>
    <w:rsid w:val="0214C5F0"/>
    <w:rsid w:val="02566F63"/>
    <w:rsid w:val="02AC6F15"/>
    <w:rsid w:val="02B11BDF"/>
    <w:rsid w:val="02BBF30B"/>
    <w:rsid w:val="02F0AF80"/>
    <w:rsid w:val="02FAEEE7"/>
    <w:rsid w:val="042358ED"/>
    <w:rsid w:val="048C8653"/>
    <w:rsid w:val="054746F5"/>
    <w:rsid w:val="0727F40B"/>
    <w:rsid w:val="0845D2B9"/>
    <w:rsid w:val="08E5EE57"/>
    <w:rsid w:val="08FE54B7"/>
    <w:rsid w:val="098CE1A4"/>
    <w:rsid w:val="0A098087"/>
    <w:rsid w:val="0A1D914D"/>
    <w:rsid w:val="0A551DBB"/>
    <w:rsid w:val="0AEE7B9A"/>
    <w:rsid w:val="0B2C1AC3"/>
    <w:rsid w:val="0B6F59C3"/>
    <w:rsid w:val="0C28120F"/>
    <w:rsid w:val="0C6362FF"/>
    <w:rsid w:val="0C8B6133"/>
    <w:rsid w:val="0CA075FB"/>
    <w:rsid w:val="0DAA51BF"/>
    <w:rsid w:val="0F714242"/>
    <w:rsid w:val="0FFF41C5"/>
    <w:rsid w:val="1127EC2A"/>
    <w:rsid w:val="11A21DB3"/>
    <w:rsid w:val="11CBDD97"/>
    <w:rsid w:val="122B9D31"/>
    <w:rsid w:val="12975314"/>
    <w:rsid w:val="1423D98F"/>
    <w:rsid w:val="1473B62D"/>
    <w:rsid w:val="14BE43EB"/>
    <w:rsid w:val="1524C6E0"/>
    <w:rsid w:val="15AF836E"/>
    <w:rsid w:val="167CFB41"/>
    <w:rsid w:val="17730C98"/>
    <w:rsid w:val="18C798CD"/>
    <w:rsid w:val="196BFF27"/>
    <w:rsid w:val="19CA2F12"/>
    <w:rsid w:val="19E42C0C"/>
    <w:rsid w:val="19FE2602"/>
    <w:rsid w:val="1BD2B804"/>
    <w:rsid w:val="1C911B9D"/>
    <w:rsid w:val="1CE631A0"/>
    <w:rsid w:val="1D3F93EF"/>
    <w:rsid w:val="1D44FC14"/>
    <w:rsid w:val="1D505107"/>
    <w:rsid w:val="1D7ACD29"/>
    <w:rsid w:val="1E2862AC"/>
    <w:rsid w:val="1E821E15"/>
    <w:rsid w:val="1EB6BB6B"/>
    <w:rsid w:val="1EEAFC4C"/>
    <w:rsid w:val="1F094474"/>
    <w:rsid w:val="1F22EDB2"/>
    <w:rsid w:val="20FFEBD8"/>
    <w:rsid w:val="2123A3D3"/>
    <w:rsid w:val="2151081B"/>
    <w:rsid w:val="216995FC"/>
    <w:rsid w:val="21FC28EF"/>
    <w:rsid w:val="22112E00"/>
    <w:rsid w:val="226A7236"/>
    <w:rsid w:val="23345682"/>
    <w:rsid w:val="23E1FAB9"/>
    <w:rsid w:val="249AF795"/>
    <w:rsid w:val="25236F9B"/>
    <w:rsid w:val="2543FBD5"/>
    <w:rsid w:val="25C97CF5"/>
    <w:rsid w:val="2636A6AD"/>
    <w:rsid w:val="269508A4"/>
    <w:rsid w:val="275B4809"/>
    <w:rsid w:val="2779D713"/>
    <w:rsid w:val="284D8D17"/>
    <w:rsid w:val="291532FC"/>
    <w:rsid w:val="298BC329"/>
    <w:rsid w:val="2990F0F9"/>
    <w:rsid w:val="29C023C0"/>
    <w:rsid w:val="2A43FF32"/>
    <w:rsid w:val="2B661C72"/>
    <w:rsid w:val="2BF662FE"/>
    <w:rsid w:val="2C3C17C0"/>
    <w:rsid w:val="2CA87110"/>
    <w:rsid w:val="2CEF512B"/>
    <w:rsid w:val="2D9ECDF5"/>
    <w:rsid w:val="2F0C90BA"/>
    <w:rsid w:val="2F59A276"/>
    <w:rsid w:val="2FE96252"/>
    <w:rsid w:val="3021C1B0"/>
    <w:rsid w:val="30C62050"/>
    <w:rsid w:val="320B01E2"/>
    <w:rsid w:val="329A5EAA"/>
    <w:rsid w:val="32BE9F1C"/>
    <w:rsid w:val="32D5F887"/>
    <w:rsid w:val="33505180"/>
    <w:rsid w:val="33A79362"/>
    <w:rsid w:val="34B8C8A9"/>
    <w:rsid w:val="34BD907C"/>
    <w:rsid w:val="354EA7A4"/>
    <w:rsid w:val="35F7EB6E"/>
    <w:rsid w:val="368A9156"/>
    <w:rsid w:val="37620030"/>
    <w:rsid w:val="37682976"/>
    <w:rsid w:val="38E3FAA1"/>
    <w:rsid w:val="398F48C5"/>
    <w:rsid w:val="3A239DF7"/>
    <w:rsid w:val="3A90903C"/>
    <w:rsid w:val="3ADFD126"/>
    <w:rsid w:val="3B08A3C2"/>
    <w:rsid w:val="3C9927AF"/>
    <w:rsid w:val="3CB7542A"/>
    <w:rsid w:val="3CCC7F49"/>
    <w:rsid w:val="3DD6D275"/>
    <w:rsid w:val="3DE1DA6D"/>
    <w:rsid w:val="3E347690"/>
    <w:rsid w:val="3E58FE91"/>
    <w:rsid w:val="3EB9EA58"/>
    <w:rsid w:val="3F7C2FD4"/>
    <w:rsid w:val="3F87DBBE"/>
    <w:rsid w:val="3FAA1B26"/>
    <w:rsid w:val="40028C2B"/>
    <w:rsid w:val="401F369A"/>
    <w:rsid w:val="408883F1"/>
    <w:rsid w:val="40B80B2B"/>
    <w:rsid w:val="410D337D"/>
    <w:rsid w:val="410F9C38"/>
    <w:rsid w:val="413814BF"/>
    <w:rsid w:val="42317CE7"/>
    <w:rsid w:val="4241A64F"/>
    <w:rsid w:val="429077D9"/>
    <w:rsid w:val="432ADC1F"/>
    <w:rsid w:val="435B9EC4"/>
    <w:rsid w:val="44D49E57"/>
    <w:rsid w:val="4503BE68"/>
    <w:rsid w:val="45828D8F"/>
    <w:rsid w:val="46166D9E"/>
    <w:rsid w:val="462BF35B"/>
    <w:rsid w:val="466CEB6D"/>
    <w:rsid w:val="466EF48A"/>
    <w:rsid w:val="46F161A2"/>
    <w:rsid w:val="470EEA52"/>
    <w:rsid w:val="47923EAD"/>
    <w:rsid w:val="484A1768"/>
    <w:rsid w:val="48745611"/>
    <w:rsid w:val="48C70679"/>
    <w:rsid w:val="496D986C"/>
    <w:rsid w:val="496DCF3A"/>
    <w:rsid w:val="497D1C89"/>
    <w:rsid w:val="49BA9D3C"/>
    <w:rsid w:val="4AA6A261"/>
    <w:rsid w:val="4B7238F3"/>
    <w:rsid w:val="4C0088DF"/>
    <w:rsid w:val="4C5D8F40"/>
    <w:rsid w:val="4CF88F65"/>
    <w:rsid w:val="4E98B462"/>
    <w:rsid w:val="4F0B12FA"/>
    <w:rsid w:val="4F124E73"/>
    <w:rsid w:val="4F4600E3"/>
    <w:rsid w:val="4F6E07C7"/>
    <w:rsid w:val="5092BFAF"/>
    <w:rsid w:val="51089E59"/>
    <w:rsid w:val="5139EC49"/>
    <w:rsid w:val="518E2E26"/>
    <w:rsid w:val="5329D52A"/>
    <w:rsid w:val="538FE727"/>
    <w:rsid w:val="53C3BCDD"/>
    <w:rsid w:val="53CDCCB2"/>
    <w:rsid w:val="54D89D2C"/>
    <w:rsid w:val="5527D705"/>
    <w:rsid w:val="5607DD55"/>
    <w:rsid w:val="562876C9"/>
    <w:rsid w:val="56DDF09D"/>
    <w:rsid w:val="56DE60B6"/>
    <w:rsid w:val="5767575E"/>
    <w:rsid w:val="57D5E872"/>
    <w:rsid w:val="57DE9EF0"/>
    <w:rsid w:val="580012AD"/>
    <w:rsid w:val="58A77BC5"/>
    <w:rsid w:val="58CAE76F"/>
    <w:rsid w:val="5953EE1B"/>
    <w:rsid w:val="596D6A4D"/>
    <w:rsid w:val="59723486"/>
    <w:rsid w:val="597B8099"/>
    <w:rsid w:val="59854008"/>
    <w:rsid w:val="598C0773"/>
    <w:rsid w:val="59D703B5"/>
    <w:rsid w:val="5A2AC7F5"/>
    <w:rsid w:val="5C4E396B"/>
    <w:rsid w:val="5CB8074C"/>
    <w:rsid w:val="5CE9E30E"/>
    <w:rsid w:val="5D3EB67B"/>
    <w:rsid w:val="5E5ABFBB"/>
    <w:rsid w:val="5E5EEFB5"/>
    <w:rsid w:val="5E93C52A"/>
    <w:rsid w:val="5ECBEE00"/>
    <w:rsid w:val="5F64DC72"/>
    <w:rsid w:val="5F8870A9"/>
    <w:rsid w:val="602DABDE"/>
    <w:rsid w:val="60D67C5B"/>
    <w:rsid w:val="616B8884"/>
    <w:rsid w:val="6185DDA0"/>
    <w:rsid w:val="622A6C89"/>
    <w:rsid w:val="629F69C7"/>
    <w:rsid w:val="6420FABB"/>
    <w:rsid w:val="652E1763"/>
    <w:rsid w:val="65423231"/>
    <w:rsid w:val="6584D03F"/>
    <w:rsid w:val="65E9876F"/>
    <w:rsid w:val="66589343"/>
    <w:rsid w:val="678242B0"/>
    <w:rsid w:val="67E497FB"/>
    <w:rsid w:val="687148A9"/>
    <w:rsid w:val="68F28B61"/>
    <w:rsid w:val="695734A9"/>
    <w:rsid w:val="695C90D1"/>
    <w:rsid w:val="699EDDA9"/>
    <w:rsid w:val="69BD6329"/>
    <w:rsid w:val="6A09FEE2"/>
    <w:rsid w:val="6A34496F"/>
    <w:rsid w:val="6AAC748D"/>
    <w:rsid w:val="6B469405"/>
    <w:rsid w:val="6B90950A"/>
    <w:rsid w:val="6B9ACBE5"/>
    <w:rsid w:val="6BFA73D3"/>
    <w:rsid w:val="6C35C8E7"/>
    <w:rsid w:val="6C7A7904"/>
    <w:rsid w:val="6D1BEDFA"/>
    <w:rsid w:val="6D7D82CA"/>
    <w:rsid w:val="6E1926C6"/>
    <w:rsid w:val="6E237869"/>
    <w:rsid w:val="6F8E24C3"/>
    <w:rsid w:val="6FBB27FF"/>
    <w:rsid w:val="6FF67D67"/>
    <w:rsid w:val="7007187C"/>
    <w:rsid w:val="709E45CB"/>
    <w:rsid w:val="70E9DF68"/>
    <w:rsid w:val="717B4F7F"/>
    <w:rsid w:val="71C499D8"/>
    <w:rsid w:val="71EC6E7B"/>
    <w:rsid w:val="72C79798"/>
    <w:rsid w:val="730ACCA9"/>
    <w:rsid w:val="7325BE37"/>
    <w:rsid w:val="734358D9"/>
    <w:rsid w:val="7349098B"/>
    <w:rsid w:val="74247F04"/>
    <w:rsid w:val="74A5545D"/>
    <w:rsid w:val="7529C55E"/>
    <w:rsid w:val="75730D2E"/>
    <w:rsid w:val="76585DC2"/>
    <w:rsid w:val="76B46670"/>
    <w:rsid w:val="77CC907A"/>
    <w:rsid w:val="795DFD45"/>
    <w:rsid w:val="7971C4CE"/>
    <w:rsid w:val="79B07E8E"/>
    <w:rsid w:val="79C5BD88"/>
    <w:rsid w:val="7A82D13D"/>
    <w:rsid w:val="7B165062"/>
    <w:rsid w:val="7B2155C1"/>
    <w:rsid w:val="7CA8E388"/>
    <w:rsid w:val="7CD4A099"/>
    <w:rsid w:val="7D234DD1"/>
    <w:rsid w:val="7D3A7428"/>
    <w:rsid w:val="7E25E879"/>
    <w:rsid w:val="7E78A0D2"/>
    <w:rsid w:val="7EB5F536"/>
    <w:rsid w:val="7EC4BD59"/>
    <w:rsid w:val="7ED350AA"/>
    <w:rsid w:val="7F144FF0"/>
    <w:rsid w:val="7F83BF2B"/>
    <w:rsid w:val="7FF34DFE"/>
    <w:rsid w:val="7FF907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2B6E"/>
  <w15:docId w15:val="{95320634-7118-44B1-AD0D-CA33A330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566BA"/>
    <w:pPr>
      <w:spacing w:before="240" w:after="240" w:line="360" w:lineRule="auto"/>
    </w:pPr>
  </w:style>
  <w:style w:type="paragraph" w:styleId="Heading1">
    <w:name w:val="heading 1"/>
    <w:basedOn w:val="Normal"/>
    <w:next w:val="BodyText"/>
    <w:link w:val="Heading1Char"/>
    <w:uiPriority w:val="1"/>
    <w:qFormat/>
    <w:rsid w:val="00BD6CCE"/>
    <w:pPr>
      <w:keepNext/>
      <w:keepLines/>
      <w:spacing w:after="360" w:line="680" w:lineRule="atLeast"/>
      <w:outlineLvl w:val="0"/>
    </w:pPr>
    <w:rPr>
      <w:rFonts w:ascii="VAG Rounded" w:eastAsiaTheme="majorEastAsia" w:hAnsi="VAG Rounded" w:cstheme="majorBidi"/>
      <w:b/>
      <w:color w:val="005496" w:themeColor="text2"/>
      <w:spacing w:val="14"/>
      <w:sz w:val="56"/>
      <w:szCs w:val="32"/>
    </w:rPr>
  </w:style>
  <w:style w:type="paragraph" w:styleId="Heading2">
    <w:name w:val="heading 2"/>
    <w:basedOn w:val="Normal"/>
    <w:next w:val="Normal"/>
    <w:link w:val="Heading2Char"/>
    <w:uiPriority w:val="9"/>
    <w:qFormat/>
    <w:rsid w:val="008400F3"/>
    <w:pPr>
      <w:keepNext/>
      <w:keepLines/>
      <w:spacing w:after="0"/>
      <w:outlineLvl w:val="1"/>
    </w:pPr>
    <w:rPr>
      <w:rFonts w:ascii="VAG Rounded" w:eastAsia="Times New Roman" w:hAnsi="VAG Rounded" w:cs="Times New Roman"/>
      <w:b/>
      <w:color w:val="005496"/>
      <w:sz w:val="52"/>
      <w:szCs w:val="26"/>
    </w:rPr>
  </w:style>
  <w:style w:type="paragraph" w:styleId="Heading3">
    <w:name w:val="heading 3"/>
    <w:basedOn w:val="Normal"/>
    <w:next w:val="Normal"/>
    <w:link w:val="Heading3Char"/>
    <w:uiPriority w:val="1"/>
    <w:qFormat/>
    <w:rsid w:val="00897833"/>
    <w:pPr>
      <w:keepNext/>
      <w:keepLines/>
      <w:spacing w:before="0"/>
      <w:outlineLvl w:val="2"/>
    </w:pPr>
    <w:rPr>
      <w:rFonts w:ascii="VAG Rounded" w:eastAsia="Times New Roman" w:hAnsi="VAG Rounded" w:cs="Times New Roman"/>
      <w:b/>
      <w:color w:val="00884F"/>
      <w:sz w:val="32"/>
      <w:szCs w:val="32"/>
    </w:rPr>
  </w:style>
  <w:style w:type="paragraph" w:styleId="Heading4">
    <w:name w:val="heading 4"/>
    <w:basedOn w:val="Normal"/>
    <w:next w:val="Normal"/>
    <w:link w:val="Heading4Char"/>
    <w:uiPriority w:val="1"/>
    <w:qFormat/>
    <w:rsid w:val="00897833"/>
    <w:pPr>
      <w:keepNext/>
      <w:keepLines/>
      <w:outlineLvl w:val="3"/>
    </w:pPr>
    <w:rPr>
      <w:rFonts w:ascii="Arial" w:eastAsia="Times New Roman" w:hAnsi="Arial" w:cs="Times New Roman"/>
      <w:b/>
      <w:iCs/>
      <w:color w:val="005496"/>
      <w:sz w:val="28"/>
    </w:rPr>
  </w:style>
  <w:style w:type="paragraph" w:styleId="Heading5">
    <w:name w:val="heading 5"/>
    <w:basedOn w:val="Normal"/>
    <w:next w:val="Normal"/>
    <w:link w:val="Heading5Char"/>
    <w:uiPriority w:val="1"/>
    <w:qFormat/>
    <w:rsid w:val="00897833"/>
    <w:pPr>
      <w:keepNext/>
      <w:keepLines/>
      <w:spacing w:before="40" w:after="0"/>
      <w:outlineLvl w:val="4"/>
    </w:pPr>
    <w:rPr>
      <w:rFonts w:ascii="Arial" w:eastAsia="Times New Roman" w:hAnsi="Arial" w:cs="Times New Roman"/>
      <w:b/>
      <w:color w:val="005496"/>
    </w:rPr>
  </w:style>
  <w:style w:type="paragraph" w:styleId="Heading6">
    <w:name w:val="heading 6"/>
    <w:basedOn w:val="Normal"/>
    <w:next w:val="Normal"/>
    <w:link w:val="Heading6Char"/>
    <w:uiPriority w:val="4"/>
    <w:unhideWhenUsed/>
    <w:qFormat/>
    <w:rsid w:val="005334ED"/>
    <w:pPr>
      <w:keepNext/>
      <w:keepLines/>
      <w:spacing w:before="40" w:after="0"/>
      <w:outlineLvl w:val="5"/>
    </w:pPr>
    <w:rPr>
      <w:rFonts w:asciiTheme="majorHAnsi" w:eastAsiaTheme="majorEastAsia" w:hAnsiTheme="majorHAnsi" w:cstheme="majorBidi"/>
      <w:color w:val="00294A" w:themeColor="accent1" w:themeShade="7F"/>
    </w:rPr>
  </w:style>
  <w:style w:type="paragraph" w:styleId="Heading7">
    <w:name w:val="heading 7"/>
    <w:basedOn w:val="Normal"/>
    <w:next w:val="Normal"/>
    <w:link w:val="Heading7Char"/>
    <w:uiPriority w:val="4"/>
    <w:unhideWhenUsed/>
    <w:qFormat/>
    <w:rsid w:val="00EC1391"/>
    <w:pPr>
      <w:keepNext/>
      <w:keepLines/>
      <w:spacing w:before="40" w:after="0"/>
      <w:outlineLvl w:val="6"/>
    </w:pPr>
    <w:rPr>
      <w:rFonts w:asciiTheme="majorHAnsi" w:eastAsiaTheme="majorEastAsia" w:hAnsiTheme="majorHAnsi" w:cstheme="majorBidi"/>
      <w:i/>
      <w:iCs/>
      <w:color w:val="00294A"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6CCE"/>
    <w:rPr>
      <w:rFonts w:ascii="VAG Rounded" w:eastAsiaTheme="majorEastAsia" w:hAnsi="VAG Rounded" w:cstheme="majorBidi"/>
      <w:b/>
      <w:color w:val="005496" w:themeColor="text2"/>
      <w:spacing w:val="14"/>
      <w:sz w:val="56"/>
      <w:szCs w:val="32"/>
    </w:rPr>
  </w:style>
  <w:style w:type="paragraph" w:customStyle="1" w:styleId="PWDAContacts">
    <w:name w:val="PWDA Contacts"/>
    <w:uiPriority w:val="5"/>
    <w:qFormat/>
    <w:rsid w:val="00FD4C17"/>
    <w:pPr>
      <w:spacing w:before="80" w:after="0" w:line="240" w:lineRule="atLeast"/>
    </w:pPr>
    <w:rPr>
      <w:sz w:val="20"/>
    </w:rPr>
  </w:style>
  <w:style w:type="character" w:customStyle="1" w:styleId="PWDAContactsHeading">
    <w:name w:val="PWDA Contacts Heading"/>
    <w:basedOn w:val="DefaultParagraphFont"/>
    <w:uiPriority w:val="5"/>
    <w:qFormat/>
    <w:rsid w:val="00FD4C17"/>
    <w:rPr>
      <w:b/>
      <w:color w:val="005496" w:themeColor="text2"/>
    </w:rPr>
  </w:style>
  <w:style w:type="paragraph" w:styleId="Header">
    <w:name w:val="header"/>
    <w:basedOn w:val="Normal"/>
    <w:link w:val="HeaderChar"/>
    <w:uiPriority w:val="99"/>
    <w:unhideWhenUsed/>
    <w:rsid w:val="00F12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83C"/>
    <w:rPr>
      <w:sz w:val="24"/>
    </w:rPr>
  </w:style>
  <w:style w:type="paragraph" w:styleId="Footer">
    <w:name w:val="footer"/>
    <w:basedOn w:val="Normal"/>
    <w:link w:val="FooterChar"/>
    <w:uiPriority w:val="99"/>
    <w:unhideWhenUsed/>
    <w:rsid w:val="00F75851"/>
    <w:pPr>
      <w:tabs>
        <w:tab w:val="center" w:pos="4680"/>
        <w:tab w:val="right" w:pos="9360"/>
      </w:tabs>
      <w:spacing w:after="0" w:line="240" w:lineRule="auto"/>
    </w:pPr>
    <w:rPr>
      <w:rFonts w:ascii="VAG Rounded" w:hAnsi="VAG Rounded"/>
      <w:color w:val="005496" w:themeColor="accent1"/>
    </w:rPr>
  </w:style>
  <w:style w:type="character" w:customStyle="1" w:styleId="FooterChar">
    <w:name w:val="Footer Char"/>
    <w:basedOn w:val="DefaultParagraphFont"/>
    <w:link w:val="Footer"/>
    <w:uiPriority w:val="99"/>
    <w:rsid w:val="00F75851"/>
    <w:rPr>
      <w:rFonts w:ascii="VAG Rounded" w:hAnsi="VAG Rounded"/>
      <w:color w:val="005496" w:themeColor="accent1"/>
    </w:rPr>
  </w:style>
  <w:style w:type="paragraph" w:styleId="TOC1">
    <w:name w:val="toc 1"/>
    <w:basedOn w:val="Normal"/>
    <w:next w:val="Normal"/>
    <w:autoRedefine/>
    <w:uiPriority w:val="39"/>
    <w:rsid w:val="00AA2ECD"/>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qFormat/>
    <w:rsid w:val="000D525D"/>
    <w:rPr>
      <w:b w:val="0"/>
      <w:i w:val="0"/>
      <w:color w:val="005496"/>
      <w:u w:val="single"/>
    </w:rPr>
  </w:style>
  <w:style w:type="paragraph" w:styleId="TOCHeading">
    <w:name w:val="TOC Heading"/>
    <w:basedOn w:val="Heading2"/>
    <w:next w:val="Normal"/>
    <w:uiPriority w:val="39"/>
    <w:qFormat/>
    <w:rsid w:val="008400F3"/>
    <w:pPr>
      <w:spacing w:after="240"/>
      <w:outlineLvl w:val="9"/>
    </w:pPr>
    <w:rPr>
      <w:color w:val="005496" w:themeColor="text2"/>
      <w:lang w:val="en-US"/>
    </w:rPr>
  </w:style>
  <w:style w:type="character" w:customStyle="1" w:styleId="Heading2Char">
    <w:name w:val="Heading 2 Char"/>
    <w:basedOn w:val="DefaultParagraphFont"/>
    <w:link w:val="Heading2"/>
    <w:uiPriority w:val="9"/>
    <w:rsid w:val="008400F3"/>
    <w:rPr>
      <w:rFonts w:ascii="VAG Rounded" w:eastAsia="Times New Roman" w:hAnsi="VAG Rounded" w:cs="Times New Roman"/>
      <w:b/>
      <w:color w:val="005496"/>
      <w:sz w:val="52"/>
      <w:szCs w:val="26"/>
    </w:rPr>
  </w:style>
  <w:style w:type="character" w:customStyle="1" w:styleId="Heading3Char">
    <w:name w:val="Heading 3 Char"/>
    <w:basedOn w:val="DefaultParagraphFont"/>
    <w:link w:val="Heading3"/>
    <w:uiPriority w:val="1"/>
    <w:rsid w:val="005B4E1A"/>
    <w:rPr>
      <w:rFonts w:ascii="VAG Rounded" w:eastAsia="Times New Roman" w:hAnsi="VAG Rounded" w:cs="Times New Roman"/>
      <w:b/>
      <w:color w:val="00884F"/>
      <w:sz w:val="32"/>
      <w:szCs w:val="32"/>
    </w:rPr>
  </w:style>
  <w:style w:type="paragraph" w:customStyle="1" w:styleId="TableGap">
    <w:name w:val="Table Gap"/>
    <w:basedOn w:val="Normal"/>
    <w:uiPriority w:val="5"/>
    <w:qFormat/>
    <w:rsid w:val="001A67EB"/>
    <w:pPr>
      <w:spacing w:after="0" w:line="240" w:lineRule="auto"/>
    </w:pPr>
    <w:rPr>
      <w:sz w:val="6"/>
    </w:rPr>
  </w:style>
  <w:style w:type="paragraph" w:customStyle="1" w:styleId="Bullet1">
    <w:name w:val="Bullet 1"/>
    <w:uiPriority w:val="1"/>
    <w:semiHidden/>
    <w:rsid w:val="00FC0083"/>
    <w:pPr>
      <w:ind w:left="720" w:hanging="360"/>
    </w:pPr>
  </w:style>
  <w:style w:type="paragraph" w:styleId="ListParagraph">
    <w:name w:val="List Paragraph"/>
    <w:aliases w:val="Numbered List"/>
    <w:basedOn w:val="Normal"/>
    <w:link w:val="ListParagraphChar"/>
    <w:uiPriority w:val="34"/>
    <w:qFormat/>
    <w:rsid w:val="00DA2F34"/>
    <w:pPr>
      <w:numPr>
        <w:numId w:val="4"/>
      </w:numPr>
    </w:pPr>
    <w:rPr>
      <w:rFonts w:ascii="Arial" w:eastAsia="Arial" w:hAnsi="Arial" w:cs="Times New Roman"/>
      <w:lang w:val="en-US"/>
    </w:rPr>
  </w:style>
  <w:style w:type="numbering" w:customStyle="1" w:styleId="PWDABullets">
    <w:name w:val="PWDA_Bullets"/>
    <w:uiPriority w:val="99"/>
    <w:rsid w:val="001234CE"/>
    <w:pPr>
      <w:numPr>
        <w:numId w:val="1"/>
      </w:numPr>
    </w:pPr>
  </w:style>
  <w:style w:type="paragraph" w:customStyle="1" w:styleId="NumberedMultiList">
    <w:name w:val="Numbered Multi List"/>
    <w:basedOn w:val="Normal"/>
    <w:uiPriority w:val="1"/>
    <w:unhideWhenUsed/>
    <w:qFormat/>
    <w:rsid w:val="00C02BFC"/>
    <w:pPr>
      <w:numPr>
        <w:numId w:val="2"/>
      </w:numPr>
    </w:pPr>
  </w:style>
  <w:style w:type="numbering" w:customStyle="1" w:styleId="PWDANumbered">
    <w:name w:val="PWDA_Numbered"/>
    <w:uiPriority w:val="99"/>
    <w:rsid w:val="00C02BFC"/>
    <w:pPr>
      <w:numPr>
        <w:numId w:val="2"/>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rsid w:val="00E6370F"/>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qFormat/>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5B4E1A"/>
    <w:rPr>
      <w:rFonts w:ascii="Arial" w:eastAsia="Times New Roman" w:hAnsi="Arial" w:cs="Times New Roman"/>
      <w:b/>
      <w:iCs/>
      <w:color w:val="005496"/>
      <w:sz w:val="28"/>
    </w:rPr>
  </w:style>
  <w:style w:type="paragraph" w:styleId="Caption">
    <w:name w:val="caption"/>
    <w:basedOn w:val="Normal"/>
    <w:next w:val="Normal"/>
    <w:uiPriority w:val="35"/>
    <w:unhideWhenUsed/>
    <w:qFormat/>
    <w:rsid w:val="00637733"/>
    <w:pPr>
      <w:keepNext/>
      <w:spacing w:after="200" w:line="240" w:lineRule="auto"/>
    </w:pPr>
    <w:rPr>
      <w:b/>
      <w:iCs/>
      <w:color w:val="005496" w:themeColor="text2"/>
      <w:sz w:val="20"/>
      <w:szCs w:val="18"/>
    </w:rPr>
  </w:style>
  <w:style w:type="paragraph" w:styleId="BalloonText">
    <w:name w:val="Balloon Text"/>
    <w:basedOn w:val="Normal"/>
    <w:link w:val="BalloonTextChar"/>
    <w:uiPriority w:val="99"/>
    <w:semiHidden/>
    <w:unhideWhenUsed/>
    <w:rsid w:val="00A84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DB6"/>
    <w:rPr>
      <w:rFonts w:ascii="Tahoma" w:hAnsi="Tahoma" w:cs="Tahoma"/>
      <w:sz w:val="16"/>
      <w:szCs w:val="16"/>
    </w:rPr>
  </w:style>
  <w:style w:type="paragraph" w:styleId="BodyText">
    <w:name w:val="Body Text"/>
    <w:basedOn w:val="Normal"/>
    <w:link w:val="BodyTextChar"/>
    <w:qFormat/>
    <w:rsid w:val="00897833"/>
    <w:rPr>
      <w:rFonts w:ascii="Arial" w:eastAsia="Arial" w:hAnsi="Arial" w:cs="Arial"/>
      <w:color w:val="000000"/>
      <w:lang w:val="en-US"/>
    </w:rPr>
  </w:style>
  <w:style w:type="character" w:customStyle="1" w:styleId="BodyTextChar">
    <w:name w:val="Body Text Char"/>
    <w:basedOn w:val="DefaultParagraphFont"/>
    <w:link w:val="BodyText"/>
    <w:rsid w:val="00897833"/>
    <w:rPr>
      <w:rFonts w:ascii="Arial" w:eastAsia="Arial" w:hAnsi="Arial" w:cs="Arial"/>
      <w:color w:val="000000"/>
      <w:lang w:val="en-US"/>
    </w:rPr>
  </w:style>
  <w:style w:type="paragraph" w:customStyle="1" w:styleId="TableParagraph">
    <w:name w:val="Table Paragraph"/>
    <w:basedOn w:val="Normal"/>
    <w:uiPriority w:val="14"/>
    <w:qFormat/>
    <w:rsid w:val="007914D2"/>
    <w:pPr>
      <w:widowControl w:val="0"/>
      <w:autoSpaceDE w:val="0"/>
      <w:autoSpaceDN w:val="0"/>
      <w:adjustRightInd w:val="0"/>
      <w:spacing w:after="0" w:line="240" w:lineRule="auto"/>
    </w:pPr>
    <w:rPr>
      <w:rFonts w:ascii="Times New Roman" w:eastAsiaTheme="minorEastAsia" w:hAnsi="Times New Roman" w:cs="Times New Roman"/>
      <w:lang w:eastAsia="en-AU"/>
    </w:rPr>
  </w:style>
  <w:style w:type="character" w:styleId="CommentReference">
    <w:name w:val="annotation reference"/>
    <w:basedOn w:val="DefaultParagraphFont"/>
    <w:uiPriority w:val="99"/>
    <w:semiHidden/>
    <w:unhideWhenUsed/>
    <w:rsid w:val="00F6753E"/>
    <w:rPr>
      <w:sz w:val="16"/>
      <w:szCs w:val="16"/>
    </w:rPr>
  </w:style>
  <w:style w:type="paragraph" w:styleId="CommentText">
    <w:name w:val="annotation text"/>
    <w:basedOn w:val="Normal"/>
    <w:link w:val="CommentTextChar"/>
    <w:uiPriority w:val="99"/>
    <w:unhideWhenUsed/>
    <w:rsid w:val="00F6753E"/>
    <w:pPr>
      <w:spacing w:line="240" w:lineRule="auto"/>
    </w:pPr>
    <w:rPr>
      <w:sz w:val="20"/>
      <w:szCs w:val="20"/>
    </w:rPr>
  </w:style>
  <w:style w:type="character" w:customStyle="1" w:styleId="CommentTextChar">
    <w:name w:val="Comment Text Char"/>
    <w:basedOn w:val="DefaultParagraphFont"/>
    <w:link w:val="CommentText"/>
    <w:uiPriority w:val="99"/>
    <w:rsid w:val="00F6753E"/>
    <w:rPr>
      <w:sz w:val="20"/>
      <w:szCs w:val="20"/>
    </w:rPr>
  </w:style>
  <w:style w:type="paragraph" w:styleId="CommentSubject">
    <w:name w:val="annotation subject"/>
    <w:basedOn w:val="CommentText"/>
    <w:next w:val="CommentText"/>
    <w:link w:val="CommentSubjectChar"/>
    <w:uiPriority w:val="99"/>
    <w:semiHidden/>
    <w:unhideWhenUsed/>
    <w:rsid w:val="00F6753E"/>
    <w:rPr>
      <w:b/>
      <w:bCs/>
    </w:rPr>
  </w:style>
  <w:style w:type="character" w:customStyle="1" w:styleId="CommentSubjectChar">
    <w:name w:val="Comment Subject Char"/>
    <w:basedOn w:val="CommentTextChar"/>
    <w:link w:val="CommentSubject"/>
    <w:uiPriority w:val="99"/>
    <w:semiHidden/>
    <w:rsid w:val="00F6753E"/>
    <w:rPr>
      <w:b/>
      <w:bCs/>
      <w:sz w:val="20"/>
      <w:szCs w:val="20"/>
    </w:rPr>
  </w:style>
  <w:style w:type="character" w:customStyle="1" w:styleId="UnresolvedMention2">
    <w:name w:val="Unresolved Mention2"/>
    <w:basedOn w:val="DefaultParagraphFont"/>
    <w:uiPriority w:val="99"/>
    <w:semiHidden/>
    <w:unhideWhenUsed/>
    <w:rsid w:val="00403AA6"/>
    <w:rPr>
      <w:color w:val="605E5C"/>
      <w:shd w:val="clear" w:color="auto" w:fill="E1DFDD"/>
    </w:rPr>
  </w:style>
  <w:style w:type="paragraph" w:styleId="FootnoteText">
    <w:name w:val="footnote text"/>
    <w:basedOn w:val="Normal"/>
    <w:link w:val="FootnoteTextChar"/>
    <w:uiPriority w:val="99"/>
    <w:semiHidden/>
    <w:unhideWhenUsed/>
    <w:rsid w:val="00403AA6"/>
    <w:pPr>
      <w:spacing w:before="0"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403AA6"/>
    <w:rPr>
      <w:sz w:val="20"/>
      <w:szCs w:val="20"/>
    </w:rPr>
  </w:style>
  <w:style w:type="character" w:styleId="FootnoteReference">
    <w:name w:val="footnote reference"/>
    <w:basedOn w:val="DefaultParagraphFont"/>
    <w:uiPriority w:val="99"/>
    <w:semiHidden/>
    <w:unhideWhenUsed/>
    <w:rsid w:val="00403AA6"/>
    <w:rPr>
      <w:vertAlign w:val="superscript"/>
    </w:rPr>
  </w:style>
  <w:style w:type="paragraph" w:styleId="NormalWeb">
    <w:name w:val="Normal (Web)"/>
    <w:basedOn w:val="Normal"/>
    <w:uiPriority w:val="99"/>
    <w:unhideWhenUsed/>
    <w:rsid w:val="00130422"/>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577D64"/>
    <w:rPr>
      <w:b/>
      <w:bCs/>
    </w:rPr>
  </w:style>
  <w:style w:type="character" w:styleId="UnresolvedMention">
    <w:name w:val="Unresolved Mention"/>
    <w:basedOn w:val="DefaultParagraphFont"/>
    <w:uiPriority w:val="99"/>
    <w:semiHidden/>
    <w:unhideWhenUsed/>
    <w:rsid w:val="00123F5D"/>
    <w:rPr>
      <w:color w:val="605E5C"/>
      <w:shd w:val="clear" w:color="auto" w:fill="E1DFDD"/>
    </w:rPr>
  </w:style>
  <w:style w:type="paragraph" w:styleId="EndnoteText">
    <w:name w:val="endnote text"/>
    <w:basedOn w:val="Normal"/>
    <w:link w:val="EndnoteTextChar"/>
    <w:uiPriority w:val="99"/>
    <w:unhideWhenUsed/>
    <w:qFormat/>
    <w:rsid w:val="003F2267"/>
    <w:pPr>
      <w:spacing w:after="0" w:line="240" w:lineRule="auto"/>
    </w:pPr>
    <w:rPr>
      <w:sz w:val="20"/>
      <w:szCs w:val="20"/>
    </w:rPr>
  </w:style>
  <w:style w:type="character" w:customStyle="1" w:styleId="EndnoteTextChar">
    <w:name w:val="Endnote Text Char"/>
    <w:basedOn w:val="DefaultParagraphFont"/>
    <w:link w:val="EndnoteText"/>
    <w:uiPriority w:val="99"/>
    <w:rsid w:val="003F2267"/>
    <w:rPr>
      <w:sz w:val="20"/>
      <w:szCs w:val="20"/>
    </w:rPr>
  </w:style>
  <w:style w:type="character" w:styleId="EndnoteReference">
    <w:name w:val="endnote reference"/>
    <w:basedOn w:val="DefaultParagraphFont"/>
    <w:uiPriority w:val="99"/>
    <w:unhideWhenUsed/>
    <w:qFormat/>
    <w:rsid w:val="003F2267"/>
    <w:rPr>
      <w:vertAlign w:val="superscript"/>
    </w:rPr>
  </w:style>
  <w:style w:type="paragraph" w:styleId="ListBullet">
    <w:name w:val="List Bullet"/>
    <w:aliases w:val="Bullet List"/>
    <w:basedOn w:val="Normal"/>
    <w:uiPriority w:val="2"/>
    <w:qFormat/>
    <w:rsid w:val="00DA2F34"/>
    <w:pPr>
      <w:numPr>
        <w:numId w:val="3"/>
      </w:numPr>
      <w:ind w:left="714" w:hanging="357"/>
    </w:pPr>
  </w:style>
  <w:style w:type="character" w:customStyle="1" w:styleId="ListParagraphChar">
    <w:name w:val="List Paragraph Char"/>
    <w:aliases w:val="Numbered List Char"/>
    <w:link w:val="ListParagraph"/>
    <w:uiPriority w:val="34"/>
    <w:qFormat/>
    <w:rsid w:val="00252D00"/>
    <w:rPr>
      <w:rFonts w:ascii="Arial" w:eastAsia="Arial" w:hAnsi="Arial" w:cs="Times New Roman"/>
      <w:lang w:val="en-US"/>
    </w:rPr>
  </w:style>
  <w:style w:type="paragraph" w:customStyle="1" w:styleId="Default">
    <w:name w:val="Default"/>
    <w:rsid w:val="009E7C01"/>
    <w:pPr>
      <w:autoSpaceDE w:val="0"/>
      <w:autoSpaceDN w:val="0"/>
      <w:adjustRightInd w:val="0"/>
      <w:spacing w:after="0" w:line="240" w:lineRule="auto"/>
    </w:pPr>
    <w:rPr>
      <w:rFonts w:ascii="Calibri" w:hAnsi="Calibri" w:cs="Calibri"/>
      <w:color w:val="000000"/>
    </w:rPr>
  </w:style>
  <w:style w:type="paragraph" w:customStyle="1" w:styleId="Bulltlist">
    <w:name w:val="Bullt list"/>
    <w:basedOn w:val="Bullet1"/>
    <w:link w:val="BulltlistChar"/>
    <w:semiHidden/>
    <w:rsid w:val="005119D1"/>
  </w:style>
  <w:style w:type="character" w:customStyle="1" w:styleId="BulltlistChar">
    <w:name w:val="Bullt list Char"/>
    <w:basedOn w:val="DefaultParagraphFont"/>
    <w:link w:val="Bulltlist"/>
    <w:semiHidden/>
    <w:rsid w:val="00E6370F"/>
  </w:style>
  <w:style w:type="character" w:customStyle="1" w:styleId="NumberListChar">
    <w:name w:val="Number List Char"/>
    <w:basedOn w:val="DefaultParagraphFont"/>
    <w:link w:val="NumberList"/>
    <w:semiHidden/>
    <w:locked/>
    <w:rsid w:val="009508B4"/>
    <w:rPr>
      <w:rFonts w:ascii="Arial" w:eastAsia="Arial" w:hAnsi="Arial" w:cs="Times New Roman"/>
      <w:lang w:val="en-US"/>
    </w:rPr>
  </w:style>
  <w:style w:type="paragraph" w:customStyle="1" w:styleId="NumberList">
    <w:name w:val="Number List"/>
    <w:basedOn w:val="ListParagraph"/>
    <w:link w:val="NumberListChar"/>
    <w:semiHidden/>
    <w:qFormat/>
    <w:rsid w:val="009508B4"/>
    <w:pPr>
      <w:ind w:left="720"/>
    </w:pPr>
  </w:style>
  <w:style w:type="paragraph" w:customStyle="1" w:styleId="Coversubtitletext">
    <w:name w:val="Cover subtitle text"/>
    <w:basedOn w:val="Normal"/>
    <w:next w:val="BodyText"/>
    <w:uiPriority w:val="99"/>
    <w:qFormat/>
    <w:rsid w:val="002937C8"/>
    <w:rPr>
      <w:rFonts w:ascii="VAG Rounded" w:hAnsi="VAG Rounded"/>
      <w:iCs/>
      <w:color w:val="FFFFFF" w:themeColor="background1"/>
      <w:sz w:val="36"/>
      <w:szCs w:val="36"/>
    </w:rPr>
  </w:style>
  <w:style w:type="paragraph" w:customStyle="1" w:styleId="Whitebodytext">
    <w:name w:val="White body text"/>
    <w:basedOn w:val="BodyText"/>
    <w:uiPriority w:val="99"/>
    <w:qFormat/>
    <w:rsid w:val="002937C8"/>
    <w:rPr>
      <w:color w:val="FFFFFF" w:themeColor="background1"/>
    </w:rPr>
  </w:style>
  <w:style w:type="character" w:customStyle="1" w:styleId="Heading5Char">
    <w:name w:val="Heading 5 Char"/>
    <w:basedOn w:val="DefaultParagraphFont"/>
    <w:link w:val="Heading5"/>
    <w:uiPriority w:val="1"/>
    <w:rsid w:val="005B4E1A"/>
    <w:rPr>
      <w:rFonts w:ascii="Arial" w:eastAsia="Times New Roman" w:hAnsi="Arial" w:cs="Times New Roman"/>
      <w:b/>
      <w:color w:val="005496"/>
    </w:rPr>
  </w:style>
  <w:style w:type="paragraph" w:customStyle="1" w:styleId="Finalpagecontactinformation">
    <w:name w:val="Final page contact information"/>
    <w:basedOn w:val="BodyText"/>
    <w:uiPriority w:val="99"/>
    <w:qFormat/>
    <w:rsid w:val="006741BD"/>
    <w:pPr>
      <w:spacing w:before="360"/>
    </w:pPr>
    <w:rPr>
      <w:b/>
      <w:color w:val="FFFFFF" w:themeColor="background1"/>
    </w:rPr>
  </w:style>
  <w:style w:type="paragraph" w:styleId="TOC2">
    <w:name w:val="toc 2"/>
    <w:basedOn w:val="Normal"/>
    <w:next w:val="Normal"/>
    <w:autoRedefine/>
    <w:uiPriority w:val="39"/>
    <w:unhideWhenUsed/>
    <w:rsid w:val="00BC5FE9"/>
    <w:pPr>
      <w:tabs>
        <w:tab w:val="right" w:pos="9628"/>
      </w:tabs>
      <w:spacing w:after="100"/>
      <w:ind w:left="240"/>
    </w:pPr>
    <w:rPr>
      <w:noProof/>
    </w:rPr>
  </w:style>
  <w:style w:type="paragraph" w:styleId="TOC3">
    <w:name w:val="toc 3"/>
    <w:basedOn w:val="Normal"/>
    <w:next w:val="Normal"/>
    <w:autoRedefine/>
    <w:uiPriority w:val="39"/>
    <w:unhideWhenUsed/>
    <w:rsid w:val="00BC5FE9"/>
    <w:pPr>
      <w:tabs>
        <w:tab w:val="right" w:pos="9628"/>
      </w:tabs>
      <w:spacing w:before="0" w:after="100" w:line="259" w:lineRule="auto"/>
      <w:ind w:left="720"/>
    </w:pPr>
    <w:rPr>
      <w:rFonts w:eastAsiaTheme="minorEastAsia" w:cs="Times New Roman"/>
      <w:bCs/>
      <w:sz w:val="22"/>
      <w:szCs w:val="22"/>
    </w:rPr>
  </w:style>
  <w:style w:type="paragraph" w:customStyle="1" w:styleId="Heading2notincontents">
    <w:name w:val="Heading 2 (not in contents)"/>
    <w:basedOn w:val="Heading2"/>
    <w:uiPriority w:val="99"/>
    <w:qFormat/>
    <w:rsid w:val="008741AB"/>
    <w:rPr>
      <w:rFonts w:eastAsiaTheme="minorHAnsi"/>
    </w:rPr>
  </w:style>
  <w:style w:type="character" w:styleId="PlaceholderText">
    <w:name w:val="Placeholder Text"/>
    <w:basedOn w:val="DefaultParagraphFont"/>
    <w:uiPriority w:val="99"/>
    <w:semiHidden/>
    <w:rsid w:val="00F861F5"/>
    <w:rPr>
      <w:color w:val="808080"/>
    </w:rPr>
  </w:style>
  <w:style w:type="character" w:styleId="FollowedHyperlink">
    <w:name w:val="FollowedHyperlink"/>
    <w:basedOn w:val="DefaultParagraphFont"/>
    <w:uiPriority w:val="99"/>
    <w:semiHidden/>
    <w:unhideWhenUsed/>
    <w:rsid w:val="004D7EEE"/>
    <w:rPr>
      <w:color w:val="954F72" w:themeColor="followedHyperlink"/>
      <w:u w:val="single"/>
    </w:rPr>
  </w:style>
  <w:style w:type="paragraph" w:styleId="Quote">
    <w:name w:val="Quote"/>
    <w:basedOn w:val="Normal"/>
    <w:next w:val="Normal"/>
    <w:link w:val="QuoteChar"/>
    <w:uiPriority w:val="29"/>
    <w:qFormat/>
    <w:rsid w:val="00481070"/>
    <w:pPr>
      <w:spacing w:before="200" w:after="160"/>
      <w:ind w:left="864" w:right="864"/>
      <w:jc w:val="center"/>
    </w:pPr>
    <w:rPr>
      <w:i/>
      <w:iCs/>
      <w:color w:val="005496" w:themeColor="accent1"/>
    </w:rPr>
  </w:style>
  <w:style w:type="character" w:customStyle="1" w:styleId="QuoteChar">
    <w:name w:val="Quote Char"/>
    <w:basedOn w:val="DefaultParagraphFont"/>
    <w:link w:val="Quote"/>
    <w:uiPriority w:val="29"/>
    <w:rsid w:val="00481070"/>
    <w:rPr>
      <w:i/>
      <w:iCs/>
      <w:color w:val="005496" w:themeColor="accent1"/>
    </w:rPr>
  </w:style>
  <w:style w:type="character" w:styleId="Emphasis">
    <w:name w:val="Emphasis"/>
    <w:basedOn w:val="DefaultParagraphFont"/>
    <w:uiPriority w:val="20"/>
    <w:qFormat/>
    <w:rsid w:val="001F5464"/>
    <w:rPr>
      <w:i/>
      <w:iCs/>
    </w:rPr>
  </w:style>
  <w:style w:type="character" w:customStyle="1" w:styleId="markedcontent">
    <w:name w:val="markedcontent"/>
    <w:basedOn w:val="DefaultParagraphFont"/>
    <w:rsid w:val="006F4C6F"/>
  </w:style>
  <w:style w:type="paragraph" w:styleId="Revision">
    <w:name w:val="Revision"/>
    <w:hidden/>
    <w:uiPriority w:val="99"/>
    <w:semiHidden/>
    <w:rsid w:val="003849A1"/>
    <w:pPr>
      <w:spacing w:after="0" w:line="240" w:lineRule="auto"/>
    </w:pPr>
  </w:style>
  <w:style w:type="paragraph" w:customStyle="1" w:styleId="paragraph">
    <w:name w:val="paragraph"/>
    <w:basedOn w:val="Normal"/>
    <w:rsid w:val="006C59A1"/>
    <w:pPr>
      <w:spacing w:before="0" w:after="0" w:line="240" w:lineRule="auto"/>
    </w:pPr>
    <w:rPr>
      <w:rFonts w:ascii="Calibri" w:hAnsi="Calibri" w:cs="Calibri"/>
      <w:sz w:val="22"/>
      <w:szCs w:val="22"/>
      <w:lang w:eastAsia="en-AU"/>
    </w:rPr>
  </w:style>
  <w:style w:type="character" w:customStyle="1" w:styleId="normaltextrun">
    <w:name w:val="normaltextrun"/>
    <w:basedOn w:val="DefaultParagraphFont"/>
    <w:rsid w:val="006C59A1"/>
  </w:style>
  <w:style w:type="character" w:customStyle="1" w:styleId="eop">
    <w:name w:val="eop"/>
    <w:basedOn w:val="DefaultParagraphFont"/>
    <w:rsid w:val="006C59A1"/>
  </w:style>
  <w:style w:type="table" w:styleId="GridTable4-Accent1">
    <w:name w:val="Grid Table 4 Accent 1"/>
    <w:basedOn w:val="TableNormal"/>
    <w:uiPriority w:val="49"/>
    <w:rsid w:val="00034185"/>
    <w:pPr>
      <w:spacing w:after="0" w:line="240" w:lineRule="auto"/>
    </w:pPr>
    <w:rPr>
      <w:rFonts w:ascii="Arial" w:hAnsi="Arial"/>
      <w:kern w:val="2"/>
      <w:szCs w:val="22"/>
      <w14:ligatures w14:val="standardContextual"/>
    </w:r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IntenseQuote">
    <w:name w:val="Intense Quote"/>
    <w:basedOn w:val="Normal"/>
    <w:next w:val="Normal"/>
    <w:link w:val="IntenseQuoteChar"/>
    <w:uiPriority w:val="30"/>
    <w:qFormat/>
    <w:rsid w:val="008D12AB"/>
    <w:pPr>
      <w:pBdr>
        <w:top w:val="single" w:sz="4" w:space="10" w:color="005496" w:themeColor="accent1"/>
        <w:bottom w:val="single" w:sz="4" w:space="10" w:color="005496" w:themeColor="accent1"/>
      </w:pBdr>
      <w:spacing w:before="360" w:after="360"/>
      <w:ind w:left="864" w:right="864"/>
      <w:jc w:val="center"/>
    </w:pPr>
    <w:rPr>
      <w:i/>
      <w:iCs/>
      <w:color w:val="005496" w:themeColor="accent1"/>
    </w:rPr>
  </w:style>
  <w:style w:type="character" w:customStyle="1" w:styleId="IntenseQuoteChar">
    <w:name w:val="Intense Quote Char"/>
    <w:basedOn w:val="DefaultParagraphFont"/>
    <w:link w:val="IntenseQuote"/>
    <w:uiPriority w:val="30"/>
    <w:rsid w:val="008D12AB"/>
    <w:rPr>
      <w:i/>
      <w:iCs/>
      <w:color w:val="005496" w:themeColor="accent1"/>
    </w:rPr>
  </w:style>
  <w:style w:type="paragraph" w:styleId="Subtitle">
    <w:name w:val="Subtitle"/>
    <w:basedOn w:val="Normal"/>
    <w:next w:val="Normal"/>
    <w:link w:val="SubtitleChar"/>
    <w:uiPriority w:val="11"/>
    <w:qFormat/>
    <w:rsid w:val="0014235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42358"/>
    <w:rPr>
      <w:rFonts w:eastAsiaTheme="minorEastAsia"/>
      <w:color w:val="5A5A5A" w:themeColor="text1" w:themeTint="A5"/>
      <w:spacing w:val="15"/>
      <w:sz w:val="22"/>
      <w:szCs w:val="22"/>
    </w:rPr>
  </w:style>
  <w:style w:type="character" w:customStyle="1" w:styleId="Heading6Char">
    <w:name w:val="Heading 6 Char"/>
    <w:basedOn w:val="DefaultParagraphFont"/>
    <w:link w:val="Heading6"/>
    <w:uiPriority w:val="4"/>
    <w:rsid w:val="005334ED"/>
    <w:rPr>
      <w:rFonts w:asciiTheme="majorHAnsi" w:eastAsiaTheme="majorEastAsia" w:hAnsiTheme="majorHAnsi" w:cstheme="majorBidi"/>
      <w:color w:val="00294A" w:themeColor="accent1" w:themeShade="7F"/>
    </w:rPr>
  </w:style>
  <w:style w:type="character" w:styleId="Mention">
    <w:name w:val="Mention"/>
    <w:basedOn w:val="DefaultParagraphFont"/>
    <w:uiPriority w:val="99"/>
    <w:unhideWhenUsed/>
    <w:rsid w:val="0077410C"/>
    <w:rPr>
      <w:color w:val="2B579A"/>
      <w:shd w:val="clear" w:color="auto" w:fill="E1DFDD"/>
    </w:rPr>
  </w:style>
  <w:style w:type="character" w:customStyle="1" w:styleId="Heading7Char">
    <w:name w:val="Heading 7 Char"/>
    <w:basedOn w:val="DefaultParagraphFont"/>
    <w:link w:val="Heading7"/>
    <w:uiPriority w:val="4"/>
    <w:rsid w:val="00EC1391"/>
    <w:rPr>
      <w:rFonts w:asciiTheme="majorHAnsi" w:eastAsiaTheme="majorEastAsia" w:hAnsiTheme="majorHAnsi" w:cstheme="majorBidi"/>
      <w:i/>
      <w:iCs/>
      <w:color w:val="00294A"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42">
      <w:bodyDiv w:val="1"/>
      <w:marLeft w:val="0"/>
      <w:marRight w:val="0"/>
      <w:marTop w:val="0"/>
      <w:marBottom w:val="0"/>
      <w:divBdr>
        <w:top w:val="none" w:sz="0" w:space="0" w:color="auto"/>
        <w:left w:val="none" w:sz="0" w:space="0" w:color="auto"/>
        <w:bottom w:val="none" w:sz="0" w:space="0" w:color="auto"/>
        <w:right w:val="none" w:sz="0" w:space="0" w:color="auto"/>
      </w:divBdr>
      <w:divsChild>
        <w:div w:id="1006788398">
          <w:marLeft w:val="0"/>
          <w:marRight w:val="0"/>
          <w:marTop w:val="0"/>
          <w:marBottom w:val="0"/>
          <w:divBdr>
            <w:top w:val="none" w:sz="0" w:space="0" w:color="auto"/>
            <w:left w:val="none" w:sz="0" w:space="0" w:color="auto"/>
            <w:bottom w:val="none" w:sz="0" w:space="0" w:color="auto"/>
            <w:right w:val="none" w:sz="0" w:space="0" w:color="auto"/>
          </w:divBdr>
        </w:div>
      </w:divsChild>
    </w:div>
    <w:div w:id="103886845">
      <w:bodyDiv w:val="1"/>
      <w:marLeft w:val="0"/>
      <w:marRight w:val="0"/>
      <w:marTop w:val="0"/>
      <w:marBottom w:val="0"/>
      <w:divBdr>
        <w:top w:val="none" w:sz="0" w:space="0" w:color="auto"/>
        <w:left w:val="none" w:sz="0" w:space="0" w:color="auto"/>
        <w:bottom w:val="none" w:sz="0" w:space="0" w:color="auto"/>
        <w:right w:val="none" w:sz="0" w:space="0" w:color="auto"/>
      </w:divBdr>
    </w:div>
    <w:div w:id="116606375">
      <w:bodyDiv w:val="1"/>
      <w:marLeft w:val="0"/>
      <w:marRight w:val="0"/>
      <w:marTop w:val="0"/>
      <w:marBottom w:val="0"/>
      <w:divBdr>
        <w:top w:val="none" w:sz="0" w:space="0" w:color="auto"/>
        <w:left w:val="none" w:sz="0" w:space="0" w:color="auto"/>
        <w:bottom w:val="none" w:sz="0" w:space="0" w:color="auto"/>
        <w:right w:val="none" w:sz="0" w:space="0" w:color="auto"/>
      </w:divBdr>
      <w:divsChild>
        <w:div w:id="1877815877">
          <w:marLeft w:val="0"/>
          <w:marRight w:val="0"/>
          <w:marTop w:val="0"/>
          <w:marBottom w:val="0"/>
          <w:divBdr>
            <w:top w:val="none" w:sz="0" w:space="0" w:color="auto"/>
            <w:left w:val="none" w:sz="0" w:space="0" w:color="auto"/>
            <w:bottom w:val="none" w:sz="0" w:space="0" w:color="auto"/>
            <w:right w:val="none" w:sz="0" w:space="0" w:color="auto"/>
          </w:divBdr>
        </w:div>
      </w:divsChild>
    </w:div>
    <w:div w:id="158352535">
      <w:bodyDiv w:val="1"/>
      <w:marLeft w:val="0"/>
      <w:marRight w:val="0"/>
      <w:marTop w:val="0"/>
      <w:marBottom w:val="0"/>
      <w:divBdr>
        <w:top w:val="none" w:sz="0" w:space="0" w:color="auto"/>
        <w:left w:val="none" w:sz="0" w:space="0" w:color="auto"/>
        <w:bottom w:val="none" w:sz="0" w:space="0" w:color="auto"/>
        <w:right w:val="none" w:sz="0" w:space="0" w:color="auto"/>
      </w:divBdr>
    </w:div>
    <w:div w:id="222447964">
      <w:bodyDiv w:val="1"/>
      <w:marLeft w:val="0"/>
      <w:marRight w:val="0"/>
      <w:marTop w:val="0"/>
      <w:marBottom w:val="0"/>
      <w:divBdr>
        <w:top w:val="none" w:sz="0" w:space="0" w:color="auto"/>
        <w:left w:val="none" w:sz="0" w:space="0" w:color="auto"/>
        <w:bottom w:val="none" w:sz="0" w:space="0" w:color="auto"/>
        <w:right w:val="none" w:sz="0" w:space="0" w:color="auto"/>
      </w:divBdr>
    </w:div>
    <w:div w:id="237642805">
      <w:bodyDiv w:val="1"/>
      <w:marLeft w:val="0"/>
      <w:marRight w:val="0"/>
      <w:marTop w:val="0"/>
      <w:marBottom w:val="0"/>
      <w:divBdr>
        <w:top w:val="none" w:sz="0" w:space="0" w:color="auto"/>
        <w:left w:val="none" w:sz="0" w:space="0" w:color="auto"/>
        <w:bottom w:val="none" w:sz="0" w:space="0" w:color="auto"/>
        <w:right w:val="none" w:sz="0" w:space="0" w:color="auto"/>
      </w:divBdr>
      <w:divsChild>
        <w:div w:id="2121488210">
          <w:marLeft w:val="720"/>
          <w:marRight w:val="0"/>
          <w:marTop w:val="0"/>
          <w:marBottom w:val="0"/>
          <w:divBdr>
            <w:top w:val="none" w:sz="0" w:space="0" w:color="auto"/>
            <w:left w:val="none" w:sz="0" w:space="0" w:color="auto"/>
            <w:bottom w:val="none" w:sz="0" w:space="0" w:color="auto"/>
            <w:right w:val="none" w:sz="0" w:space="0" w:color="auto"/>
          </w:divBdr>
        </w:div>
      </w:divsChild>
    </w:div>
    <w:div w:id="253250832">
      <w:bodyDiv w:val="1"/>
      <w:marLeft w:val="0"/>
      <w:marRight w:val="0"/>
      <w:marTop w:val="0"/>
      <w:marBottom w:val="0"/>
      <w:divBdr>
        <w:top w:val="none" w:sz="0" w:space="0" w:color="auto"/>
        <w:left w:val="none" w:sz="0" w:space="0" w:color="auto"/>
        <w:bottom w:val="none" w:sz="0" w:space="0" w:color="auto"/>
        <w:right w:val="none" w:sz="0" w:space="0" w:color="auto"/>
      </w:divBdr>
    </w:div>
    <w:div w:id="330572150">
      <w:bodyDiv w:val="1"/>
      <w:marLeft w:val="0"/>
      <w:marRight w:val="0"/>
      <w:marTop w:val="0"/>
      <w:marBottom w:val="0"/>
      <w:divBdr>
        <w:top w:val="none" w:sz="0" w:space="0" w:color="auto"/>
        <w:left w:val="none" w:sz="0" w:space="0" w:color="auto"/>
        <w:bottom w:val="none" w:sz="0" w:space="0" w:color="auto"/>
        <w:right w:val="none" w:sz="0" w:space="0" w:color="auto"/>
      </w:divBdr>
    </w:div>
    <w:div w:id="335227410">
      <w:bodyDiv w:val="1"/>
      <w:marLeft w:val="0"/>
      <w:marRight w:val="0"/>
      <w:marTop w:val="0"/>
      <w:marBottom w:val="0"/>
      <w:divBdr>
        <w:top w:val="none" w:sz="0" w:space="0" w:color="auto"/>
        <w:left w:val="none" w:sz="0" w:space="0" w:color="auto"/>
        <w:bottom w:val="none" w:sz="0" w:space="0" w:color="auto"/>
        <w:right w:val="none" w:sz="0" w:space="0" w:color="auto"/>
      </w:divBdr>
      <w:divsChild>
        <w:div w:id="358773925">
          <w:marLeft w:val="0"/>
          <w:marRight w:val="0"/>
          <w:marTop w:val="0"/>
          <w:marBottom w:val="0"/>
          <w:divBdr>
            <w:top w:val="none" w:sz="0" w:space="0" w:color="auto"/>
            <w:left w:val="none" w:sz="0" w:space="0" w:color="auto"/>
            <w:bottom w:val="none" w:sz="0" w:space="0" w:color="auto"/>
            <w:right w:val="none" w:sz="0" w:space="0" w:color="auto"/>
          </w:divBdr>
        </w:div>
      </w:divsChild>
    </w:div>
    <w:div w:id="387388543">
      <w:bodyDiv w:val="1"/>
      <w:marLeft w:val="0"/>
      <w:marRight w:val="0"/>
      <w:marTop w:val="0"/>
      <w:marBottom w:val="0"/>
      <w:divBdr>
        <w:top w:val="none" w:sz="0" w:space="0" w:color="auto"/>
        <w:left w:val="none" w:sz="0" w:space="0" w:color="auto"/>
        <w:bottom w:val="none" w:sz="0" w:space="0" w:color="auto"/>
        <w:right w:val="none" w:sz="0" w:space="0" w:color="auto"/>
      </w:divBdr>
    </w:div>
    <w:div w:id="549153180">
      <w:bodyDiv w:val="1"/>
      <w:marLeft w:val="0"/>
      <w:marRight w:val="0"/>
      <w:marTop w:val="0"/>
      <w:marBottom w:val="0"/>
      <w:divBdr>
        <w:top w:val="none" w:sz="0" w:space="0" w:color="auto"/>
        <w:left w:val="none" w:sz="0" w:space="0" w:color="auto"/>
        <w:bottom w:val="none" w:sz="0" w:space="0" w:color="auto"/>
        <w:right w:val="none" w:sz="0" w:space="0" w:color="auto"/>
      </w:divBdr>
    </w:div>
    <w:div w:id="572156382">
      <w:bodyDiv w:val="1"/>
      <w:marLeft w:val="0"/>
      <w:marRight w:val="0"/>
      <w:marTop w:val="0"/>
      <w:marBottom w:val="0"/>
      <w:divBdr>
        <w:top w:val="none" w:sz="0" w:space="0" w:color="auto"/>
        <w:left w:val="none" w:sz="0" w:space="0" w:color="auto"/>
        <w:bottom w:val="none" w:sz="0" w:space="0" w:color="auto"/>
        <w:right w:val="none" w:sz="0" w:space="0" w:color="auto"/>
      </w:divBdr>
    </w:div>
    <w:div w:id="617182148">
      <w:bodyDiv w:val="1"/>
      <w:marLeft w:val="0"/>
      <w:marRight w:val="0"/>
      <w:marTop w:val="0"/>
      <w:marBottom w:val="0"/>
      <w:divBdr>
        <w:top w:val="none" w:sz="0" w:space="0" w:color="auto"/>
        <w:left w:val="none" w:sz="0" w:space="0" w:color="auto"/>
        <w:bottom w:val="none" w:sz="0" w:space="0" w:color="auto"/>
        <w:right w:val="none" w:sz="0" w:space="0" w:color="auto"/>
      </w:divBdr>
    </w:div>
    <w:div w:id="779571411">
      <w:bodyDiv w:val="1"/>
      <w:marLeft w:val="0"/>
      <w:marRight w:val="0"/>
      <w:marTop w:val="0"/>
      <w:marBottom w:val="0"/>
      <w:divBdr>
        <w:top w:val="none" w:sz="0" w:space="0" w:color="auto"/>
        <w:left w:val="none" w:sz="0" w:space="0" w:color="auto"/>
        <w:bottom w:val="none" w:sz="0" w:space="0" w:color="auto"/>
        <w:right w:val="none" w:sz="0" w:space="0" w:color="auto"/>
      </w:divBdr>
    </w:div>
    <w:div w:id="792403237">
      <w:bodyDiv w:val="1"/>
      <w:marLeft w:val="0"/>
      <w:marRight w:val="0"/>
      <w:marTop w:val="0"/>
      <w:marBottom w:val="0"/>
      <w:divBdr>
        <w:top w:val="none" w:sz="0" w:space="0" w:color="auto"/>
        <w:left w:val="none" w:sz="0" w:space="0" w:color="auto"/>
        <w:bottom w:val="none" w:sz="0" w:space="0" w:color="auto"/>
        <w:right w:val="none" w:sz="0" w:space="0" w:color="auto"/>
      </w:divBdr>
    </w:div>
    <w:div w:id="866068471">
      <w:bodyDiv w:val="1"/>
      <w:marLeft w:val="0"/>
      <w:marRight w:val="0"/>
      <w:marTop w:val="0"/>
      <w:marBottom w:val="0"/>
      <w:divBdr>
        <w:top w:val="none" w:sz="0" w:space="0" w:color="auto"/>
        <w:left w:val="none" w:sz="0" w:space="0" w:color="auto"/>
        <w:bottom w:val="none" w:sz="0" w:space="0" w:color="auto"/>
        <w:right w:val="none" w:sz="0" w:space="0" w:color="auto"/>
      </w:divBdr>
      <w:divsChild>
        <w:div w:id="1727337745">
          <w:marLeft w:val="0"/>
          <w:marRight w:val="0"/>
          <w:marTop w:val="0"/>
          <w:marBottom w:val="0"/>
          <w:divBdr>
            <w:top w:val="none" w:sz="0" w:space="0" w:color="auto"/>
            <w:left w:val="none" w:sz="0" w:space="0" w:color="auto"/>
            <w:bottom w:val="none" w:sz="0" w:space="0" w:color="auto"/>
            <w:right w:val="none" w:sz="0" w:space="0" w:color="auto"/>
          </w:divBdr>
        </w:div>
      </w:divsChild>
    </w:div>
    <w:div w:id="937181207">
      <w:bodyDiv w:val="1"/>
      <w:marLeft w:val="0"/>
      <w:marRight w:val="0"/>
      <w:marTop w:val="0"/>
      <w:marBottom w:val="0"/>
      <w:divBdr>
        <w:top w:val="none" w:sz="0" w:space="0" w:color="auto"/>
        <w:left w:val="none" w:sz="0" w:space="0" w:color="auto"/>
        <w:bottom w:val="none" w:sz="0" w:space="0" w:color="auto"/>
        <w:right w:val="none" w:sz="0" w:space="0" w:color="auto"/>
      </w:divBdr>
    </w:div>
    <w:div w:id="948656483">
      <w:bodyDiv w:val="1"/>
      <w:marLeft w:val="0"/>
      <w:marRight w:val="0"/>
      <w:marTop w:val="0"/>
      <w:marBottom w:val="0"/>
      <w:divBdr>
        <w:top w:val="none" w:sz="0" w:space="0" w:color="auto"/>
        <w:left w:val="none" w:sz="0" w:space="0" w:color="auto"/>
        <w:bottom w:val="none" w:sz="0" w:space="0" w:color="auto"/>
        <w:right w:val="none" w:sz="0" w:space="0" w:color="auto"/>
      </w:divBdr>
    </w:div>
    <w:div w:id="952369410">
      <w:bodyDiv w:val="1"/>
      <w:marLeft w:val="0"/>
      <w:marRight w:val="0"/>
      <w:marTop w:val="0"/>
      <w:marBottom w:val="0"/>
      <w:divBdr>
        <w:top w:val="none" w:sz="0" w:space="0" w:color="auto"/>
        <w:left w:val="none" w:sz="0" w:space="0" w:color="auto"/>
        <w:bottom w:val="none" w:sz="0" w:space="0" w:color="auto"/>
        <w:right w:val="none" w:sz="0" w:space="0" w:color="auto"/>
      </w:divBdr>
    </w:div>
    <w:div w:id="983899642">
      <w:bodyDiv w:val="1"/>
      <w:marLeft w:val="0"/>
      <w:marRight w:val="0"/>
      <w:marTop w:val="0"/>
      <w:marBottom w:val="0"/>
      <w:divBdr>
        <w:top w:val="none" w:sz="0" w:space="0" w:color="auto"/>
        <w:left w:val="none" w:sz="0" w:space="0" w:color="auto"/>
        <w:bottom w:val="none" w:sz="0" w:space="0" w:color="auto"/>
        <w:right w:val="none" w:sz="0" w:space="0" w:color="auto"/>
      </w:divBdr>
      <w:divsChild>
        <w:div w:id="334455141">
          <w:marLeft w:val="720"/>
          <w:marRight w:val="0"/>
          <w:marTop w:val="0"/>
          <w:marBottom w:val="0"/>
          <w:divBdr>
            <w:top w:val="none" w:sz="0" w:space="0" w:color="auto"/>
            <w:left w:val="none" w:sz="0" w:space="0" w:color="auto"/>
            <w:bottom w:val="none" w:sz="0" w:space="0" w:color="auto"/>
            <w:right w:val="none" w:sz="0" w:space="0" w:color="auto"/>
          </w:divBdr>
        </w:div>
        <w:div w:id="1052196826">
          <w:marLeft w:val="720"/>
          <w:marRight w:val="0"/>
          <w:marTop w:val="0"/>
          <w:marBottom w:val="0"/>
          <w:divBdr>
            <w:top w:val="none" w:sz="0" w:space="0" w:color="auto"/>
            <w:left w:val="none" w:sz="0" w:space="0" w:color="auto"/>
            <w:bottom w:val="none" w:sz="0" w:space="0" w:color="auto"/>
            <w:right w:val="none" w:sz="0" w:space="0" w:color="auto"/>
          </w:divBdr>
        </w:div>
      </w:divsChild>
    </w:div>
    <w:div w:id="1117333821">
      <w:bodyDiv w:val="1"/>
      <w:marLeft w:val="0"/>
      <w:marRight w:val="0"/>
      <w:marTop w:val="0"/>
      <w:marBottom w:val="0"/>
      <w:divBdr>
        <w:top w:val="none" w:sz="0" w:space="0" w:color="auto"/>
        <w:left w:val="none" w:sz="0" w:space="0" w:color="auto"/>
        <w:bottom w:val="none" w:sz="0" w:space="0" w:color="auto"/>
        <w:right w:val="none" w:sz="0" w:space="0" w:color="auto"/>
      </w:divBdr>
    </w:div>
    <w:div w:id="1151943606">
      <w:bodyDiv w:val="1"/>
      <w:marLeft w:val="0"/>
      <w:marRight w:val="0"/>
      <w:marTop w:val="0"/>
      <w:marBottom w:val="0"/>
      <w:divBdr>
        <w:top w:val="none" w:sz="0" w:space="0" w:color="auto"/>
        <w:left w:val="none" w:sz="0" w:space="0" w:color="auto"/>
        <w:bottom w:val="none" w:sz="0" w:space="0" w:color="auto"/>
        <w:right w:val="none" w:sz="0" w:space="0" w:color="auto"/>
      </w:divBdr>
    </w:div>
    <w:div w:id="1200364270">
      <w:bodyDiv w:val="1"/>
      <w:marLeft w:val="0"/>
      <w:marRight w:val="0"/>
      <w:marTop w:val="0"/>
      <w:marBottom w:val="0"/>
      <w:divBdr>
        <w:top w:val="none" w:sz="0" w:space="0" w:color="auto"/>
        <w:left w:val="none" w:sz="0" w:space="0" w:color="auto"/>
        <w:bottom w:val="none" w:sz="0" w:space="0" w:color="auto"/>
        <w:right w:val="none" w:sz="0" w:space="0" w:color="auto"/>
      </w:divBdr>
    </w:div>
    <w:div w:id="1295865151">
      <w:bodyDiv w:val="1"/>
      <w:marLeft w:val="0"/>
      <w:marRight w:val="0"/>
      <w:marTop w:val="0"/>
      <w:marBottom w:val="0"/>
      <w:divBdr>
        <w:top w:val="none" w:sz="0" w:space="0" w:color="auto"/>
        <w:left w:val="none" w:sz="0" w:space="0" w:color="auto"/>
        <w:bottom w:val="none" w:sz="0" w:space="0" w:color="auto"/>
        <w:right w:val="none" w:sz="0" w:space="0" w:color="auto"/>
      </w:divBdr>
      <w:divsChild>
        <w:div w:id="23796870">
          <w:marLeft w:val="0"/>
          <w:marRight w:val="0"/>
          <w:marTop w:val="0"/>
          <w:marBottom w:val="0"/>
          <w:divBdr>
            <w:top w:val="none" w:sz="0" w:space="0" w:color="auto"/>
            <w:left w:val="none" w:sz="0" w:space="0" w:color="auto"/>
            <w:bottom w:val="none" w:sz="0" w:space="0" w:color="auto"/>
            <w:right w:val="none" w:sz="0" w:space="0" w:color="auto"/>
          </w:divBdr>
        </w:div>
      </w:divsChild>
    </w:div>
    <w:div w:id="1406028924">
      <w:bodyDiv w:val="1"/>
      <w:marLeft w:val="0"/>
      <w:marRight w:val="0"/>
      <w:marTop w:val="0"/>
      <w:marBottom w:val="0"/>
      <w:divBdr>
        <w:top w:val="none" w:sz="0" w:space="0" w:color="auto"/>
        <w:left w:val="none" w:sz="0" w:space="0" w:color="auto"/>
        <w:bottom w:val="none" w:sz="0" w:space="0" w:color="auto"/>
        <w:right w:val="none" w:sz="0" w:space="0" w:color="auto"/>
      </w:divBdr>
      <w:divsChild>
        <w:div w:id="1610694943">
          <w:marLeft w:val="0"/>
          <w:marRight w:val="0"/>
          <w:marTop w:val="0"/>
          <w:marBottom w:val="0"/>
          <w:divBdr>
            <w:top w:val="none" w:sz="0" w:space="0" w:color="auto"/>
            <w:left w:val="none" w:sz="0" w:space="0" w:color="auto"/>
            <w:bottom w:val="none" w:sz="0" w:space="0" w:color="auto"/>
            <w:right w:val="none" w:sz="0" w:space="0" w:color="auto"/>
          </w:divBdr>
        </w:div>
      </w:divsChild>
    </w:div>
    <w:div w:id="1439448617">
      <w:bodyDiv w:val="1"/>
      <w:marLeft w:val="0"/>
      <w:marRight w:val="0"/>
      <w:marTop w:val="0"/>
      <w:marBottom w:val="0"/>
      <w:divBdr>
        <w:top w:val="none" w:sz="0" w:space="0" w:color="auto"/>
        <w:left w:val="none" w:sz="0" w:space="0" w:color="auto"/>
        <w:bottom w:val="none" w:sz="0" w:space="0" w:color="auto"/>
        <w:right w:val="none" w:sz="0" w:space="0" w:color="auto"/>
      </w:divBdr>
      <w:divsChild>
        <w:div w:id="998079172">
          <w:marLeft w:val="720"/>
          <w:marRight w:val="0"/>
          <w:marTop w:val="0"/>
          <w:marBottom w:val="0"/>
          <w:divBdr>
            <w:top w:val="none" w:sz="0" w:space="0" w:color="auto"/>
            <w:left w:val="none" w:sz="0" w:space="0" w:color="auto"/>
            <w:bottom w:val="none" w:sz="0" w:space="0" w:color="auto"/>
            <w:right w:val="none" w:sz="0" w:space="0" w:color="auto"/>
          </w:divBdr>
        </w:div>
      </w:divsChild>
    </w:div>
    <w:div w:id="1456605905">
      <w:bodyDiv w:val="1"/>
      <w:marLeft w:val="0"/>
      <w:marRight w:val="0"/>
      <w:marTop w:val="0"/>
      <w:marBottom w:val="0"/>
      <w:divBdr>
        <w:top w:val="none" w:sz="0" w:space="0" w:color="auto"/>
        <w:left w:val="none" w:sz="0" w:space="0" w:color="auto"/>
        <w:bottom w:val="none" w:sz="0" w:space="0" w:color="auto"/>
        <w:right w:val="none" w:sz="0" w:space="0" w:color="auto"/>
      </w:divBdr>
      <w:divsChild>
        <w:div w:id="1270048437">
          <w:marLeft w:val="0"/>
          <w:marRight w:val="0"/>
          <w:marTop w:val="0"/>
          <w:marBottom w:val="0"/>
          <w:divBdr>
            <w:top w:val="none" w:sz="0" w:space="0" w:color="auto"/>
            <w:left w:val="none" w:sz="0" w:space="0" w:color="auto"/>
            <w:bottom w:val="none" w:sz="0" w:space="0" w:color="auto"/>
            <w:right w:val="none" w:sz="0" w:space="0" w:color="auto"/>
          </w:divBdr>
        </w:div>
      </w:divsChild>
    </w:div>
    <w:div w:id="1456831318">
      <w:bodyDiv w:val="1"/>
      <w:marLeft w:val="0"/>
      <w:marRight w:val="0"/>
      <w:marTop w:val="0"/>
      <w:marBottom w:val="0"/>
      <w:divBdr>
        <w:top w:val="none" w:sz="0" w:space="0" w:color="auto"/>
        <w:left w:val="none" w:sz="0" w:space="0" w:color="auto"/>
        <w:bottom w:val="none" w:sz="0" w:space="0" w:color="auto"/>
        <w:right w:val="none" w:sz="0" w:space="0" w:color="auto"/>
      </w:divBdr>
    </w:div>
    <w:div w:id="1461535418">
      <w:bodyDiv w:val="1"/>
      <w:marLeft w:val="0"/>
      <w:marRight w:val="0"/>
      <w:marTop w:val="0"/>
      <w:marBottom w:val="0"/>
      <w:divBdr>
        <w:top w:val="none" w:sz="0" w:space="0" w:color="auto"/>
        <w:left w:val="none" w:sz="0" w:space="0" w:color="auto"/>
        <w:bottom w:val="none" w:sz="0" w:space="0" w:color="auto"/>
        <w:right w:val="none" w:sz="0" w:space="0" w:color="auto"/>
      </w:divBdr>
    </w:div>
    <w:div w:id="1492915149">
      <w:bodyDiv w:val="1"/>
      <w:marLeft w:val="0"/>
      <w:marRight w:val="0"/>
      <w:marTop w:val="0"/>
      <w:marBottom w:val="0"/>
      <w:divBdr>
        <w:top w:val="none" w:sz="0" w:space="0" w:color="auto"/>
        <w:left w:val="none" w:sz="0" w:space="0" w:color="auto"/>
        <w:bottom w:val="none" w:sz="0" w:space="0" w:color="auto"/>
        <w:right w:val="none" w:sz="0" w:space="0" w:color="auto"/>
      </w:divBdr>
      <w:divsChild>
        <w:div w:id="127553270">
          <w:marLeft w:val="0"/>
          <w:marRight w:val="0"/>
          <w:marTop w:val="0"/>
          <w:marBottom w:val="0"/>
          <w:divBdr>
            <w:top w:val="none" w:sz="0" w:space="0" w:color="auto"/>
            <w:left w:val="none" w:sz="0" w:space="0" w:color="auto"/>
            <w:bottom w:val="none" w:sz="0" w:space="0" w:color="auto"/>
            <w:right w:val="none" w:sz="0" w:space="0" w:color="auto"/>
          </w:divBdr>
        </w:div>
      </w:divsChild>
    </w:div>
    <w:div w:id="1665547461">
      <w:bodyDiv w:val="1"/>
      <w:marLeft w:val="0"/>
      <w:marRight w:val="0"/>
      <w:marTop w:val="0"/>
      <w:marBottom w:val="0"/>
      <w:divBdr>
        <w:top w:val="none" w:sz="0" w:space="0" w:color="auto"/>
        <w:left w:val="none" w:sz="0" w:space="0" w:color="auto"/>
        <w:bottom w:val="none" w:sz="0" w:space="0" w:color="auto"/>
        <w:right w:val="none" w:sz="0" w:space="0" w:color="auto"/>
      </w:divBdr>
    </w:div>
    <w:div w:id="1713073291">
      <w:bodyDiv w:val="1"/>
      <w:marLeft w:val="0"/>
      <w:marRight w:val="0"/>
      <w:marTop w:val="0"/>
      <w:marBottom w:val="0"/>
      <w:divBdr>
        <w:top w:val="none" w:sz="0" w:space="0" w:color="auto"/>
        <w:left w:val="none" w:sz="0" w:space="0" w:color="auto"/>
        <w:bottom w:val="none" w:sz="0" w:space="0" w:color="auto"/>
        <w:right w:val="none" w:sz="0" w:space="0" w:color="auto"/>
      </w:divBdr>
    </w:div>
    <w:div w:id="1745646813">
      <w:bodyDiv w:val="1"/>
      <w:marLeft w:val="0"/>
      <w:marRight w:val="0"/>
      <w:marTop w:val="0"/>
      <w:marBottom w:val="0"/>
      <w:divBdr>
        <w:top w:val="none" w:sz="0" w:space="0" w:color="auto"/>
        <w:left w:val="none" w:sz="0" w:space="0" w:color="auto"/>
        <w:bottom w:val="none" w:sz="0" w:space="0" w:color="auto"/>
        <w:right w:val="none" w:sz="0" w:space="0" w:color="auto"/>
      </w:divBdr>
    </w:div>
    <w:div w:id="1748069425">
      <w:bodyDiv w:val="1"/>
      <w:marLeft w:val="0"/>
      <w:marRight w:val="0"/>
      <w:marTop w:val="0"/>
      <w:marBottom w:val="0"/>
      <w:divBdr>
        <w:top w:val="none" w:sz="0" w:space="0" w:color="auto"/>
        <w:left w:val="none" w:sz="0" w:space="0" w:color="auto"/>
        <w:bottom w:val="none" w:sz="0" w:space="0" w:color="auto"/>
        <w:right w:val="none" w:sz="0" w:space="0" w:color="auto"/>
      </w:divBdr>
    </w:div>
    <w:div w:id="1769305154">
      <w:bodyDiv w:val="1"/>
      <w:marLeft w:val="0"/>
      <w:marRight w:val="0"/>
      <w:marTop w:val="0"/>
      <w:marBottom w:val="0"/>
      <w:divBdr>
        <w:top w:val="none" w:sz="0" w:space="0" w:color="auto"/>
        <w:left w:val="none" w:sz="0" w:space="0" w:color="auto"/>
        <w:bottom w:val="none" w:sz="0" w:space="0" w:color="auto"/>
        <w:right w:val="none" w:sz="0" w:space="0" w:color="auto"/>
      </w:divBdr>
    </w:div>
    <w:div w:id="1777824944">
      <w:bodyDiv w:val="1"/>
      <w:marLeft w:val="0"/>
      <w:marRight w:val="0"/>
      <w:marTop w:val="0"/>
      <w:marBottom w:val="0"/>
      <w:divBdr>
        <w:top w:val="none" w:sz="0" w:space="0" w:color="auto"/>
        <w:left w:val="none" w:sz="0" w:space="0" w:color="auto"/>
        <w:bottom w:val="none" w:sz="0" w:space="0" w:color="auto"/>
        <w:right w:val="none" w:sz="0" w:space="0" w:color="auto"/>
      </w:divBdr>
    </w:div>
    <w:div w:id="1781954766">
      <w:bodyDiv w:val="1"/>
      <w:marLeft w:val="0"/>
      <w:marRight w:val="0"/>
      <w:marTop w:val="0"/>
      <w:marBottom w:val="0"/>
      <w:divBdr>
        <w:top w:val="none" w:sz="0" w:space="0" w:color="auto"/>
        <w:left w:val="none" w:sz="0" w:space="0" w:color="auto"/>
        <w:bottom w:val="none" w:sz="0" w:space="0" w:color="auto"/>
        <w:right w:val="none" w:sz="0" w:space="0" w:color="auto"/>
      </w:divBdr>
    </w:div>
    <w:div w:id="1868255453">
      <w:bodyDiv w:val="1"/>
      <w:marLeft w:val="0"/>
      <w:marRight w:val="0"/>
      <w:marTop w:val="0"/>
      <w:marBottom w:val="0"/>
      <w:divBdr>
        <w:top w:val="none" w:sz="0" w:space="0" w:color="auto"/>
        <w:left w:val="none" w:sz="0" w:space="0" w:color="auto"/>
        <w:bottom w:val="none" w:sz="0" w:space="0" w:color="auto"/>
        <w:right w:val="none" w:sz="0" w:space="0" w:color="auto"/>
      </w:divBdr>
      <w:divsChild>
        <w:div w:id="1316228246">
          <w:marLeft w:val="0"/>
          <w:marRight w:val="0"/>
          <w:marTop w:val="0"/>
          <w:marBottom w:val="0"/>
          <w:divBdr>
            <w:top w:val="none" w:sz="0" w:space="0" w:color="auto"/>
            <w:left w:val="none" w:sz="0" w:space="0" w:color="auto"/>
            <w:bottom w:val="none" w:sz="0" w:space="0" w:color="auto"/>
            <w:right w:val="none" w:sz="0" w:space="0" w:color="auto"/>
          </w:divBdr>
        </w:div>
      </w:divsChild>
    </w:div>
    <w:div w:id="1925871359">
      <w:bodyDiv w:val="1"/>
      <w:marLeft w:val="0"/>
      <w:marRight w:val="0"/>
      <w:marTop w:val="0"/>
      <w:marBottom w:val="0"/>
      <w:divBdr>
        <w:top w:val="none" w:sz="0" w:space="0" w:color="auto"/>
        <w:left w:val="none" w:sz="0" w:space="0" w:color="auto"/>
        <w:bottom w:val="none" w:sz="0" w:space="0" w:color="auto"/>
        <w:right w:val="none" w:sz="0" w:space="0" w:color="auto"/>
      </w:divBdr>
    </w:div>
    <w:div w:id="1943296006">
      <w:bodyDiv w:val="1"/>
      <w:marLeft w:val="0"/>
      <w:marRight w:val="0"/>
      <w:marTop w:val="0"/>
      <w:marBottom w:val="0"/>
      <w:divBdr>
        <w:top w:val="none" w:sz="0" w:space="0" w:color="auto"/>
        <w:left w:val="none" w:sz="0" w:space="0" w:color="auto"/>
        <w:bottom w:val="none" w:sz="0" w:space="0" w:color="auto"/>
        <w:right w:val="none" w:sz="0" w:space="0" w:color="auto"/>
      </w:divBdr>
    </w:div>
    <w:div w:id="1945532756">
      <w:bodyDiv w:val="1"/>
      <w:marLeft w:val="0"/>
      <w:marRight w:val="0"/>
      <w:marTop w:val="0"/>
      <w:marBottom w:val="0"/>
      <w:divBdr>
        <w:top w:val="none" w:sz="0" w:space="0" w:color="auto"/>
        <w:left w:val="none" w:sz="0" w:space="0" w:color="auto"/>
        <w:bottom w:val="none" w:sz="0" w:space="0" w:color="auto"/>
        <w:right w:val="none" w:sz="0" w:space="0" w:color="auto"/>
      </w:divBdr>
      <w:divsChild>
        <w:div w:id="2137287911">
          <w:marLeft w:val="720"/>
          <w:marRight w:val="0"/>
          <w:marTop w:val="0"/>
          <w:marBottom w:val="0"/>
          <w:divBdr>
            <w:top w:val="none" w:sz="0" w:space="0" w:color="auto"/>
            <w:left w:val="none" w:sz="0" w:space="0" w:color="auto"/>
            <w:bottom w:val="none" w:sz="0" w:space="0" w:color="auto"/>
            <w:right w:val="none" w:sz="0" w:space="0" w:color="auto"/>
          </w:divBdr>
        </w:div>
      </w:divsChild>
    </w:div>
    <w:div w:id="1947075835">
      <w:bodyDiv w:val="1"/>
      <w:marLeft w:val="0"/>
      <w:marRight w:val="0"/>
      <w:marTop w:val="0"/>
      <w:marBottom w:val="0"/>
      <w:divBdr>
        <w:top w:val="none" w:sz="0" w:space="0" w:color="auto"/>
        <w:left w:val="none" w:sz="0" w:space="0" w:color="auto"/>
        <w:bottom w:val="none" w:sz="0" w:space="0" w:color="auto"/>
        <w:right w:val="none" w:sz="0" w:space="0" w:color="auto"/>
      </w:divBdr>
      <w:divsChild>
        <w:div w:id="1009219142">
          <w:marLeft w:val="720"/>
          <w:marRight w:val="0"/>
          <w:marTop w:val="0"/>
          <w:marBottom w:val="0"/>
          <w:divBdr>
            <w:top w:val="none" w:sz="0" w:space="0" w:color="auto"/>
            <w:left w:val="none" w:sz="0" w:space="0" w:color="auto"/>
            <w:bottom w:val="none" w:sz="0" w:space="0" w:color="auto"/>
            <w:right w:val="none" w:sz="0" w:space="0" w:color="auto"/>
          </w:divBdr>
        </w:div>
      </w:divsChild>
    </w:div>
    <w:div w:id="1953825259">
      <w:bodyDiv w:val="1"/>
      <w:marLeft w:val="0"/>
      <w:marRight w:val="0"/>
      <w:marTop w:val="0"/>
      <w:marBottom w:val="0"/>
      <w:divBdr>
        <w:top w:val="none" w:sz="0" w:space="0" w:color="auto"/>
        <w:left w:val="none" w:sz="0" w:space="0" w:color="auto"/>
        <w:bottom w:val="none" w:sz="0" w:space="0" w:color="auto"/>
        <w:right w:val="none" w:sz="0" w:space="0" w:color="auto"/>
      </w:divBdr>
    </w:div>
    <w:div w:id="1968730144">
      <w:bodyDiv w:val="1"/>
      <w:marLeft w:val="0"/>
      <w:marRight w:val="0"/>
      <w:marTop w:val="0"/>
      <w:marBottom w:val="0"/>
      <w:divBdr>
        <w:top w:val="none" w:sz="0" w:space="0" w:color="auto"/>
        <w:left w:val="none" w:sz="0" w:space="0" w:color="auto"/>
        <w:bottom w:val="none" w:sz="0" w:space="0" w:color="auto"/>
        <w:right w:val="none" w:sz="0" w:space="0" w:color="auto"/>
      </w:divBdr>
      <w:divsChild>
        <w:div w:id="623536098">
          <w:marLeft w:val="0"/>
          <w:marRight w:val="0"/>
          <w:marTop w:val="0"/>
          <w:marBottom w:val="0"/>
          <w:divBdr>
            <w:top w:val="none" w:sz="0" w:space="0" w:color="auto"/>
            <w:left w:val="none" w:sz="0" w:space="0" w:color="auto"/>
            <w:bottom w:val="none" w:sz="0" w:space="0" w:color="auto"/>
            <w:right w:val="none" w:sz="0" w:space="0" w:color="auto"/>
          </w:divBdr>
        </w:div>
      </w:divsChild>
    </w:div>
    <w:div w:id="2042777915">
      <w:bodyDiv w:val="1"/>
      <w:marLeft w:val="0"/>
      <w:marRight w:val="0"/>
      <w:marTop w:val="0"/>
      <w:marBottom w:val="0"/>
      <w:divBdr>
        <w:top w:val="none" w:sz="0" w:space="0" w:color="auto"/>
        <w:left w:val="none" w:sz="0" w:space="0" w:color="auto"/>
        <w:bottom w:val="none" w:sz="0" w:space="0" w:color="auto"/>
        <w:right w:val="none" w:sz="0" w:space="0" w:color="auto"/>
      </w:divBdr>
    </w:div>
    <w:div w:id="2099859407">
      <w:bodyDiv w:val="1"/>
      <w:marLeft w:val="0"/>
      <w:marRight w:val="0"/>
      <w:marTop w:val="0"/>
      <w:marBottom w:val="0"/>
      <w:divBdr>
        <w:top w:val="none" w:sz="0" w:space="0" w:color="auto"/>
        <w:left w:val="none" w:sz="0" w:space="0" w:color="auto"/>
        <w:bottom w:val="none" w:sz="0" w:space="0" w:color="auto"/>
        <w:right w:val="none" w:sz="0" w:space="0" w:color="auto"/>
      </w:divBdr>
      <w:divsChild>
        <w:div w:id="1133449360">
          <w:marLeft w:val="0"/>
          <w:marRight w:val="0"/>
          <w:marTop w:val="0"/>
          <w:marBottom w:val="0"/>
          <w:divBdr>
            <w:top w:val="none" w:sz="0" w:space="0" w:color="auto"/>
            <w:left w:val="none" w:sz="0" w:space="0" w:color="auto"/>
            <w:bottom w:val="none" w:sz="0" w:space="0" w:color="auto"/>
            <w:right w:val="none" w:sz="0" w:space="0" w:color="auto"/>
          </w:divBdr>
        </w:div>
      </w:divsChild>
    </w:div>
    <w:div w:id="2110008853">
      <w:bodyDiv w:val="1"/>
      <w:marLeft w:val="0"/>
      <w:marRight w:val="0"/>
      <w:marTop w:val="0"/>
      <w:marBottom w:val="0"/>
      <w:divBdr>
        <w:top w:val="none" w:sz="0" w:space="0" w:color="auto"/>
        <w:left w:val="none" w:sz="0" w:space="0" w:color="auto"/>
        <w:bottom w:val="none" w:sz="0" w:space="0" w:color="auto"/>
        <w:right w:val="none" w:sz="0" w:space="0" w:color="auto"/>
      </w:divBdr>
      <w:divsChild>
        <w:div w:id="24885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i@pwd.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health.gov.au/resources/collections/australian-government-response-to-the-disability-royal-commission?language=en" TargetMode="External"/><Relationship Id="rId18" Type="http://schemas.openxmlformats.org/officeDocument/2006/relationships/hyperlink" Target="https://consultations.health.gov.au/disability-and-carers-group/disability-safeguards-consultation/" TargetMode="External"/><Relationship Id="rId26" Type="http://schemas.openxmlformats.org/officeDocument/2006/relationships/hyperlink" Target="https://www.abs.gov.au/statistics/health/disability/disability-ageing-and-carers-australia-summary-findings/2022" TargetMode="External"/><Relationship Id="rId39" Type="http://schemas.openxmlformats.org/officeDocument/2006/relationships/hyperlink" Target="https://1800respect.org.au/inclusive-practice/cald" TargetMode="External"/><Relationship Id="rId21" Type="http://schemas.openxmlformats.org/officeDocument/2006/relationships/hyperlink" Target="https://www.dfat.gov.au/sites/default/files/australia-sixth-icescr-report.pdf" TargetMode="External"/><Relationship Id="rId34" Type="http://schemas.openxmlformats.org/officeDocument/2006/relationships/hyperlink" Target="PWDA,%20NEDA%20and%20Federation%20of%20Ethnic%20Communities'%20Councils%20of%20Australia%20(FECCA)%20(2021)%20The%20Experiences%20and%20Perspectives%20of%20People%20with%20Disability%20From%20Culturally%20and%20Linguistically%20Diverse%20Backgrounds,%20PWDA,%20NEDA%20and%20FECCA,%20accessed%2013%20January%202026." TargetMode="External"/><Relationship Id="rId42" Type="http://schemas.openxmlformats.org/officeDocument/2006/relationships/hyperlink" Target="https://doi.org/10.1186/s12889-022-13256-z" TargetMode="External"/><Relationship Id="rId47" Type="http://schemas.openxmlformats.org/officeDocument/2006/relationships/hyperlink" Target="https://disability.royalcommission.gov.au/system/files/2023-09/Final%20Report%20-%20Volume%207%2C%20Inclusive%20education%2C%20employment%20and%20housing%20-%20Part%20C.pdf" TargetMode="External"/><Relationship Id="rId50" Type="http://schemas.openxmlformats.org/officeDocument/2006/relationships/hyperlink" Target="https://pwd.org.au/the-experiences-and-perspectives-of-people-with-disability-from-culturally-and-linguistically-diverse-backgrounds-joint-submission-to-the-disability-royal-commission-by-pwda-neda-and-fecca/" TargetMode="External"/><Relationship Id="rId55" Type="http://schemas.openxmlformats.org/officeDocument/2006/relationships/hyperlink" Target="https://www.theguardian.com/australia-news/2025/dec/03/ndis-plans-computer-generated" TargetMode="External"/><Relationship Id="rId7" Type="http://schemas.openxmlformats.org/officeDocument/2006/relationships/hyperlink" Target="https://disability.royalcommission.gov.au/publications/final-report" TargetMode="External"/><Relationship Id="rId2" Type="http://schemas.openxmlformats.org/officeDocument/2006/relationships/hyperlink" Target="https://www.health.gov.au/resources/collections/australian-government-response-to-the-disability-royal-commission?language=en" TargetMode="External"/><Relationship Id="rId16" Type="http://schemas.openxmlformats.org/officeDocument/2006/relationships/hyperlink" Target="https://www.ag.gov.au/rights-and-protections/human-rights-and-anti-discrimination/australias-anti-discrimination-law/review-disability-discrimination-act" TargetMode="External"/><Relationship Id="rId29" Type="http://schemas.openxmlformats.org/officeDocument/2006/relationships/hyperlink" Target="https://www.dfat.gov.au/sites/default/files/australia-sixth-icescr-report.pdf" TargetMode="External"/><Relationship Id="rId11" Type="http://schemas.openxmlformats.org/officeDocument/2006/relationships/hyperlink" Target="https://disability.royalcommission.gov.au/publications/final-report-volume-7-inclusive-education-employment-and-housing" TargetMode="External"/><Relationship Id="rId24" Type="http://schemas.openxmlformats.org/officeDocument/2006/relationships/hyperlink" Target="https://cspm.csyw.qld.gov.au/practice-kits/disability/working-with-cald-families-where-there-is-a-disabi/seeing-and-understanding/culturally-and-linguistically-diverse-cald-familie" TargetMode="External"/><Relationship Id="rId32" Type="http://schemas.openxmlformats.org/officeDocument/2006/relationships/hyperlink" Target="https://epress.lib.uts.edu.au/journals/index.php/mcs/article/view/7026" TargetMode="External"/><Relationship Id="rId37" Type="http://schemas.openxmlformats.org/officeDocument/2006/relationships/hyperlink" Target="https://povertyandinequality.acoss.org.au/poverty-in-australia-2023-who-is-affected/" TargetMode="External"/><Relationship Id="rId40" Type="http://schemas.openxmlformats.org/officeDocument/2006/relationships/hyperlink" Target="https://www.dfat.gov.au/sites/default/files/australia-sixth-icescr-report.pdf" TargetMode="External"/><Relationship Id="rId45" Type="http://schemas.openxmlformats.org/officeDocument/2006/relationships/hyperlink" Target="https://wwda.org.au/wp-content/uploads/2020/08/Factsheet_No_7_Migration.pdf" TargetMode="External"/><Relationship Id="rId53" Type="http://schemas.openxmlformats.org/officeDocument/2006/relationships/hyperlink" Target="https://arts.unimelb.edu.au/__data/assets/pdf_file/0007/4820533/SiLA_12_2_Barker1.pdf" TargetMode="External"/><Relationship Id="rId58" Type="http://schemas.openxmlformats.org/officeDocument/2006/relationships/hyperlink" Target="https://doi.org/10.1044/2022_AJSLP-21-00396" TargetMode="External"/><Relationship Id="rId5" Type="http://schemas.openxmlformats.org/officeDocument/2006/relationships/hyperlink" Target="https://humanrights.gov.au/our-work/submissions/disability-rights/review-australias-disability-strategy-2021-2031" TargetMode="External"/><Relationship Id="rId19" Type="http://schemas.openxmlformats.org/officeDocument/2006/relationships/hyperlink" Target="https://disability.royalcommission.gov.au/publications/towards-best-practice-access-services-culturally-and-linguistically-diverse-people-disability" TargetMode="External"/><Relationship Id="rId4" Type="http://schemas.openxmlformats.org/officeDocument/2006/relationships/hyperlink" Target="https://www.aihw.gov.au/australias-disability-strategy/outcomes/all-measures" TargetMode="External"/><Relationship Id="rId9" Type="http://schemas.openxmlformats.org/officeDocument/2006/relationships/hyperlink" Target="https://pwd.org.au/pwda-reacts-to-the-australian-governments-response-to-the-disability-royal-commission/" TargetMode="External"/><Relationship Id="rId14" Type="http://schemas.openxmlformats.org/officeDocument/2006/relationships/hyperlink" Target="https://www.health.gov.au/resources/publications/disability-royal-commission-progress-report-2025-0?language=en" TargetMode="External"/><Relationship Id="rId22" Type="http://schemas.openxmlformats.org/officeDocument/2006/relationships/hyperlink" Target="https://www.aihw.gov.au/getmedia/725731a5-5296-4b8d-8e49-40fa64937fb2/aihw-dis-72-people-with-disability-in-australia-2024.pdf" TargetMode="External"/><Relationship Id="rId27" Type="http://schemas.openxmlformats.org/officeDocument/2006/relationships/hyperlink" Target="https://wwda.org.au/wp-content/uploads/2024/04/WWDA-Position-Statement-NDIS-Gender-Strategy.pdf" TargetMode="External"/><Relationship Id="rId30" Type="http://schemas.openxmlformats.org/officeDocument/2006/relationships/hyperlink" Target="https://www.dfat.gov.au/sites/default/files/australia-sixth-icescr-report.pdf" TargetMode="External"/><Relationship Id="rId35" Type="http://schemas.openxmlformats.org/officeDocument/2006/relationships/hyperlink" Target="https://disability.royalcommission.gov.au/publications/final-report-executive-summary-our-vision-inclusive-australia-and-recommendations" TargetMode="External"/><Relationship Id="rId43" Type="http://schemas.openxmlformats.org/officeDocument/2006/relationships/hyperlink" Target="https://doi.org/10.1186/s12889-022-13256-z" TargetMode="External"/><Relationship Id="rId48" Type="http://schemas.openxmlformats.org/officeDocument/2006/relationships/hyperlink" Target="https://www.dfat.gov.au/sites/default/files/australia-sixth-icescr-report.pdf" TargetMode="External"/><Relationship Id="rId56" Type="http://schemas.openxmlformats.org/officeDocument/2006/relationships/hyperlink" Target="https://disability.royalcommission.gov.au/system/files/2023-09/Final%20Report%20-%20Volume%207%2C%20Inclusive%20education%2C%20employment%20and%20housing%20-%20Part%20C.pdf" TargetMode="External"/><Relationship Id="rId8" Type="http://schemas.openxmlformats.org/officeDocument/2006/relationships/hyperlink" Target="https://www.health.gov.au/resources/collections/australian-government-response-to-the-disability-royal-commission?language=en" TargetMode="External"/><Relationship Id="rId51" Type="http://schemas.openxmlformats.org/officeDocument/2006/relationships/hyperlink" Target="https://pwd.org.au/pwda-submission-into-new-south-wales-university-sector/" TargetMode="External"/><Relationship Id="rId3" Type="http://schemas.openxmlformats.org/officeDocument/2006/relationships/hyperlink" Target="https://www.ohchr.org/en/documents/concluding-observations/committee-rights-persons-disabilities-concluding-observations" TargetMode="External"/><Relationship Id="rId12" Type="http://schemas.openxmlformats.org/officeDocument/2006/relationships/hyperlink" Target="https://disability.royalcommission.gov.au/publications/final-report-executive-summary-our-vision-inclusive-australia-and-recommendations" TargetMode="External"/><Relationship Id="rId17" Type="http://schemas.openxmlformats.org/officeDocument/2006/relationships/hyperlink" Target="https://pwd.org.au/pwda-submission-to-the-review-of-the-disability-discrimination-act-1992/" TargetMode="External"/><Relationship Id="rId25" Type="http://schemas.openxmlformats.org/officeDocument/2006/relationships/hyperlink" Target="https://www.ndis.gov.au/about-us/strategies/cultural-and-linguistic-diversity-strategy" TargetMode="External"/><Relationship Id="rId33" Type="http://schemas.openxmlformats.org/officeDocument/2006/relationships/hyperlink" Target="https://neda.org.au/policy-engagements/" TargetMode="External"/><Relationship Id="rId38" Type="http://schemas.openxmlformats.org/officeDocument/2006/relationships/hyperlink" Target="https://www.dfat.gov.au/sites/default/files/australia-sixth-icescr-report.pdf" TargetMode="External"/><Relationship Id="rId46" Type="http://schemas.openxmlformats.org/officeDocument/2006/relationships/hyperlink" Target="https://www.dfat.gov.au/sites/default/files/australia-sixth-icescr-report.pdf" TargetMode="External"/><Relationship Id="rId59" Type="http://schemas.openxmlformats.org/officeDocument/2006/relationships/hyperlink" Target="PWDA,%20NEDA%20and%20Federation%20of%20Ethnic%20Communities'%20Councils%20of%20Australia%20(FECCA)%20(2021)%20The%20Experiences%20and%20Perspectives%20of%20People%20with%20Disability%20From%20Culturally%20and%20Linguistically%20Diverse%20Backgrounds,%20PWDA,%20NEDA%20and%20FECCA,%20accessed%2013%20January%202026." TargetMode="External"/><Relationship Id="rId20" Type="http://schemas.openxmlformats.org/officeDocument/2006/relationships/hyperlink" Target="https://wwda.org.au/wp-content/uploads/2025/01/Survey-Report-for-submission-3.12.2024.pdf" TargetMode="External"/><Relationship Id="rId41" Type="http://schemas.openxmlformats.org/officeDocument/2006/relationships/hyperlink" Target="https://www.dfat.gov.au/sites/default/files/australia-sixth-icescr-report.pdf" TargetMode="External"/><Relationship Id="rId54" Type="http://schemas.openxmlformats.org/officeDocument/2006/relationships/hyperlink" Target="https://www.nccd.edu.au/wider-support-materials/learning-differences-learning-difficulties-learning-disabilities-and-nccd" TargetMode="External"/><Relationship Id="rId1" Type="http://schemas.openxmlformats.org/officeDocument/2006/relationships/hyperlink" Target="https://docs.un.org/en/E/C.12/AUS/CO/5" TargetMode="External"/><Relationship Id="rId6" Type="http://schemas.openxmlformats.org/officeDocument/2006/relationships/hyperlink" Target="https://www.dfat.gov.au/sites/default/files/australia-sixth-icescr-report.pdf" TargetMode="External"/><Relationship Id="rId15" Type="http://schemas.openxmlformats.org/officeDocument/2006/relationships/hyperlink" Target="https://www.health.gov.au/resources/publications/disability-royal-commission-progress-report-2025-0?language=en" TargetMode="External"/><Relationship Id="rId23" Type="http://schemas.openxmlformats.org/officeDocument/2006/relationships/hyperlink" Target="https://pwd.org.au/the-experiences-and-perspectives-of-people-with-disability-from-culturally-and-linguistically-diverse-backgrounds-joint-submission-to-the-disability-royal-commission-by-pwda-neda-and-fecca/" TargetMode="External"/><Relationship Id="rId28" Type="http://schemas.openxmlformats.org/officeDocument/2006/relationships/hyperlink" Target="https://www.aph.gov.au/DocumentStore.ashx?id=69da5793-458c-4215-a6ca-e12857d67fb8&amp;subId=777551" TargetMode="External"/><Relationship Id="rId36" Type="http://schemas.openxmlformats.org/officeDocument/2006/relationships/hyperlink" Target="https://www.health.gov.au/resources/publications/disability-royal-commission-progress-report-2025-0?language=en" TargetMode="External"/><Relationship Id="rId49" Type="http://schemas.openxmlformats.org/officeDocument/2006/relationships/hyperlink" Target="https://pwd.org.au/the-experiences-and-perspectives-of-people-with-disability-from-culturally-and-linguistically-diverse-backgrounds-joint-submission-to-the-disability-royal-commission-by-pwda-neda-and-fecca/" TargetMode="External"/><Relationship Id="rId57" Type="http://schemas.openxmlformats.org/officeDocument/2006/relationships/hyperlink" Target="https://doi.org/10.3389/fsoc.2025.1593330" TargetMode="External"/><Relationship Id="rId10" Type="http://schemas.openxmlformats.org/officeDocument/2006/relationships/hyperlink" Target="https://docs.un.org/en/CRPD/C/AUS/CO/2-3" TargetMode="External"/><Relationship Id="rId31" Type="http://schemas.openxmlformats.org/officeDocument/2006/relationships/hyperlink" Target="https://pwd.org.au/the-experiences-and-perspectives-of-people-with-disability-from-culturally-and-linguistically-diverse-backgrounds-joint-submission-to-the-disability-royal-commission-by-pwda-neda-and-fecca/" TargetMode="External"/><Relationship Id="rId44" Type="http://schemas.openxmlformats.org/officeDocument/2006/relationships/hyperlink" Target="https://wwda.org.au/wp-content/uploads/2020/08/Factsheet_No_7_Migration.pdf" TargetMode="External"/><Relationship Id="rId52" Type="http://schemas.openxmlformats.org/officeDocument/2006/relationships/hyperlink" Target="https://www.dfat.gov.au/sites/default/files/australia-sixth-icescr-report.pdf" TargetMode="External"/><Relationship Id="rId60" Type="http://schemas.openxmlformats.org/officeDocument/2006/relationships/hyperlink" Target="PWDA,%20NEDA%20and%20Federation%20of%20Ethnic%20Communities'%20Councils%20of%20Australia%20(FECCA)%20(2021)%20The%20Experiences%20and%20Perspectives%20of%20People%20with%20Disability%20From%20Culturally%20and%20Linguistically%20Diverse%20Backgrounds,%20PWDA,%20NEDA%20and%20FECCA,%20accessed%2013%20January%202026."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2DDDB"/>
      </a:lt2>
      <a:accent1>
        <a:srgbClr val="005496"/>
      </a:accent1>
      <a:accent2>
        <a:srgbClr val="00BDF2"/>
      </a:accent2>
      <a:accent3>
        <a:srgbClr val="E2DDDB"/>
      </a:accent3>
      <a:accent4>
        <a:srgbClr val="45B97C"/>
      </a:accent4>
      <a:accent5>
        <a:srgbClr val="6C8CC7"/>
      </a:accent5>
      <a:accent6>
        <a:srgbClr val="00AE9D"/>
      </a:accent6>
      <a:hlink>
        <a:srgbClr val="00549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Props1.xml><?xml version="1.0" encoding="utf-8"?>
<ds:datastoreItem xmlns:ds="http://schemas.openxmlformats.org/officeDocument/2006/customXml" ds:itemID="{C7A3E5A5-8F89-4E85-87A1-68DC09914CE7}">
  <ds:schemaRefs>
    <ds:schemaRef ds:uri="http://schemas.openxmlformats.org/officeDocument/2006/bibliography"/>
  </ds:schemaRefs>
</ds:datastoreItem>
</file>

<file path=customXml/itemProps2.xml><?xml version="1.0" encoding="utf-8"?>
<ds:datastoreItem xmlns:ds="http://schemas.openxmlformats.org/officeDocument/2006/customXml" ds:itemID="{FBA2AD3E-6965-4303-A6DC-83B25407D670}"/>
</file>

<file path=customXml/itemProps3.xml><?xml version="1.0" encoding="utf-8"?>
<ds:datastoreItem xmlns:ds="http://schemas.openxmlformats.org/officeDocument/2006/customXml" ds:itemID="{D8D40434-D625-49F4-AD41-D331595534A6}">
  <ds:schemaRefs>
    <ds:schemaRef ds:uri="http://schemas.microsoft.com/sharepoint/v3/contenttype/forms"/>
  </ds:schemaRefs>
</ds:datastoreItem>
</file>

<file path=customXml/itemProps4.xml><?xml version="1.0" encoding="utf-8"?>
<ds:datastoreItem xmlns:ds="http://schemas.openxmlformats.org/officeDocument/2006/customXml" ds:itemID="{CFD467EC-2DC0-4206-AECF-A1FF81333F09}">
  <ds:schemaRefs>
    <ds:schemaRef ds:uri="http://schemas.microsoft.com/office/2006/metadata/properties"/>
    <ds:schemaRef ds:uri="http://schemas.microsoft.com/office/infopath/2007/PartnerControls"/>
    <ds:schemaRef ds:uri="b245a0e0-c39d-46fd-ad71-b02ad4ee889c"/>
    <ds:schemaRef ds:uri="ded455b3-1e40-45f0-a7d3-fac936739d56"/>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15</Pages>
  <Words>4571</Words>
  <Characters>28982</Characters>
  <Application>Microsoft Office Word</Application>
  <DocSecurity>0</DocSecurity>
  <Lines>483</Lines>
  <Paragraphs>166</Paragraphs>
  <ScaleCrop>false</ScaleCrop>
  <Company>People with Disability Australia Incorporated</Company>
  <LinksUpToDate>false</LinksUpToDate>
  <CharactersWithSpaces>33387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Ira</dc:creator>
  <cp:keywords/>
  <dc:description/>
  <cp:lastModifiedBy>Lisa Ira</cp:lastModifiedBy>
  <cp:revision>156</cp:revision>
  <cp:lastPrinted>2023-07-24T23:05:00Z</cp:lastPrinted>
  <dcterms:created xsi:type="dcterms:W3CDTF">2026-01-13T03:53:00Z</dcterms:created>
  <dcterms:modified xsi:type="dcterms:W3CDTF">2026-01-13T11:32:00Z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1389400</vt:r8>
  </property>
  <property fmtid="{D5CDD505-2E9C-101B-9397-08002B2CF9AE}" pid="4" name="MediaServiceImageTags">
    <vt:lpwstr/>
  </property>
</Properties>
</file>