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C8AB" w14:textId="77777777" w:rsidR="004B78DF" w:rsidRDefault="00C74182" w:rsidP="00C74182">
      <w:pPr>
        <w:pStyle w:val="Header"/>
        <w:ind w:left="5387"/>
        <w:jc w:val="right"/>
      </w:pPr>
      <w:r>
        <w:rPr>
          <w:noProof/>
        </w:rPr>
        <w:drawing>
          <wp:inline distT="0" distB="0" distL="0" distR="0" wp14:anchorId="74DA3AE5" wp14:editId="48FFAC97">
            <wp:extent cx="2393527" cy="718058"/>
            <wp:effectExtent l="0" t="0" r="6985" b="0"/>
            <wp:docPr id="725784046" name="Picture 2" descr="PW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84046" name="Picture 2" descr="PWDA logo"/>
                    <pic:cNvPicPr/>
                  </pic:nvPicPr>
                  <pic:blipFill>
                    <a:blip r:embed="rId11">
                      <a:extLst>
                        <a:ext uri="{28A0092B-C50C-407E-A947-70E740481C1C}">
                          <a14:useLocalDpi xmlns:a14="http://schemas.microsoft.com/office/drawing/2010/main" val="0"/>
                        </a:ext>
                      </a:extLst>
                    </a:blip>
                    <a:stretch>
                      <a:fillRect/>
                    </a:stretch>
                  </pic:blipFill>
                  <pic:spPr>
                    <a:xfrm>
                      <a:off x="0" y="0"/>
                      <a:ext cx="2426720" cy="728016"/>
                    </a:xfrm>
                    <a:prstGeom prst="rect">
                      <a:avLst/>
                    </a:prstGeom>
                  </pic:spPr>
                </pic:pic>
              </a:graphicData>
            </a:graphic>
          </wp:inline>
        </w:drawing>
      </w:r>
    </w:p>
    <w:p w14:paraId="50FD4853" w14:textId="77777777" w:rsidR="00C74182" w:rsidRDefault="00C74182" w:rsidP="00382057">
      <w:pPr>
        <w:pStyle w:val="Header"/>
        <w:ind w:left="5387"/>
      </w:pPr>
    </w:p>
    <w:p w14:paraId="1FCC69E7" w14:textId="77777777" w:rsidR="00C74182" w:rsidRPr="00382057" w:rsidRDefault="00C74182" w:rsidP="00382057">
      <w:pPr>
        <w:pStyle w:val="Header"/>
        <w:ind w:left="5387"/>
        <w:sectPr w:rsidR="00C74182" w:rsidRPr="00382057" w:rsidSect="00210798">
          <w:headerReference w:type="default" r:id="rId12"/>
          <w:footerReference w:type="default" r:id="rId13"/>
          <w:headerReference w:type="first" r:id="rId14"/>
          <w:footerReference w:type="first" r:id="rId15"/>
          <w:type w:val="continuous"/>
          <w:pgSz w:w="11906" w:h="16838" w:code="9"/>
          <w:pgMar w:top="567" w:right="1134" w:bottom="1560" w:left="1134" w:header="0" w:footer="0" w:gutter="0"/>
          <w:cols w:space="708"/>
          <w:titlePg/>
          <w:docGrid w:linePitch="360"/>
        </w:sectPr>
      </w:pPr>
    </w:p>
    <w:p w14:paraId="00077CEB" w14:textId="77777777" w:rsidR="004B78DF" w:rsidRPr="004B78DF" w:rsidRDefault="00B25C49" w:rsidP="005F630B">
      <w:pPr>
        <w:pStyle w:val="Header"/>
        <w:spacing w:line="276" w:lineRule="auto"/>
        <w:ind w:left="5954" w:right="-283"/>
        <w:rPr>
          <w:b w:val="0"/>
          <w:bCs w:val="0"/>
          <w:sz w:val="20"/>
          <w:szCs w:val="20"/>
        </w:rPr>
      </w:pPr>
      <w:r w:rsidRPr="004B78DF">
        <w:rPr>
          <w:b w:val="0"/>
          <w:bCs w:val="0"/>
          <w:sz w:val="20"/>
          <w:szCs w:val="20"/>
        </w:rPr>
        <w:t>PO Box 666</w:t>
      </w:r>
      <w:r w:rsidR="004B78DF">
        <w:rPr>
          <w:b w:val="0"/>
          <w:bCs w:val="0"/>
          <w:sz w:val="20"/>
          <w:szCs w:val="20"/>
        </w:rPr>
        <w:br/>
      </w:r>
      <w:r w:rsidRPr="004B78DF">
        <w:rPr>
          <w:b w:val="0"/>
          <w:bCs w:val="0"/>
          <w:sz w:val="20"/>
          <w:szCs w:val="20"/>
        </w:rPr>
        <w:t>Strawberry Hills</w:t>
      </w:r>
      <w:r w:rsidR="004B78DF">
        <w:rPr>
          <w:b w:val="0"/>
          <w:bCs w:val="0"/>
          <w:sz w:val="20"/>
          <w:szCs w:val="20"/>
        </w:rPr>
        <w:br/>
      </w:r>
      <w:r w:rsidRPr="004B78DF">
        <w:rPr>
          <w:b w:val="0"/>
          <w:bCs w:val="0"/>
          <w:sz w:val="20"/>
          <w:szCs w:val="20"/>
        </w:rPr>
        <w:t>NSW 2012</w:t>
      </w:r>
    </w:p>
    <w:p w14:paraId="3A4FE71D" w14:textId="77777777" w:rsidR="00810253" w:rsidRDefault="003E3F06" w:rsidP="003E3F06">
      <w:pPr>
        <w:pStyle w:val="Header"/>
        <w:spacing w:line="276" w:lineRule="auto"/>
        <w:ind w:right="-569"/>
        <w:rPr>
          <w:rStyle w:val="Hyperlink"/>
          <w:bCs w:val="0"/>
          <w:sz w:val="20"/>
          <w:szCs w:val="20"/>
        </w:rPr>
        <w:sectPr w:rsidR="00810253" w:rsidSect="003E3F06">
          <w:type w:val="continuous"/>
          <w:pgSz w:w="11906" w:h="16838" w:code="9"/>
          <w:pgMar w:top="567" w:right="566" w:bottom="1560" w:left="1134" w:header="0" w:footer="0" w:gutter="0"/>
          <w:cols w:num="2" w:space="851" w:equalWidth="0">
            <w:col w:w="7088" w:space="851"/>
            <w:col w:w="1699"/>
          </w:cols>
          <w:titlePg/>
          <w:docGrid w:linePitch="360"/>
        </w:sectPr>
      </w:pPr>
      <w:r>
        <w:rPr>
          <w:b w:val="0"/>
          <w:bCs w:val="0"/>
          <w:sz w:val="20"/>
          <w:szCs w:val="20"/>
        </w:rPr>
        <w:t>Toll</w:t>
      </w:r>
      <w:r w:rsidR="00296801">
        <w:rPr>
          <w:b w:val="0"/>
          <w:bCs w:val="0"/>
          <w:sz w:val="20"/>
          <w:szCs w:val="20"/>
        </w:rPr>
        <w:t xml:space="preserve"> </w:t>
      </w:r>
      <w:r>
        <w:rPr>
          <w:b w:val="0"/>
          <w:bCs w:val="0"/>
          <w:sz w:val="20"/>
          <w:szCs w:val="20"/>
        </w:rPr>
        <w:t>free 1800 422</w:t>
      </w:r>
      <w:r w:rsidR="006A0333">
        <w:rPr>
          <w:b w:val="0"/>
          <w:bCs w:val="0"/>
          <w:sz w:val="20"/>
          <w:szCs w:val="20"/>
        </w:rPr>
        <w:t xml:space="preserve"> 015</w:t>
      </w:r>
      <w:r w:rsidR="005F630B">
        <w:rPr>
          <w:b w:val="0"/>
          <w:bCs w:val="0"/>
          <w:sz w:val="20"/>
          <w:szCs w:val="20"/>
        </w:rPr>
        <w:br/>
      </w:r>
      <w:hyperlink r:id="rId16" w:history="1">
        <w:r w:rsidR="004B78DF" w:rsidRPr="004B78DF">
          <w:rPr>
            <w:rStyle w:val="Hyperlink"/>
            <w:sz w:val="20"/>
            <w:szCs w:val="20"/>
          </w:rPr>
          <w:t>pwd@pwd.org.au</w:t>
        </w:r>
      </w:hyperlink>
      <w:r w:rsidR="005F630B">
        <w:rPr>
          <w:rStyle w:val="Hyperlink"/>
          <w:b/>
          <w:sz w:val="20"/>
          <w:szCs w:val="20"/>
        </w:rPr>
        <w:br/>
      </w:r>
      <w:hyperlink r:id="rId17" w:tooltip="PWDA website" w:history="1">
        <w:r w:rsidR="00B25C49" w:rsidRPr="004B78DF">
          <w:rPr>
            <w:rStyle w:val="Hyperlink"/>
            <w:bCs w:val="0"/>
            <w:sz w:val="20"/>
            <w:szCs w:val="20"/>
          </w:rPr>
          <w:t>www.pwd.org.au</w:t>
        </w:r>
      </w:hyperlink>
    </w:p>
    <w:p w14:paraId="26620FAA" w14:textId="179F3332" w:rsidR="00665E6E" w:rsidRDefault="00E026F3" w:rsidP="0057465D">
      <w:pPr>
        <w:pStyle w:val="AddressBlockdate"/>
        <w:spacing w:after="360"/>
        <w:rPr>
          <w:bCs/>
        </w:rPr>
      </w:pPr>
      <w:r>
        <w:rPr>
          <w:bCs/>
        </w:rPr>
        <w:t>17 October 2025</w:t>
      </w:r>
    </w:p>
    <w:p w14:paraId="1AFFC2DA" w14:textId="5B29E4B7" w:rsidR="0057465D" w:rsidRDefault="007C7AB9" w:rsidP="00D70975">
      <w:pPr>
        <w:pStyle w:val="recipientaddress"/>
        <w:spacing w:line="360" w:lineRule="auto"/>
        <w:rPr>
          <w:b/>
        </w:rPr>
      </w:pPr>
      <w:bookmarkStart w:id="1" w:name="_Hlk87383404"/>
      <w:r>
        <w:t>Standing Committee on Social Issues</w:t>
      </w:r>
      <w:r w:rsidR="00310E3F">
        <w:br/>
      </w:r>
      <w:r>
        <w:t>Legislative Council</w:t>
      </w:r>
      <w:r w:rsidR="00310E3F">
        <w:br/>
      </w:r>
      <w:r>
        <w:t>Parliament of New South Wales</w:t>
      </w:r>
      <w:r w:rsidR="00310E3F">
        <w:br/>
      </w:r>
    </w:p>
    <w:p w14:paraId="60E2F3B8" w14:textId="2C3095C1" w:rsidR="0035331A" w:rsidRDefault="007C7AB9" w:rsidP="00D70975">
      <w:pPr>
        <w:pStyle w:val="recipientaddress"/>
        <w:spacing w:line="360" w:lineRule="auto"/>
        <w:rPr>
          <w:b/>
        </w:rPr>
      </w:pPr>
      <w:r>
        <w:t xml:space="preserve">Submitted via </w:t>
      </w:r>
      <w:hyperlink r:id="rId18" w:anchor="tab-submissions" w:history="1">
        <w:r w:rsidRPr="000F60ED">
          <w:rPr>
            <w:rStyle w:val="Hyperlink"/>
          </w:rPr>
          <w:t>Inquiry webpage</w:t>
        </w:r>
      </w:hyperlink>
    </w:p>
    <w:p w14:paraId="7DACC177" w14:textId="5EEDE9DF" w:rsidR="0057465D" w:rsidRDefault="0035331A" w:rsidP="00D70975">
      <w:pPr>
        <w:pStyle w:val="recipientaddress"/>
        <w:spacing w:line="360" w:lineRule="auto"/>
        <w:rPr>
          <w:b/>
        </w:rPr>
      </w:pPr>
      <w:r>
        <w:t xml:space="preserve">Dear </w:t>
      </w:r>
      <w:r w:rsidR="007C7AB9">
        <w:t>Committee</w:t>
      </w:r>
    </w:p>
    <w:p w14:paraId="6786FA73" w14:textId="38818CCD" w:rsidR="00E26297" w:rsidRPr="00D664A5" w:rsidRDefault="007C7AB9" w:rsidP="00D70975">
      <w:pPr>
        <w:pStyle w:val="Heading1"/>
        <w:spacing w:line="360" w:lineRule="auto"/>
      </w:pPr>
      <w:bookmarkStart w:id="2" w:name="_Hlk83653413"/>
      <w:bookmarkEnd w:id="1"/>
      <w:r>
        <w:rPr>
          <w:rStyle w:val="Heading1Char"/>
          <w:b/>
        </w:rPr>
        <w:t xml:space="preserve">Inquiry into the New South Wales </w:t>
      </w:r>
      <w:r w:rsidR="00177516">
        <w:rPr>
          <w:rStyle w:val="Heading1Char"/>
          <w:b/>
        </w:rPr>
        <w:t>U</w:t>
      </w:r>
      <w:r>
        <w:rPr>
          <w:rStyle w:val="Heading1Char"/>
          <w:b/>
        </w:rPr>
        <w:t xml:space="preserve">niversity </w:t>
      </w:r>
      <w:r w:rsidR="00177516">
        <w:rPr>
          <w:rStyle w:val="Heading1Char"/>
          <w:b/>
        </w:rPr>
        <w:t>S</w:t>
      </w:r>
      <w:r>
        <w:rPr>
          <w:rStyle w:val="Heading1Char"/>
          <w:b/>
        </w:rPr>
        <w:t>ector</w:t>
      </w:r>
    </w:p>
    <w:p w14:paraId="2ED9830D" w14:textId="77777777" w:rsidR="00DD2FD9" w:rsidRDefault="007C7AB9" w:rsidP="00D70975">
      <w:pPr>
        <w:pStyle w:val="BodyText"/>
        <w:spacing w:line="360" w:lineRule="auto"/>
        <w:rPr>
          <w:rFonts w:ascii="Arial" w:hAnsi="Arial" w:cs="Arial"/>
          <w:color w:val="000000"/>
          <w:lang w:val="en-US"/>
        </w:rPr>
      </w:pPr>
      <w:r w:rsidRPr="00317AA3">
        <w:rPr>
          <w:rFonts w:ascii="Arial" w:hAnsi="Arial" w:cs="Arial"/>
          <w:color w:val="000000"/>
          <w:lang w:val="en-US"/>
        </w:rPr>
        <w:t xml:space="preserve">People with Disability Australia (PWDA) welcomes this opportunity to provide </w:t>
      </w:r>
      <w:r>
        <w:rPr>
          <w:rFonts w:ascii="Arial" w:hAnsi="Arial" w:cs="Arial"/>
          <w:color w:val="000000"/>
          <w:lang w:val="en-US"/>
        </w:rPr>
        <w:t>comment</w:t>
      </w:r>
      <w:r w:rsidRPr="00317AA3">
        <w:rPr>
          <w:rFonts w:ascii="Arial" w:hAnsi="Arial" w:cs="Arial"/>
          <w:color w:val="000000"/>
          <w:lang w:val="en-US"/>
        </w:rPr>
        <w:t xml:space="preserve"> on the</w:t>
      </w:r>
      <w:r>
        <w:rPr>
          <w:rFonts w:ascii="Arial" w:hAnsi="Arial" w:cs="Arial"/>
          <w:color w:val="000000"/>
          <w:lang w:val="en-US"/>
        </w:rPr>
        <w:t xml:space="preserve"> NSW Parliamentary </w:t>
      </w:r>
      <w:hyperlink r:id="rId19" w:anchor="tab-members" w:history="1">
        <w:r w:rsidRPr="007C7AB9">
          <w:rPr>
            <w:rStyle w:val="Hyperlink"/>
            <w:rFonts w:ascii="Arial" w:hAnsi="Arial" w:cs="Arial"/>
            <w:lang w:val="en-US"/>
          </w:rPr>
          <w:t>Inquiry into the New South Wales University Sector</w:t>
        </w:r>
      </w:hyperlink>
      <w:r>
        <w:rPr>
          <w:rFonts w:ascii="Arial" w:hAnsi="Arial" w:cs="Arial"/>
          <w:color w:val="000000"/>
          <w:lang w:val="en-US"/>
        </w:rPr>
        <w:t>.</w:t>
      </w:r>
    </w:p>
    <w:p w14:paraId="3C02166E" w14:textId="7EC035B6" w:rsidR="00DD2FD9" w:rsidRPr="00DD2FD9" w:rsidRDefault="007C7AB9" w:rsidP="00D70975">
      <w:pPr>
        <w:pStyle w:val="BodyText"/>
        <w:spacing w:line="360" w:lineRule="auto"/>
        <w:rPr>
          <w:rFonts w:ascii="Arial" w:hAnsi="Arial" w:cs="Arial"/>
          <w:color w:val="000000"/>
          <w:lang w:val="en-US"/>
        </w:rPr>
      </w:pPr>
      <w:r>
        <w:rPr>
          <w:rFonts w:ascii="Arial" w:eastAsia="Arial" w:hAnsi="Arial" w:cs="Arial"/>
        </w:rPr>
        <w:t xml:space="preserve">PWDA </w:t>
      </w:r>
      <w:r w:rsidRPr="007C7AB9">
        <w:rPr>
          <w:rFonts w:ascii="Arial" w:eastAsia="Arial" w:hAnsi="Arial" w:cs="Arial"/>
        </w:rPr>
        <w:t>is a national disability rights and advocacy organisation made up of, and led by, people with disability. We have a vision of a socially just, accessible and inclusive community in which the contribution, potential and diversity of people with disability are not only recognised and respected but also celebrated.</w:t>
      </w:r>
    </w:p>
    <w:p w14:paraId="4FD2ABEA" w14:textId="4C3CD23C" w:rsidR="00DD2FD9" w:rsidRDefault="00DD2FD9" w:rsidP="00D70975">
      <w:pPr>
        <w:spacing w:line="360" w:lineRule="auto"/>
        <w:rPr>
          <w:rFonts w:ascii="Arial" w:eastAsia="Arial" w:hAnsi="Arial" w:cs="Arial"/>
        </w:rPr>
      </w:pPr>
      <w:r w:rsidRPr="00DD2FD9">
        <w:rPr>
          <w:rFonts w:ascii="Arial" w:eastAsia="Arial" w:hAnsi="Arial" w:cs="Arial"/>
        </w:rPr>
        <w:t xml:space="preserve">Our work is grounded in a human rights framework that recognises the United Nations </w:t>
      </w:r>
      <w:hyperlink r:id="rId20" w:history="1">
        <w:r w:rsidRPr="008B4E2B">
          <w:rPr>
            <w:rStyle w:val="Hyperlink"/>
            <w:rFonts w:ascii="Arial" w:eastAsia="Arial" w:hAnsi="Arial" w:cs="Arial"/>
            <w:i/>
            <w:iCs/>
          </w:rPr>
          <w:t>Convention on the Rights of Persons with Disabilities</w:t>
        </w:r>
      </w:hyperlink>
      <w:r w:rsidRPr="00DD2FD9">
        <w:rPr>
          <w:rFonts w:ascii="Arial" w:eastAsia="Arial" w:hAnsi="Arial" w:cs="Arial"/>
        </w:rPr>
        <w:t xml:space="preserve"> (CRPD)</w:t>
      </w:r>
      <w:r>
        <w:rPr>
          <w:rFonts w:ascii="Arial" w:eastAsia="Arial" w:hAnsi="Arial" w:cs="Arial"/>
        </w:rPr>
        <w:t xml:space="preserve"> </w:t>
      </w:r>
      <w:r w:rsidRPr="00DD2FD9">
        <w:rPr>
          <w:rFonts w:ascii="Arial" w:eastAsia="Arial" w:hAnsi="Arial" w:cs="Arial"/>
        </w:rPr>
        <w:t>and related mechanisms as fundamental tools for advancing the rights of people with disability</w:t>
      </w:r>
      <w:r>
        <w:rPr>
          <w:rFonts w:ascii="Arial" w:eastAsia="Arial" w:hAnsi="Arial" w:cs="Arial"/>
        </w:rPr>
        <w:t xml:space="preserve">. </w:t>
      </w:r>
    </w:p>
    <w:p w14:paraId="6EBDC94D" w14:textId="601A0C65" w:rsidR="00DD2FD9" w:rsidRPr="00DD2FD9" w:rsidRDefault="00DD2FD9" w:rsidP="00D70975">
      <w:pPr>
        <w:spacing w:line="360" w:lineRule="auto"/>
        <w:rPr>
          <w:rFonts w:ascii="Arial" w:eastAsia="Arial" w:hAnsi="Arial" w:cs="Arial"/>
        </w:rPr>
      </w:pPr>
      <w:r>
        <w:rPr>
          <w:rFonts w:ascii="Arial" w:hAnsi="Arial" w:cs="Arial"/>
          <w:color w:val="000000"/>
          <w:lang w:val="en-US"/>
        </w:rPr>
        <w:t>We are</w:t>
      </w:r>
      <w:r w:rsidR="007C7AB9">
        <w:rPr>
          <w:rFonts w:ascii="Arial" w:hAnsi="Arial"/>
        </w:rPr>
        <w:t xml:space="preserve"> funded to provide cross-disability systemic advocacy on behalf of people with disability in NSW under the Department of Communities and Justice’s </w:t>
      </w:r>
      <w:r w:rsidR="007C7AB9" w:rsidRPr="00555547">
        <w:rPr>
          <w:rFonts w:ascii="Arial" w:hAnsi="Arial"/>
          <w:i/>
          <w:iCs/>
        </w:rPr>
        <w:t>Disability Advocacy Futures Program</w:t>
      </w:r>
      <w:r w:rsidR="007C7AB9">
        <w:rPr>
          <w:rFonts w:ascii="Arial" w:hAnsi="Arial"/>
        </w:rPr>
        <w:t xml:space="preserve">. </w:t>
      </w:r>
    </w:p>
    <w:p w14:paraId="295F9AB1" w14:textId="3DF952FB" w:rsidR="006A5370" w:rsidRDefault="007C7AB9" w:rsidP="00D70975">
      <w:pPr>
        <w:pStyle w:val="BodyText"/>
        <w:spacing w:before="1" w:line="360" w:lineRule="auto"/>
        <w:ind w:right="277"/>
        <w:rPr>
          <w:rFonts w:ascii="Arial" w:hAnsi="Arial"/>
        </w:rPr>
      </w:pPr>
      <w:r w:rsidRPr="009F6DDF">
        <w:rPr>
          <w:rFonts w:ascii="Arial" w:hAnsi="Arial" w:cs="Arial"/>
          <w:color w:val="000000"/>
          <w:lang w:val="en-US"/>
        </w:rPr>
        <w:t>People with disability continue to experience discrimination and poorer life outcomes across all life domains when compared with those without disability</w:t>
      </w:r>
      <w:r w:rsidR="00B25DE5">
        <w:rPr>
          <w:rFonts w:ascii="Arial" w:hAnsi="Arial" w:cs="Arial"/>
          <w:color w:val="000000"/>
          <w:lang w:val="en-US"/>
        </w:rPr>
        <w:t xml:space="preserve"> (</w:t>
      </w:r>
      <w:proofErr w:type="spellStart"/>
      <w:r w:rsidR="00B25DE5">
        <w:rPr>
          <w:rFonts w:ascii="Arial" w:hAnsi="Arial" w:cs="Arial"/>
          <w:color w:val="000000"/>
          <w:lang w:val="en-US"/>
        </w:rPr>
        <w:t>Kayess</w:t>
      </w:r>
      <w:proofErr w:type="spellEnd"/>
      <w:r w:rsidR="00B25DE5">
        <w:rPr>
          <w:rFonts w:ascii="Arial" w:hAnsi="Arial" w:cs="Arial"/>
          <w:color w:val="000000"/>
          <w:lang w:val="en-US"/>
        </w:rPr>
        <w:t xml:space="preserve"> &amp; Sands</w:t>
      </w:r>
      <w:r w:rsidR="00DF7547">
        <w:rPr>
          <w:rFonts w:ascii="Arial" w:hAnsi="Arial" w:cs="Arial"/>
          <w:color w:val="000000"/>
          <w:lang w:val="en-US"/>
        </w:rPr>
        <w:t>,</w:t>
      </w:r>
      <w:r w:rsidR="00B25DE5">
        <w:rPr>
          <w:rFonts w:ascii="Arial" w:hAnsi="Arial" w:cs="Arial"/>
          <w:color w:val="000000"/>
          <w:lang w:val="en-US"/>
        </w:rPr>
        <w:t xml:space="preserve"> 2020; </w:t>
      </w:r>
      <w:r w:rsidR="00793A44">
        <w:rPr>
          <w:rFonts w:ascii="Arial" w:hAnsi="Arial" w:cs="Arial"/>
          <w:color w:val="000000"/>
          <w:lang w:val="en-US"/>
        </w:rPr>
        <w:t>Australian Bureau of Statistics</w:t>
      </w:r>
      <w:r w:rsidR="00DF7547">
        <w:rPr>
          <w:rFonts w:ascii="Arial" w:hAnsi="Arial" w:cs="Arial"/>
          <w:color w:val="000000"/>
          <w:lang w:val="en-US"/>
        </w:rPr>
        <w:t>,</w:t>
      </w:r>
      <w:r w:rsidR="00793A44">
        <w:rPr>
          <w:rFonts w:ascii="Arial" w:hAnsi="Arial" w:cs="Arial"/>
          <w:color w:val="000000"/>
          <w:lang w:val="en-US"/>
        </w:rPr>
        <w:t xml:space="preserve"> 2022)</w:t>
      </w:r>
      <w:r w:rsidR="001B6297">
        <w:rPr>
          <w:rFonts w:ascii="Arial" w:hAnsi="Arial" w:cs="Arial"/>
          <w:color w:val="000000"/>
          <w:lang w:val="en-US"/>
        </w:rPr>
        <w:t>.</w:t>
      </w:r>
      <w:r w:rsidR="0037623C">
        <w:rPr>
          <w:rFonts w:ascii="Arial" w:hAnsi="Arial" w:cs="Arial"/>
          <w:color w:val="000000"/>
          <w:lang w:val="en-US"/>
        </w:rPr>
        <w:t xml:space="preserve"> </w:t>
      </w:r>
      <w:r w:rsidR="006A5370">
        <w:rPr>
          <w:rFonts w:ascii="Arial" w:hAnsi="Arial" w:cs="Arial"/>
          <w:color w:val="000000"/>
          <w:lang w:val="en-US"/>
        </w:rPr>
        <w:t xml:space="preserve">2022 data </w:t>
      </w:r>
      <w:proofErr w:type="gramStart"/>
      <w:r w:rsidR="006A5370">
        <w:rPr>
          <w:rFonts w:ascii="Arial" w:hAnsi="Arial" w:cs="Arial"/>
          <w:color w:val="000000"/>
          <w:lang w:val="en-US"/>
        </w:rPr>
        <w:t>shows</w:t>
      </w:r>
      <w:proofErr w:type="gramEnd"/>
      <w:r w:rsidR="006A5370">
        <w:rPr>
          <w:rFonts w:ascii="Arial" w:hAnsi="Arial" w:cs="Arial"/>
          <w:color w:val="000000"/>
          <w:lang w:val="en-US"/>
        </w:rPr>
        <w:t xml:space="preserve"> 5.5 million Australians have a disability, around 21.4% of the population (Australian Bureau of Statistics, 2022)</w:t>
      </w:r>
      <w:r w:rsidR="006A5370" w:rsidRPr="009F6DDF">
        <w:rPr>
          <w:rFonts w:cs="Arial"/>
          <w:color w:val="000000"/>
          <w:lang w:val="en-US"/>
        </w:rPr>
        <w:t>.</w:t>
      </w:r>
      <w:r w:rsidR="0037623C" w:rsidRPr="009F6DDF">
        <w:rPr>
          <w:rFonts w:ascii="Arial" w:hAnsi="Arial" w:cs="Arial"/>
          <w:color w:val="000000"/>
          <w:lang w:val="en-US"/>
        </w:rPr>
        <w:t xml:space="preserve"> </w:t>
      </w:r>
      <w:r w:rsidR="006A5370" w:rsidRPr="009F6DDF">
        <w:rPr>
          <w:rFonts w:ascii="Arial" w:hAnsi="Arial" w:cs="Arial"/>
          <w:color w:val="000000"/>
          <w:lang w:val="en-US"/>
        </w:rPr>
        <w:lastRenderedPageBreak/>
        <w:t xml:space="preserve">This is an increase from 17.7% in 2018. In NSW the most recent 2018 data </w:t>
      </w:r>
      <w:proofErr w:type="gramStart"/>
      <w:r w:rsidR="006A5370" w:rsidRPr="009F6DDF">
        <w:rPr>
          <w:rFonts w:ascii="Arial" w:hAnsi="Arial" w:cs="Arial"/>
          <w:color w:val="000000"/>
          <w:lang w:val="en-US"/>
        </w:rPr>
        <w:t>shows</w:t>
      </w:r>
      <w:proofErr w:type="gramEnd"/>
      <w:r w:rsidR="006A5370" w:rsidRPr="009F6DDF">
        <w:rPr>
          <w:rFonts w:ascii="Arial" w:hAnsi="Arial" w:cs="Arial"/>
          <w:color w:val="000000"/>
          <w:lang w:val="en-US"/>
        </w:rPr>
        <w:t xml:space="preserve"> 16.9% of the population have a disability, equivalent to 1,346,200 residents</w:t>
      </w:r>
      <w:r w:rsidR="006A5370">
        <w:rPr>
          <w:rFonts w:ascii="Arial" w:hAnsi="Arial" w:cs="Arial"/>
          <w:color w:val="000000"/>
          <w:lang w:val="en-US"/>
        </w:rPr>
        <w:t xml:space="preserve"> (Australian Bureau of Statistics, 2018)</w:t>
      </w:r>
      <w:r w:rsidR="006A5370" w:rsidRPr="009F6DDF">
        <w:rPr>
          <w:rFonts w:ascii="Arial" w:hAnsi="Arial" w:cs="Arial"/>
          <w:color w:val="000000"/>
          <w:lang w:val="en-US"/>
        </w:rPr>
        <w:t>.</w:t>
      </w:r>
      <w:r w:rsidR="006A5370" w:rsidRPr="009F6DDF">
        <w:rPr>
          <w:rFonts w:ascii="Arial" w:hAnsi="Arial"/>
        </w:rPr>
        <w:t xml:space="preserve"> </w:t>
      </w:r>
    </w:p>
    <w:p w14:paraId="0539C645" w14:textId="1412BE1D" w:rsidR="006A5370" w:rsidRDefault="006A5370" w:rsidP="00D70975">
      <w:pPr>
        <w:pStyle w:val="Heading3"/>
        <w:spacing w:line="360" w:lineRule="auto"/>
      </w:pPr>
      <w:r>
        <w:t xml:space="preserve">Terms of reference </w:t>
      </w:r>
    </w:p>
    <w:p w14:paraId="0C260940" w14:textId="7489FABB" w:rsidR="006A5370" w:rsidRDefault="006A5370" w:rsidP="00D70975">
      <w:pPr>
        <w:pStyle w:val="BodyText"/>
        <w:spacing w:line="360" w:lineRule="auto"/>
        <w:rPr>
          <w:rFonts w:ascii="Arial" w:hAnsi="Arial" w:cs="Arial"/>
          <w:color w:val="000000"/>
          <w:lang w:val="en-US"/>
        </w:rPr>
      </w:pPr>
      <w:r>
        <w:rPr>
          <w:rFonts w:ascii="Arial" w:hAnsi="Arial" w:cs="Arial"/>
          <w:color w:val="000000"/>
          <w:lang w:val="en-US"/>
        </w:rPr>
        <w:t xml:space="preserve">This submission is responding to </w:t>
      </w:r>
      <w:proofErr w:type="spellStart"/>
      <w:r>
        <w:rPr>
          <w:rFonts w:ascii="Arial" w:hAnsi="Arial" w:cs="Arial"/>
          <w:color w:val="000000"/>
          <w:lang w:val="en-US"/>
        </w:rPr>
        <w:t>ToR</w:t>
      </w:r>
      <w:proofErr w:type="spellEnd"/>
      <w:r>
        <w:rPr>
          <w:rFonts w:ascii="Arial" w:hAnsi="Arial" w:cs="Arial"/>
          <w:color w:val="000000"/>
          <w:lang w:val="en-US"/>
        </w:rPr>
        <w:t xml:space="preserve"> (f)(</w:t>
      </w:r>
      <w:proofErr w:type="spellStart"/>
      <w:r>
        <w:rPr>
          <w:rFonts w:ascii="Arial" w:hAnsi="Arial" w:cs="Arial"/>
          <w:color w:val="000000"/>
          <w:lang w:val="en-US"/>
        </w:rPr>
        <w:t>i</w:t>
      </w:r>
      <w:proofErr w:type="spellEnd"/>
      <w:r>
        <w:rPr>
          <w:rFonts w:ascii="Arial" w:hAnsi="Arial" w:cs="Arial"/>
          <w:color w:val="000000"/>
          <w:lang w:val="en-US"/>
        </w:rPr>
        <w:t>):</w:t>
      </w:r>
    </w:p>
    <w:p w14:paraId="734650E0" w14:textId="7A68874F" w:rsidR="006A5370" w:rsidRPr="00B325B7" w:rsidRDefault="006A5370" w:rsidP="00D70975">
      <w:pPr>
        <w:pStyle w:val="BodyText"/>
        <w:spacing w:line="360" w:lineRule="auto"/>
        <w:ind w:left="360"/>
        <w:rPr>
          <w:rFonts w:ascii="Arial" w:hAnsi="Arial" w:cs="Arial"/>
          <w:i/>
          <w:iCs/>
          <w:color w:val="003E70" w:themeColor="text2" w:themeShade="BF"/>
          <w:lang w:val="en-US"/>
        </w:rPr>
      </w:pPr>
      <w:r>
        <w:rPr>
          <w:rFonts w:ascii="Arial" w:hAnsi="Arial" w:cs="Arial"/>
          <w:color w:val="000000"/>
          <w:lang w:val="en-US"/>
        </w:rPr>
        <w:t>“</w:t>
      </w:r>
      <w:r w:rsidRPr="00B325B7">
        <w:rPr>
          <w:rFonts w:ascii="Arial" w:hAnsi="Arial" w:cs="Arial"/>
          <w:i/>
          <w:iCs/>
          <w:color w:val="003E70" w:themeColor="text2" w:themeShade="BF"/>
          <w:lang w:val="en-US"/>
        </w:rPr>
        <w:t xml:space="preserve">The ability for current legislative and governance arrangements to support the accessibility of university education and derive public benefit, in particular: </w:t>
      </w:r>
    </w:p>
    <w:p w14:paraId="2F944F48" w14:textId="51818D3D" w:rsidR="006A5370" w:rsidRDefault="006A5370" w:rsidP="00D70975">
      <w:pPr>
        <w:pStyle w:val="BodyText"/>
        <w:numPr>
          <w:ilvl w:val="0"/>
          <w:numId w:val="21"/>
        </w:numPr>
        <w:spacing w:line="360" w:lineRule="auto"/>
        <w:rPr>
          <w:rFonts w:ascii="Arial" w:hAnsi="Arial" w:cs="Arial"/>
          <w:color w:val="000000"/>
          <w:lang w:val="en-US"/>
        </w:rPr>
      </w:pPr>
      <w:r w:rsidRPr="00B325B7">
        <w:rPr>
          <w:rFonts w:ascii="Arial" w:hAnsi="Arial" w:cs="Arial"/>
          <w:i/>
          <w:iCs/>
          <w:color w:val="003E70" w:themeColor="text2" w:themeShade="BF"/>
          <w:lang w:val="en-US"/>
        </w:rPr>
        <w:t>Supporting diversity, inclusion and access for disadvantaged groups</w:t>
      </w:r>
      <w:r>
        <w:rPr>
          <w:rFonts w:ascii="Arial" w:hAnsi="Arial" w:cs="Arial"/>
          <w:color w:val="000000"/>
          <w:lang w:val="en-US"/>
        </w:rPr>
        <w:t>.”</w:t>
      </w:r>
    </w:p>
    <w:p w14:paraId="2A3D8935" w14:textId="3B4E02EC" w:rsidR="006A5370" w:rsidRDefault="006A5370" w:rsidP="00D70975">
      <w:pPr>
        <w:pStyle w:val="Heading3"/>
        <w:spacing w:line="360" w:lineRule="auto"/>
      </w:pPr>
      <w:r>
        <w:t>Students with disability have a poor experience of higher education</w:t>
      </w:r>
    </w:p>
    <w:p w14:paraId="3D192E4F" w14:textId="7436F889" w:rsidR="006A5370" w:rsidRPr="00C578C7" w:rsidRDefault="006A5370" w:rsidP="00D70975">
      <w:pPr>
        <w:pStyle w:val="BodyText"/>
        <w:spacing w:before="1" w:line="360" w:lineRule="auto"/>
        <w:ind w:right="277"/>
        <w:rPr>
          <w:rFonts w:ascii="Arial" w:hAnsi="Arial"/>
        </w:rPr>
      </w:pPr>
      <w:r>
        <w:rPr>
          <w:rFonts w:ascii="Arial" w:hAnsi="Arial"/>
        </w:rPr>
        <w:t>The number of undergraduate students in Australia reporting a disability has steadily increased. In 2022 it was estimated at 11% (</w:t>
      </w:r>
      <w:r w:rsidRPr="008113D2">
        <w:rPr>
          <w:rFonts w:cstheme="minorHAnsi"/>
          <w:color w:val="222222"/>
          <w:shd w:val="clear" w:color="auto" w:fill="FFFFFF"/>
        </w:rPr>
        <w:t>Australian Institute of Health and Welfare</w:t>
      </w:r>
      <w:r>
        <w:rPr>
          <w:rFonts w:cstheme="minorHAnsi"/>
          <w:color w:val="222222"/>
          <w:shd w:val="clear" w:color="auto" w:fill="FFFFFF"/>
        </w:rPr>
        <w:t xml:space="preserve">, </w:t>
      </w:r>
      <w:r w:rsidRPr="008113D2">
        <w:rPr>
          <w:rFonts w:cstheme="minorHAnsi"/>
          <w:color w:val="222222"/>
          <w:shd w:val="clear" w:color="auto" w:fill="FFFFFF"/>
        </w:rPr>
        <w:t>2025)</w:t>
      </w:r>
      <w:r>
        <w:rPr>
          <w:rFonts w:ascii="Arial" w:hAnsi="Arial"/>
        </w:rPr>
        <w:t>.</w:t>
      </w:r>
      <w:r w:rsidR="0037623C">
        <w:rPr>
          <w:rFonts w:ascii="Arial" w:hAnsi="Arial"/>
        </w:rPr>
        <w:t xml:space="preserve"> </w:t>
      </w:r>
      <w:r>
        <w:rPr>
          <w:rFonts w:ascii="Arial" w:hAnsi="Arial"/>
        </w:rPr>
        <w:t>Other recent sources indicate that in 2023 students with disability had risen to 12.7% of the undergraduate cohort (Cadby et al, 2024).</w:t>
      </w:r>
    </w:p>
    <w:p w14:paraId="4CB82E23" w14:textId="7B41DA9B" w:rsidR="006A5370" w:rsidRDefault="006A5370" w:rsidP="00D70975">
      <w:pPr>
        <w:pStyle w:val="BodyText"/>
        <w:spacing w:line="360" w:lineRule="auto"/>
        <w:rPr>
          <w:rFonts w:ascii="Arial" w:hAnsi="Arial" w:cs="Arial"/>
          <w:color w:val="000000"/>
          <w:lang w:val="en-US"/>
        </w:rPr>
      </w:pPr>
      <w:r>
        <w:rPr>
          <w:rFonts w:ascii="Arial" w:hAnsi="Arial" w:cs="Arial"/>
          <w:color w:val="000000"/>
          <w:lang w:val="en-US"/>
        </w:rPr>
        <w:t xml:space="preserve">However, since 2017 at least, undergraduate and postgraduate </w:t>
      </w:r>
      <w:r w:rsidRPr="008A688B">
        <w:rPr>
          <w:rFonts w:ascii="Arial" w:hAnsi="Arial" w:cs="Arial"/>
          <w:color w:val="000000"/>
          <w:lang w:val="en-US"/>
        </w:rPr>
        <w:t xml:space="preserve">students with </w:t>
      </w:r>
      <w:proofErr w:type="gramStart"/>
      <w:r w:rsidRPr="008A688B">
        <w:rPr>
          <w:rFonts w:ascii="Arial" w:hAnsi="Arial" w:cs="Arial"/>
          <w:color w:val="000000"/>
          <w:lang w:val="en-US"/>
        </w:rPr>
        <w:t>disability</w:t>
      </w:r>
      <w:proofErr w:type="gramEnd"/>
      <w:r w:rsidRPr="008A688B">
        <w:rPr>
          <w:rFonts w:ascii="Arial" w:hAnsi="Arial" w:cs="Arial"/>
          <w:color w:val="000000"/>
          <w:lang w:val="en-US"/>
        </w:rPr>
        <w:t xml:space="preserve"> </w:t>
      </w:r>
      <w:r>
        <w:rPr>
          <w:rFonts w:ascii="Arial" w:hAnsi="Arial" w:cs="Arial"/>
          <w:color w:val="000000"/>
          <w:lang w:val="en-US"/>
        </w:rPr>
        <w:t xml:space="preserve">have consistently rated their overall educational experience lower </w:t>
      </w:r>
      <w:r w:rsidRPr="008A688B">
        <w:rPr>
          <w:rFonts w:ascii="Arial" w:hAnsi="Arial" w:cs="Arial"/>
          <w:color w:val="000000"/>
          <w:lang w:val="en-US"/>
        </w:rPr>
        <w:t xml:space="preserve">than those </w:t>
      </w:r>
      <w:r>
        <w:rPr>
          <w:rFonts w:ascii="Arial" w:hAnsi="Arial" w:cs="Arial"/>
          <w:color w:val="000000"/>
          <w:lang w:val="en-US"/>
        </w:rPr>
        <w:t xml:space="preserve">students </w:t>
      </w:r>
      <w:r w:rsidRPr="008A688B">
        <w:rPr>
          <w:rFonts w:ascii="Arial" w:hAnsi="Arial" w:cs="Arial"/>
          <w:color w:val="000000"/>
          <w:lang w:val="en-US"/>
        </w:rPr>
        <w:t>without disability</w:t>
      </w:r>
      <w:r>
        <w:rPr>
          <w:rFonts w:ascii="Arial" w:hAnsi="Arial" w:cs="Arial"/>
          <w:color w:val="000000"/>
          <w:lang w:val="en-US"/>
        </w:rPr>
        <w:t xml:space="preserve"> (</w:t>
      </w:r>
      <w:r w:rsidRPr="00F0040E">
        <w:rPr>
          <w:rFonts w:ascii="Arial" w:hAnsi="Arial" w:cs="Arial"/>
          <w:color w:val="000000"/>
          <w:lang w:val="en-US"/>
        </w:rPr>
        <w:t>Quality Indicators for Learning and Teaching</w:t>
      </w:r>
      <w:r>
        <w:rPr>
          <w:rFonts w:ascii="Arial" w:hAnsi="Arial" w:cs="Arial"/>
          <w:color w:val="000000"/>
          <w:lang w:val="en-US"/>
        </w:rPr>
        <w:t>, 2024, p. 11).</w:t>
      </w:r>
      <w:r w:rsidR="0037623C">
        <w:rPr>
          <w:rFonts w:ascii="Arial" w:hAnsi="Arial" w:cs="Arial"/>
          <w:color w:val="000000"/>
          <w:lang w:val="en-US"/>
        </w:rPr>
        <w:t xml:space="preserve"> </w:t>
      </w:r>
      <w:r>
        <w:rPr>
          <w:rFonts w:ascii="Arial" w:hAnsi="Arial" w:cs="Arial"/>
          <w:color w:val="000000"/>
          <w:lang w:val="en-US"/>
        </w:rPr>
        <w:t>They have similarly rated their experience lower than students without disability across all five specific focus areas measured by the National Student Experience Survey (Skills development; Peer engagement; Teaching quality and engagement; Student support and services; and Learning resources) (</w:t>
      </w:r>
      <w:r w:rsidRPr="008113D2">
        <w:rPr>
          <w:rFonts w:cstheme="minorHAnsi"/>
          <w:color w:val="000000"/>
          <w:lang w:val="en-US"/>
        </w:rPr>
        <w:t>Q</w:t>
      </w:r>
      <w:r>
        <w:rPr>
          <w:rFonts w:cstheme="minorHAnsi"/>
          <w:color w:val="000000"/>
          <w:lang w:val="en-US"/>
        </w:rPr>
        <w:t>uality Indicators for Learning and Teaching, 2024, p.11)</w:t>
      </w:r>
      <w:r>
        <w:rPr>
          <w:rFonts w:ascii="Arial" w:hAnsi="Arial" w:cs="Arial"/>
          <w:color w:val="000000"/>
          <w:lang w:val="en-US"/>
        </w:rPr>
        <w:t>.</w:t>
      </w:r>
    </w:p>
    <w:p w14:paraId="2AE217B9" w14:textId="6B46B279" w:rsidR="006A5370" w:rsidRDefault="006A5370" w:rsidP="00D70975">
      <w:pPr>
        <w:pStyle w:val="BodyText"/>
        <w:spacing w:line="360" w:lineRule="auto"/>
        <w:rPr>
          <w:rFonts w:ascii="Arial" w:hAnsi="Arial" w:cs="Arial"/>
          <w:color w:val="000000"/>
          <w:lang w:val="en-US"/>
        </w:rPr>
      </w:pPr>
      <w:r>
        <w:rPr>
          <w:rFonts w:ascii="Arial" w:hAnsi="Arial" w:cs="Arial"/>
          <w:color w:val="000000"/>
          <w:lang w:val="en-US"/>
        </w:rPr>
        <w:t xml:space="preserve">The most recent </w:t>
      </w:r>
      <w:r w:rsidR="00AC3007">
        <w:rPr>
          <w:rFonts w:ascii="Arial" w:hAnsi="Arial" w:cs="Arial"/>
          <w:color w:val="000000"/>
          <w:lang w:val="en-US"/>
        </w:rPr>
        <w:t>2024 Student</w:t>
      </w:r>
      <w:r>
        <w:rPr>
          <w:rFonts w:ascii="Arial" w:hAnsi="Arial" w:cs="Arial"/>
          <w:color w:val="000000"/>
          <w:lang w:val="en-US"/>
        </w:rPr>
        <w:t xml:space="preserve"> Experience Survey also looked at specific aspects of the educational experience beyond the key five areas. One of these is a student’s ‘</w:t>
      </w:r>
      <w:r w:rsidRPr="005551AC">
        <w:rPr>
          <w:rFonts w:ascii="Arial" w:hAnsi="Arial" w:cs="Arial"/>
          <w:b/>
          <w:bCs/>
          <w:color w:val="000000"/>
          <w:lang w:val="en-US"/>
        </w:rPr>
        <w:t>sense of belonging</w:t>
      </w:r>
      <w:r>
        <w:rPr>
          <w:rFonts w:ascii="Arial" w:hAnsi="Arial" w:cs="Arial"/>
          <w:color w:val="000000"/>
          <w:lang w:val="en-US"/>
        </w:rPr>
        <w:t>’ which has been a standalone item in the survey since 2023. ‘Belonging’ in an educational space is important as it is linked to things such as academic achievement and personal well-being. Again, undergraduate and postgraduate students with disability rated their sense of belonging lower than students without disability, with a percentage point gap of around 5.3 (undergraduate) to 5.6 (postgraduate) (</w:t>
      </w:r>
      <w:r w:rsidRPr="008113D2">
        <w:rPr>
          <w:rFonts w:cstheme="minorHAnsi"/>
          <w:color w:val="000000"/>
          <w:lang w:val="en-US"/>
        </w:rPr>
        <w:t>Q</w:t>
      </w:r>
      <w:r>
        <w:rPr>
          <w:rFonts w:cstheme="minorHAnsi"/>
          <w:color w:val="000000"/>
          <w:lang w:val="en-US"/>
        </w:rPr>
        <w:t>uality Indicators for Learning and Teaching, 2024, p. 30).</w:t>
      </w:r>
      <w:r>
        <w:rPr>
          <w:rStyle w:val="EndnoteReference"/>
          <w:rFonts w:ascii="Arial" w:hAnsi="Arial" w:cs="Arial"/>
          <w:color w:val="000000"/>
          <w:lang w:val="en-US"/>
        </w:rPr>
        <w:t xml:space="preserve"> </w:t>
      </w:r>
    </w:p>
    <w:p w14:paraId="43F530C7" w14:textId="2E00ED84" w:rsidR="006A5370" w:rsidRDefault="006A5370" w:rsidP="00D70975">
      <w:pPr>
        <w:pStyle w:val="BodyText"/>
        <w:spacing w:line="360" w:lineRule="auto"/>
        <w:rPr>
          <w:rFonts w:ascii="Arial" w:hAnsi="Arial" w:cs="Arial"/>
          <w:color w:val="000000"/>
          <w:lang w:val="en-US"/>
        </w:rPr>
      </w:pPr>
      <w:r>
        <w:rPr>
          <w:rFonts w:ascii="Arial" w:hAnsi="Arial" w:cs="Arial"/>
          <w:color w:val="000000"/>
          <w:lang w:val="en-US"/>
        </w:rPr>
        <w:lastRenderedPageBreak/>
        <w:t>A critical result of this dissatisfaction is that despite increasing representation, students with disability have significantly lower retention and completion rates than students without disability (Punch et al, 2025, p. 1).</w:t>
      </w:r>
    </w:p>
    <w:p w14:paraId="0D8790C4" w14:textId="18C1B0AA" w:rsidR="006A5370" w:rsidRDefault="006A5370" w:rsidP="00D70975">
      <w:pPr>
        <w:pStyle w:val="BodyText"/>
        <w:spacing w:line="360" w:lineRule="auto"/>
        <w:rPr>
          <w:rFonts w:ascii="Arial" w:hAnsi="Arial" w:cs="Arial"/>
          <w:color w:val="000000"/>
          <w:lang w:val="en-US"/>
        </w:rPr>
      </w:pPr>
      <w:r>
        <w:rPr>
          <w:rFonts w:ascii="Arial" w:hAnsi="Arial" w:cs="Arial"/>
          <w:color w:val="000000"/>
          <w:lang w:val="en-US"/>
        </w:rPr>
        <w:t>Students have reported numerous specific and practical barriers, including the proper provisions of adjustments and a general lack of understanding of disability (Punch et al, 2025, p. 3; Harpur et al, 2025, p. 375). These apparently inherent ableist institutional attitudes and responses to disability are critical to understanding the experience of students with disability. As Harpur, Stafford and Ellis found in their research, “[u]</w:t>
      </w:r>
      <w:proofErr w:type="spellStart"/>
      <w:r>
        <w:rPr>
          <w:rFonts w:ascii="Arial" w:hAnsi="Arial" w:cs="Arial"/>
          <w:color w:val="000000"/>
          <w:lang w:val="en-US"/>
        </w:rPr>
        <w:t>niversities</w:t>
      </w:r>
      <w:proofErr w:type="spellEnd"/>
      <w:r>
        <w:rPr>
          <w:rFonts w:ascii="Arial" w:hAnsi="Arial" w:cs="Arial"/>
          <w:color w:val="000000"/>
          <w:lang w:val="en-US"/>
        </w:rPr>
        <w:t xml:space="preserve"> were considered unsafe and exclusionary to many people with disability due to entrenched attitudinal and cultural prejudice” (Harpur et al, 2025, p. 373)</w:t>
      </w:r>
      <w:r w:rsidR="0037623C">
        <w:rPr>
          <w:rFonts w:ascii="Arial" w:hAnsi="Arial" w:cs="Arial"/>
          <w:color w:val="000000"/>
          <w:lang w:val="en-US"/>
        </w:rPr>
        <w:t>.</w:t>
      </w:r>
      <w:r>
        <w:rPr>
          <w:rFonts w:ascii="Arial" w:hAnsi="Arial" w:cs="Arial"/>
          <w:color w:val="000000"/>
          <w:lang w:val="en-US"/>
        </w:rPr>
        <w:t xml:space="preserve"> Similarly, Punch, Duncan and Talbot-Stokes found from their scoping review that, “[I]t is clear that academics’ attitudes and responses, positive or negative, have a strong effect on the experiences of students with disability” (Punch et al, 2025, p. 14).</w:t>
      </w:r>
    </w:p>
    <w:p w14:paraId="571EBB6D" w14:textId="4FDE1C92" w:rsidR="006A5370" w:rsidRDefault="006A5370" w:rsidP="00D70975">
      <w:pPr>
        <w:pStyle w:val="Heading3"/>
        <w:spacing w:line="360" w:lineRule="auto"/>
      </w:pPr>
      <w:r>
        <w:t>Governance structures must reflect lived experience</w:t>
      </w:r>
    </w:p>
    <w:p w14:paraId="1215E26B" w14:textId="0C4666AB" w:rsidR="006A5370" w:rsidRDefault="006A5370" w:rsidP="00D70975">
      <w:pPr>
        <w:spacing w:line="360" w:lineRule="auto"/>
      </w:pPr>
      <w:r>
        <w:t>It is recognised that simply having rights ‘recognised’ does not lead to the actual realisation of those rights. This is the case for both students and staff with disabilities at Australian universities (Harpur et al, 2025, p. 370).</w:t>
      </w:r>
      <w:r w:rsidR="0037623C">
        <w:t xml:space="preserve"> </w:t>
      </w:r>
      <w:r>
        <w:t>Similarly, an institutions disability, equity and inclusion policy is of little practical value if the document is underpinned by ableist assumptions given approval by its governing body. If university governance arrangements are to meaningfully promote accessibility, achieve public benefit, and support diversity, inclusion and access for disadvantaged groups, systemic change in governance is required</w:t>
      </w:r>
      <w:r w:rsidRPr="005203DE">
        <w:t xml:space="preserve"> </w:t>
      </w:r>
      <w:r>
        <w:t xml:space="preserve">(Harpur et al, 2025, p. 371). </w:t>
      </w:r>
    </w:p>
    <w:p w14:paraId="4AD6BD21" w14:textId="3113F4CE" w:rsidR="006A5370" w:rsidRDefault="006A5370" w:rsidP="00D70975">
      <w:pPr>
        <w:spacing w:line="360" w:lineRule="auto"/>
      </w:pPr>
      <w:r>
        <w:t>This must start with people with disability for example being in key leadership positions, most crucially of which, are the university governing councils. It has been long noted that there is a significant lack of diversity within the leadership of Australian universities (Hill, 2023; Harpur et al, 2024; Devlin, 2021; Law &amp; Croucher, 2020).</w:t>
      </w:r>
      <w:r w:rsidR="0037623C">
        <w:t xml:space="preserve"> </w:t>
      </w:r>
      <w:r>
        <w:t xml:space="preserve">This homogeneity – white, mostly male, wealthy, and largely from business and industry – reflects an outdated view of the public purpose of higher education and is not reflective of the wider community. </w:t>
      </w:r>
    </w:p>
    <w:p w14:paraId="23E07392" w14:textId="62C120AA" w:rsidR="006A5370" w:rsidRDefault="006A5370" w:rsidP="00D70975">
      <w:pPr>
        <w:spacing w:line="360" w:lineRule="auto"/>
      </w:pPr>
      <w:r>
        <w:t xml:space="preserve">It is extraordinary that there is no legislative requirement that university governing bodies must reflect community diversity and ensure direct lived experience informs decision-making. For people with disability this is explicitly contrary to the aims and purpose of the CRPD and the mantra of ‘nothing about us without us.’ </w:t>
      </w:r>
    </w:p>
    <w:p w14:paraId="33690B27" w14:textId="171E1DBA" w:rsidR="004C60E0" w:rsidRDefault="006A5370" w:rsidP="00D70975">
      <w:pPr>
        <w:spacing w:line="360" w:lineRule="auto"/>
      </w:pPr>
      <w:r>
        <w:lastRenderedPageBreak/>
        <w:t xml:space="preserve">We note the current Australian Senate Education and Employment Legislation Committee inquiry into </w:t>
      </w:r>
      <w:hyperlink r:id="rId21" w:history="1">
        <w:r w:rsidRPr="00536960">
          <w:rPr>
            <w:rStyle w:val="Hyperlink"/>
            <w:i/>
            <w:iCs/>
          </w:rPr>
          <w:t>Quality and governance at Australian high education providers</w:t>
        </w:r>
      </w:hyperlink>
      <w:r>
        <w:t xml:space="preserve">. </w:t>
      </w:r>
      <w:r w:rsidR="00973555">
        <w:t xml:space="preserve">The </w:t>
      </w:r>
      <w:hyperlink r:id="rId22" w:history="1">
        <w:r w:rsidR="00973555" w:rsidRPr="00775452">
          <w:rPr>
            <w:rStyle w:val="Hyperlink"/>
          </w:rPr>
          <w:t>Interim Repor</w:t>
        </w:r>
        <w:r w:rsidR="00F9455B" w:rsidRPr="00775452">
          <w:rPr>
            <w:rStyle w:val="Hyperlink"/>
          </w:rPr>
          <w:t>t</w:t>
        </w:r>
      </w:hyperlink>
      <w:r w:rsidR="00F9455B">
        <w:t xml:space="preserve"> was released on 19 September 2025.</w:t>
      </w:r>
      <w:r w:rsidR="00DB3039">
        <w:t xml:space="preserve"> In the context of this submission,</w:t>
      </w:r>
      <w:r w:rsidR="004C60E0">
        <w:t xml:space="preserve"> </w:t>
      </w:r>
      <w:r w:rsidR="00D421A8">
        <w:t xml:space="preserve">PWDA is </w:t>
      </w:r>
      <w:r w:rsidR="00933F06">
        <w:t>generally</w:t>
      </w:r>
      <w:r w:rsidR="00D421A8">
        <w:t xml:space="preserve"> supportive of</w:t>
      </w:r>
      <w:r w:rsidR="00025CE0">
        <w:t xml:space="preserve"> th</w:t>
      </w:r>
      <w:r w:rsidR="001B0AA2">
        <w:t>e</w:t>
      </w:r>
      <w:r w:rsidR="00025CE0">
        <w:t>se recommendations</w:t>
      </w:r>
      <w:r w:rsidR="00985C14">
        <w:t xml:space="preserve"> from the Interim Report</w:t>
      </w:r>
      <w:r w:rsidR="004C60E0">
        <w:t>:</w:t>
      </w:r>
    </w:p>
    <w:p w14:paraId="1F933087" w14:textId="219ED4B8" w:rsidR="00D421A8" w:rsidRDefault="00D421A8" w:rsidP="00D70975">
      <w:pPr>
        <w:pStyle w:val="ListParagraph"/>
        <w:numPr>
          <w:ilvl w:val="0"/>
          <w:numId w:val="21"/>
        </w:numPr>
        <w:spacing w:line="360" w:lineRule="auto"/>
      </w:pPr>
      <w:r w:rsidRPr="001B0AA2">
        <w:rPr>
          <w:b/>
          <w:bCs/>
        </w:rPr>
        <w:t>Recommendation 1</w:t>
      </w:r>
      <w:r w:rsidR="00DB3039">
        <w:t xml:space="preserve">, </w:t>
      </w:r>
      <w:r>
        <w:t xml:space="preserve">to improve </w:t>
      </w:r>
      <w:r w:rsidR="004C60E0">
        <w:t>transparency and accountability of governing bodies.</w:t>
      </w:r>
    </w:p>
    <w:p w14:paraId="464FE71C" w14:textId="20DBAD9E" w:rsidR="00D87BBE" w:rsidRDefault="00D87BBE" w:rsidP="00D70975">
      <w:pPr>
        <w:pStyle w:val="ListParagraph"/>
        <w:numPr>
          <w:ilvl w:val="0"/>
          <w:numId w:val="21"/>
        </w:numPr>
        <w:spacing w:line="360" w:lineRule="auto"/>
      </w:pPr>
      <w:r w:rsidRPr="001B0AA2">
        <w:rPr>
          <w:b/>
          <w:bCs/>
        </w:rPr>
        <w:t>Recommendations 5 and 6</w:t>
      </w:r>
      <w:r>
        <w:t xml:space="preserve">, to ensure people on </w:t>
      </w:r>
      <w:r w:rsidR="003D036A">
        <w:t>governing</w:t>
      </w:r>
      <w:r>
        <w:t xml:space="preserve"> bodies have proper </w:t>
      </w:r>
      <w:r w:rsidR="003D036A">
        <w:t xml:space="preserve">public </w:t>
      </w:r>
      <w:r w:rsidR="00025CE0">
        <w:t>administration</w:t>
      </w:r>
      <w:r w:rsidR="003D036A">
        <w:t xml:space="preserve"> and higher education expertise</w:t>
      </w:r>
      <w:r w:rsidR="009A77F3">
        <w:t>/</w:t>
      </w:r>
      <w:r>
        <w:t xml:space="preserve">skills, </w:t>
      </w:r>
      <w:r w:rsidR="003D036A">
        <w:t xml:space="preserve">and that </w:t>
      </w:r>
      <w:r w:rsidR="00025CE0">
        <w:t>governing</w:t>
      </w:r>
      <w:r w:rsidR="003D036A">
        <w:t xml:space="preserve"> bodies contain staff and </w:t>
      </w:r>
      <w:r w:rsidR="00025CE0">
        <w:t>undergraduate</w:t>
      </w:r>
      <w:r w:rsidR="003D036A">
        <w:t xml:space="preserve"> and </w:t>
      </w:r>
      <w:r w:rsidR="00025CE0">
        <w:t>postgraduate</w:t>
      </w:r>
      <w:r w:rsidR="003D036A">
        <w:t xml:space="preserve"> </w:t>
      </w:r>
      <w:r w:rsidR="00025CE0">
        <w:t>students</w:t>
      </w:r>
      <w:r w:rsidR="003D036A">
        <w:t xml:space="preserve"> on </w:t>
      </w:r>
      <w:r w:rsidR="00025CE0">
        <w:t>governing</w:t>
      </w:r>
      <w:r w:rsidR="003D036A">
        <w:t xml:space="preserve"> bodies.</w:t>
      </w:r>
    </w:p>
    <w:p w14:paraId="3490386E" w14:textId="1AF5BB62" w:rsidR="00E7348E" w:rsidRDefault="00E7348E" w:rsidP="00D70975">
      <w:pPr>
        <w:pStyle w:val="ListParagraph"/>
        <w:numPr>
          <w:ilvl w:val="0"/>
          <w:numId w:val="21"/>
        </w:numPr>
        <w:spacing w:line="360" w:lineRule="auto"/>
      </w:pPr>
      <w:r>
        <w:rPr>
          <w:b/>
          <w:bCs/>
        </w:rPr>
        <w:t xml:space="preserve">Recommendation 12, </w:t>
      </w:r>
      <w:r w:rsidR="009A77F3" w:rsidRPr="009A77F3">
        <w:t>to require</w:t>
      </w:r>
      <w:r w:rsidR="009A77F3">
        <w:rPr>
          <w:b/>
          <w:bCs/>
        </w:rPr>
        <w:t xml:space="preserve"> </w:t>
      </w:r>
      <w:r w:rsidRPr="00E7348E">
        <w:t xml:space="preserve">universities </w:t>
      </w:r>
      <w:r w:rsidR="009A77F3">
        <w:t>to</w:t>
      </w:r>
      <w:r w:rsidRPr="00E7348E">
        <w:t xml:space="preserve"> improve complaints processes.</w:t>
      </w:r>
    </w:p>
    <w:p w14:paraId="7E10BD30" w14:textId="367A9E2F" w:rsidR="004A4E61" w:rsidRDefault="004A4E61" w:rsidP="00D70975">
      <w:pPr>
        <w:spacing w:line="360" w:lineRule="auto"/>
      </w:pPr>
      <w:r>
        <w:t xml:space="preserve">We note that the </w:t>
      </w:r>
      <w:r w:rsidR="000403A3">
        <w:t>I</w:t>
      </w:r>
      <w:r>
        <w:t>nterim Report contain</w:t>
      </w:r>
      <w:r w:rsidR="00985C14">
        <w:t>s</w:t>
      </w:r>
      <w:r>
        <w:t xml:space="preserve"> additional comments and recommendations from the Australian Greens.</w:t>
      </w:r>
      <w:r w:rsidR="00F62930">
        <w:t xml:space="preserve"> </w:t>
      </w:r>
      <w:r w:rsidR="00933F06">
        <w:t>In the context of this submission, we</w:t>
      </w:r>
      <w:r w:rsidR="00F62930">
        <w:t xml:space="preserve"> are supportive of </w:t>
      </w:r>
      <w:r w:rsidR="0066480F" w:rsidRPr="00933F06">
        <w:rPr>
          <w:b/>
          <w:bCs/>
        </w:rPr>
        <w:t xml:space="preserve">Greens </w:t>
      </w:r>
      <w:r w:rsidR="00F62930" w:rsidRPr="00933F06">
        <w:rPr>
          <w:b/>
          <w:bCs/>
        </w:rPr>
        <w:t xml:space="preserve">Recommendation 5 </w:t>
      </w:r>
      <w:r w:rsidR="0066480F">
        <w:t>that:</w:t>
      </w:r>
    </w:p>
    <w:p w14:paraId="442F373C" w14:textId="6AB53729" w:rsidR="00BB54FB" w:rsidRPr="00A72B27" w:rsidRDefault="00933F06" w:rsidP="00D70975">
      <w:pPr>
        <w:spacing w:line="360" w:lineRule="auto"/>
        <w:ind w:left="720"/>
        <w:rPr>
          <w:color w:val="005496" w:themeColor="text2"/>
        </w:rPr>
      </w:pPr>
      <w:r w:rsidRPr="00933F06">
        <w:rPr>
          <w:color w:val="005496" w:themeColor="text2"/>
        </w:rPr>
        <w:t>[A]</w:t>
      </w:r>
      <w:proofErr w:type="spellStart"/>
      <w:r w:rsidRPr="00933F06">
        <w:rPr>
          <w:color w:val="005496" w:themeColor="text2"/>
        </w:rPr>
        <w:t>ll</w:t>
      </w:r>
      <w:proofErr w:type="spellEnd"/>
      <w:r w:rsidRPr="00933F06">
        <w:rPr>
          <w:color w:val="005496" w:themeColor="text2"/>
        </w:rPr>
        <w:t xml:space="preserve"> higher education provider governing bodies reflect the community's diversity including First Nations peoples, Culturally and Racially Marginalised people, and people with disabilities.</w:t>
      </w:r>
    </w:p>
    <w:bookmarkEnd w:id="2"/>
    <w:p w14:paraId="7598666D" w14:textId="77777777" w:rsidR="00FF6461" w:rsidRDefault="00FF6461" w:rsidP="00D70975">
      <w:pPr>
        <w:pStyle w:val="BodyText"/>
        <w:spacing w:line="360" w:lineRule="auto"/>
      </w:pPr>
    </w:p>
    <w:p w14:paraId="5217FB1F" w14:textId="382B70F0" w:rsidR="00653AA1" w:rsidRPr="00A37DEA" w:rsidRDefault="00A7766F" w:rsidP="00D70975">
      <w:pPr>
        <w:pStyle w:val="BodyText"/>
        <w:spacing w:line="360" w:lineRule="auto"/>
      </w:pPr>
      <w:r w:rsidRPr="00A37DEA">
        <w:t>Yours s</w:t>
      </w:r>
      <w:r w:rsidR="00653AA1" w:rsidRPr="00A37DEA">
        <w:t>incerely</w:t>
      </w:r>
    </w:p>
    <w:p w14:paraId="7D09C2DA" w14:textId="77E3E514" w:rsidR="00241328" w:rsidRDefault="00C119C8" w:rsidP="00D70975">
      <w:pPr>
        <w:pStyle w:val="BodyText"/>
        <w:spacing w:after="600" w:line="360" w:lineRule="auto"/>
        <w:rPr>
          <w:highlight w:val="yellow"/>
        </w:rPr>
      </w:pPr>
      <w:r w:rsidRPr="00C119C8">
        <w:rPr>
          <w:noProof/>
        </w:rPr>
        <w:drawing>
          <wp:inline distT="0" distB="0" distL="0" distR="0" wp14:anchorId="29415D0A" wp14:editId="5FAEBDA1">
            <wp:extent cx="1866750" cy="704850"/>
            <wp:effectExtent l="0" t="0" r="635" b="0"/>
            <wp:docPr id="1673168334" name="Picture 1" descr="Megan Spindler-Smit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168334" name="Picture 1" descr="Megan Spindler-Smith signature"/>
                    <pic:cNvPicPr/>
                  </pic:nvPicPr>
                  <pic:blipFill>
                    <a:blip r:embed="rId23"/>
                    <a:stretch>
                      <a:fillRect/>
                    </a:stretch>
                  </pic:blipFill>
                  <pic:spPr>
                    <a:xfrm>
                      <a:off x="0" y="0"/>
                      <a:ext cx="1876111" cy="708385"/>
                    </a:xfrm>
                    <a:prstGeom prst="rect">
                      <a:avLst/>
                    </a:prstGeom>
                  </pic:spPr>
                </pic:pic>
              </a:graphicData>
            </a:graphic>
          </wp:inline>
        </w:drawing>
      </w:r>
    </w:p>
    <w:p w14:paraId="7A85294A" w14:textId="649266D5" w:rsidR="00CB2E90" w:rsidRPr="008948F1" w:rsidRDefault="00A72B27" w:rsidP="00D70975">
      <w:pPr>
        <w:pStyle w:val="AddressBlockdate"/>
        <w:spacing w:line="360" w:lineRule="auto"/>
      </w:pPr>
      <w:r>
        <w:t>Megan Spindler-Smith</w:t>
      </w:r>
    </w:p>
    <w:p w14:paraId="618E0513" w14:textId="57C4454C" w:rsidR="00A7766F" w:rsidRPr="008948F1" w:rsidRDefault="00A72B27" w:rsidP="00D70975">
      <w:pPr>
        <w:pStyle w:val="AddressBlockdate"/>
        <w:spacing w:line="360" w:lineRule="auto"/>
      </w:pPr>
      <w:r>
        <w:t>Acting CEO</w:t>
      </w:r>
    </w:p>
    <w:p w14:paraId="20659A39" w14:textId="77777777" w:rsidR="005F5CBD" w:rsidRDefault="00A7766F" w:rsidP="00D70975">
      <w:pPr>
        <w:pStyle w:val="AddressBlockdate"/>
        <w:spacing w:line="360" w:lineRule="auto"/>
      </w:pPr>
      <w:r w:rsidRPr="008948F1">
        <w:t xml:space="preserve">People </w:t>
      </w:r>
      <w:r w:rsidR="00F01942">
        <w:t>w</w:t>
      </w:r>
      <w:r w:rsidRPr="008948F1">
        <w:t>ith Disability Australia</w:t>
      </w:r>
    </w:p>
    <w:p w14:paraId="03DF87B5" w14:textId="77777777" w:rsidR="00FF5282" w:rsidRDefault="00FF5282" w:rsidP="0049109A">
      <w:pPr>
        <w:pStyle w:val="AddressBlockdate"/>
      </w:pPr>
    </w:p>
    <w:p w14:paraId="2C5BCB7C" w14:textId="77777777" w:rsidR="00FF5282" w:rsidRDefault="00FF5282" w:rsidP="0049109A">
      <w:pPr>
        <w:pStyle w:val="AddressBlockdate"/>
      </w:pPr>
    </w:p>
    <w:p w14:paraId="33F89395" w14:textId="77777777" w:rsidR="00D70975" w:rsidRDefault="00D70975" w:rsidP="00FF5282">
      <w:pPr>
        <w:pStyle w:val="AddressBlockdate"/>
      </w:pPr>
    </w:p>
    <w:p w14:paraId="2D3A7836" w14:textId="77777777" w:rsidR="00D70975" w:rsidRDefault="00D70975" w:rsidP="00FF5282">
      <w:pPr>
        <w:pStyle w:val="AddressBlockdate"/>
      </w:pPr>
    </w:p>
    <w:p w14:paraId="3EECAE1F" w14:textId="77777777" w:rsidR="00D70975" w:rsidRDefault="00D70975" w:rsidP="00FF5282">
      <w:pPr>
        <w:pStyle w:val="AddressBlockdate"/>
      </w:pPr>
    </w:p>
    <w:p w14:paraId="0D01BAC2" w14:textId="77777777" w:rsidR="00C119C8" w:rsidRDefault="00C119C8" w:rsidP="00FF5282">
      <w:pPr>
        <w:pStyle w:val="AddressBlockdate"/>
      </w:pPr>
    </w:p>
    <w:p w14:paraId="0BCD35B6" w14:textId="77777777" w:rsidR="00FF6461" w:rsidRDefault="00FF6461" w:rsidP="00FF5282">
      <w:pPr>
        <w:pStyle w:val="AddressBlockdate"/>
      </w:pPr>
    </w:p>
    <w:p w14:paraId="5C8CC3CD" w14:textId="6760E8BB" w:rsidR="00FF5282" w:rsidRPr="00FF5282" w:rsidRDefault="00FF5282" w:rsidP="00FF6461">
      <w:pPr>
        <w:pStyle w:val="AddressBlockdate"/>
        <w:pBdr>
          <w:bottom w:val="single" w:sz="4" w:space="1" w:color="auto"/>
        </w:pBdr>
      </w:pPr>
      <w:r w:rsidRPr="00FF5282">
        <w:lastRenderedPageBreak/>
        <w:t>References</w:t>
      </w:r>
    </w:p>
    <w:p w14:paraId="48E4FB0C" w14:textId="77777777" w:rsidR="00FF5282" w:rsidRDefault="00FF5282" w:rsidP="00FF5282">
      <w:pPr>
        <w:pStyle w:val="AddressBlockdate"/>
        <w:rPr>
          <w:b w:val="0"/>
          <w:bCs/>
        </w:rPr>
      </w:pPr>
    </w:p>
    <w:p w14:paraId="258EE3D8" w14:textId="77777777" w:rsidR="00FF5282" w:rsidRDefault="00FF5282" w:rsidP="00FF5282">
      <w:pPr>
        <w:pStyle w:val="AddressBlockdate"/>
        <w:rPr>
          <w:b w:val="0"/>
          <w:bCs/>
        </w:rPr>
      </w:pPr>
      <w:r w:rsidRPr="00FF5282">
        <w:rPr>
          <w:b w:val="0"/>
          <w:bCs/>
        </w:rPr>
        <w:t xml:space="preserve">Australian Bureau of Statistics. (2022). </w:t>
      </w:r>
      <w:r w:rsidRPr="00FF6461">
        <w:rPr>
          <w:b w:val="0"/>
          <w:bCs/>
          <w:i/>
          <w:iCs/>
        </w:rPr>
        <w:t>Disability, Ageing and Carers, Australia: Summary of Findings</w:t>
      </w:r>
      <w:r w:rsidRPr="00FF5282">
        <w:rPr>
          <w:b w:val="0"/>
          <w:bCs/>
        </w:rPr>
        <w:t xml:space="preserve">. ABS. </w:t>
      </w:r>
    </w:p>
    <w:p w14:paraId="2F62188A" w14:textId="77777777" w:rsidR="00FF5282" w:rsidRDefault="00FF5282" w:rsidP="00FF5282">
      <w:pPr>
        <w:pStyle w:val="AddressBlockdate"/>
        <w:rPr>
          <w:b w:val="0"/>
          <w:bCs/>
        </w:rPr>
      </w:pPr>
    </w:p>
    <w:p w14:paraId="1C64D899" w14:textId="63BEF24B" w:rsidR="00FF5282" w:rsidRDefault="00FF5282" w:rsidP="00FF5282">
      <w:pPr>
        <w:pStyle w:val="AddressBlockdate"/>
        <w:rPr>
          <w:b w:val="0"/>
          <w:bCs/>
        </w:rPr>
      </w:pPr>
      <w:r w:rsidRPr="00FF5282">
        <w:rPr>
          <w:b w:val="0"/>
          <w:bCs/>
        </w:rPr>
        <w:t xml:space="preserve">Australian Bureau of Statistics. (2018). </w:t>
      </w:r>
      <w:r w:rsidRPr="00FF6461">
        <w:rPr>
          <w:b w:val="0"/>
          <w:bCs/>
          <w:i/>
          <w:iCs/>
        </w:rPr>
        <w:t>Disability, Ageing and Carers, Australia: Summary of Finding</w:t>
      </w:r>
      <w:r w:rsidRPr="00FF5282">
        <w:rPr>
          <w:b w:val="0"/>
          <w:bCs/>
        </w:rPr>
        <w:t>s. ABS.</w:t>
      </w:r>
    </w:p>
    <w:p w14:paraId="76161CEC" w14:textId="77777777" w:rsidR="00FF5282" w:rsidRDefault="00FF5282" w:rsidP="00FF5282">
      <w:pPr>
        <w:pStyle w:val="AddressBlockdate"/>
        <w:rPr>
          <w:b w:val="0"/>
          <w:bCs/>
        </w:rPr>
      </w:pPr>
    </w:p>
    <w:p w14:paraId="5F862ACF" w14:textId="6154322F" w:rsidR="00FF5282" w:rsidRDefault="00FF5282" w:rsidP="00FF5282">
      <w:pPr>
        <w:pStyle w:val="AddressBlockdate"/>
        <w:rPr>
          <w:b w:val="0"/>
          <w:bCs/>
        </w:rPr>
      </w:pPr>
      <w:r w:rsidRPr="00FF5282">
        <w:rPr>
          <w:b w:val="0"/>
          <w:bCs/>
        </w:rPr>
        <w:t xml:space="preserve">Australian Institute of Health and Welfare. (2025). </w:t>
      </w:r>
      <w:r w:rsidRPr="00FF6461">
        <w:rPr>
          <w:b w:val="0"/>
          <w:bCs/>
          <w:i/>
          <w:iCs/>
        </w:rPr>
        <w:t>Australia’s Disability Strategy 2021–2031 Outcomes Framework: 3rd annual report</w:t>
      </w:r>
      <w:r w:rsidRPr="00FF5282">
        <w:rPr>
          <w:b w:val="0"/>
          <w:bCs/>
        </w:rPr>
        <w:t>.</w:t>
      </w:r>
    </w:p>
    <w:p w14:paraId="62A4B4F4" w14:textId="77777777" w:rsidR="00FF5282" w:rsidRDefault="00FF5282" w:rsidP="00FF5282">
      <w:pPr>
        <w:pStyle w:val="AddressBlockdate"/>
        <w:rPr>
          <w:b w:val="0"/>
          <w:bCs/>
        </w:rPr>
      </w:pPr>
    </w:p>
    <w:p w14:paraId="6438EFDE" w14:textId="77777777" w:rsidR="00FF5282" w:rsidRDefault="00FF5282" w:rsidP="00FF5282">
      <w:pPr>
        <w:pStyle w:val="AddressBlockdate"/>
        <w:rPr>
          <w:b w:val="0"/>
          <w:bCs/>
        </w:rPr>
      </w:pPr>
      <w:r w:rsidRPr="00FF5282">
        <w:rPr>
          <w:b w:val="0"/>
          <w:bCs/>
        </w:rPr>
        <w:t>Cadby, G., Pitman, T., &amp; Koshy, P., (2024). Students with disability in Australian higher education (Nov 2024 update). Australian Centre for Student Equity and Success (SCSES), Perth: Curtin University</w:t>
      </w:r>
    </w:p>
    <w:p w14:paraId="683DA5F5" w14:textId="77777777" w:rsidR="00D70975" w:rsidRDefault="00D70975" w:rsidP="00FF5282">
      <w:pPr>
        <w:pStyle w:val="AddressBlockdate"/>
        <w:rPr>
          <w:b w:val="0"/>
          <w:bCs/>
        </w:rPr>
      </w:pPr>
    </w:p>
    <w:p w14:paraId="07225BD2" w14:textId="77777777" w:rsidR="00D70975" w:rsidRDefault="00D70975" w:rsidP="00D70975">
      <w:pPr>
        <w:pStyle w:val="AddressBlockdate"/>
        <w:rPr>
          <w:b w:val="0"/>
          <w:bCs/>
        </w:rPr>
      </w:pPr>
      <w:r w:rsidRPr="00186D02">
        <w:rPr>
          <w:b w:val="0"/>
          <w:bCs/>
        </w:rPr>
        <w:t>Devlin,</w:t>
      </w:r>
      <w:r>
        <w:rPr>
          <w:b w:val="0"/>
          <w:bCs/>
        </w:rPr>
        <w:t xml:space="preserve"> M.</w:t>
      </w:r>
      <w:r w:rsidRPr="00186D02">
        <w:rPr>
          <w:b w:val="0"/>
          <w:bCs/>
        </w:rPr>
        <w:t xml:space="preserve"> </w:t>
      </w:r>
      <w:r>
        <w:rPr>
          <w:b w:val="0"/>
          <w:bCs/>
        </w:rPr>
        <w:t xml:space="preserve">(2021). </w:t>
      </w:r>
      <w:r w:rsidRPr="00186D02">
        <w:rPr>
          <w:b w:val="0"/>
          <w:bCs/>
        </w:rPr>
        <w:t>‘No change at the top for university leaders as men outnumber women 3 to 1</w:t>
      </w:r>
      <w:r>
        <w:rPr>
          <w:b w:val="0"/>
          <w:bCs/>
        </w:rPr>
        <w:t xml:space="preserve"> </w:t>
      </w:r>
      <w:r w:rsidRPr="00186D02">
        <w:rPr>
          <w:b w:val="0"/>
          <w:bCs/>
        </w:rPr>
        <w:t>(</w:t>
      </w:r>
      <w:r w:rsidRPr="009108CF">
        <w:rPr>
          <w:b w:val="0"/>
          <w:bCs/>
          <w:i/>
          <w:iCs/>
        </w:rPr>
        <w:t>The Conversation</w:t>
      </w:r>
      <w:r w:rsidRPr="00186D02">
        <w:rPr>
          <w:b w:val="0"/>
          <w:bCs/>
        </w:rPr>
        <w:t>, March 8, 2021)</w:t>
      </w:r>
      <w:r>
        <w:rPr>
          <w:b w:val="0"/>
          <w:bCs/>
        </w:rPr>
        <w:t>.</w:t>
      </w:r>
    </w:p>
    <w:p w14:paraId="1B5781FC" w14:textId="77777777" w:rsidR="00D70975" w:rsidRDefault="00D70975" w:rsidP="00FF5282">
      <w:pPr>
        <w:pStyle w:val="AddressBlockdate"/>
        <w:rPr>
          <w:b w:val="0"/>
          <w:bCs/>
        </w:rPr>
      </w:pPr>
    </w:p>
    <w:p w14:paraId="208514F4" w14:textId="77777777" w:rsidR="00D70975" w:rsidRDefault="00D70975" w:rsidP="00D70975">
      <w:pPr>
        <w:pStyle w:val="AddressBlockdate"/>
        <w:rPr>
          <w:b w:val="0"/>
          <w:bCs/>
        </w:rPr>
      </w:pPr>
      <w:r w:rsidRPr="00FF5282">
        <w:rPr>
          <w:b w:val="0"/>
          <w:bCs/>
        </w:rPr>
        <w:t xml:space="preserve">Harpur, P., Stafford, L., &amp; Ellis, K. (2025). A disability-led disability inclusion strategy for the higher education sector. </w:t>
      </w:r>
      <w:r w:rsidRPr="00FF6461">
        <w:rPr>
          <w:b w:val="0"/>
          <w:bCs/>
          <w:i/>
          <w:iCs/>
        </w:rPr>
        <w:t>Journal of Higher Education Policy and Management</w:t>
      </w:r>
      <w:r w:rsidRPr="00FF5282">
        <w:rPr>
          <w:b w:val="0"/>
          <w:bCs/>
        </w:rPr>
        <w:t>, 47:3, 375.</w:t>
      </w:r>
    </w:p>
    <w:p w14:paraId="5834AE3B" w14:textId="77777777" w:rsidR="00D70975" w:rsidRDefault="00D70975" w:rsidP="00D70975">
      <w:pPr>
        <w:pStyle w:val="AddressBlockdate"/>
      </w:pPr>
    </w:p>
    <w:p w14:paraId="2C81A6FD" w14:textId="780CF2CF" w:rsidR="00D70975" w:rsidRPr="00D70975" w:rsidRDefault="00D70975" w:rsidP="00D70975">
      <w:pPr>
        <w:pStyle w:val="AddressBlockdate"/>
        <w:rPr>
          <w:b w:val="0"/>
          <w:bCs/>
        </w:rPr>
      </w:pPr>
      <w:r w:rsidRPr="00D70975">
        <w:rPr>
          <w:b w:val="0"/>
          <w:bCs/>
        </w:rPr>
        <w:t xml:space="preserve">Harpur, P., Szucs, B., Fisher, J., &amp; </w:t>
      </w:r>
      <w:proofErr w:type="spellStart"/>
      <w:r w:rsidRPr="00D70975">
        <w:rPr>
          <w:b w:val="0"/>
          <w:bCs/>
        </w:rPr>
        <w:t>Pachana</w:t>
      </w:r>
      <w:proofErr w:type="spellEnd"/>
      <w:r w:rsidRPr="00D70975">
        <w:rPr>
          <w:b w:val="0"/>
          <w:bCs/>
        </w:rPr>
        <w:t xml:space="preserve">, N. A. (2024). Insights from the chancellery: considerations for a university lead on equity, diversity, and inclusion. </w:t>
      </w:r>
      <w:r w:rsidRPr="00D70975">
        <w:rPr>
          <w:b w:val="0"/>
          <w:bCs/>
          <w:i/>
          <w:iCs/>
        </w:rPr>
        <w:t>Higher Education Research &amp; Development</w:t>
      </w:r>
      <w:r w:rsidRPr="00D70975">
        <w:rPr>
          <w:b w:val="0"/>
          <w:bCs/>
        </w:rPr>
        <w:t>, 44(2), 402–416.</w:t>
      </w:r>
    </w:p>
    <w:p w14:paraId="2ECBC64F" w14:textId="77777777" w:rsidR="00D70975" w:rsidRPr="00D70975" w:rsidRDefault="00D70975" w:rsidP="00D70975">
      <w:pPr>
        <w:pStyle w:val="AddressBlockdate"/>
        <w:rPr>
          <w:b w:val="0"/>
          <w:bCs/>
        </w:rPr>
      </w:pPr>
    </w:p>
    <w:p w14:paraId="5A8392B3" w14:textId="77777777" w:rsidR="00D70975" w:rsidRPr="00D70975" w:rsidRDefault="00D70975" w:rsidP="00D70975">
      <w:pPr>
        <w:pStyle w:val="AddressBlockdate"/>
        <w:rPr>
          <w:b w:val="0"/>
          <w:bCs/>
        </w:rPr>
      </w:pPr>
      <w:r w:rsidRPr="00D70975">
        <w:rPr>
          <w:b w:val="0"/>
          <w:bCs/>
        </w:rPr>
        <w:t xml:space="preserve">Hill, B. (2023). Unseen inequities: The role of leadership in addressing structural barriers to education in Australian universities. </w:t>
      </w:r>
      <w:r w:rsidRPr="00D70975">
        <w:rPr>
          <w:b w:val="0"/>
          <w:bCs/>
          <w:i/>
          <w:iCs/>
        </w:rPr>
        <w:t>JANZSSA-Journal of the Australian and New Zealand Student Services Association</w:t>
      </w:r>
      <w:r w:rsidRPr="00D70975">
        <w:rPr>
          <w:b w:val="0"/>
          <w:bCs/>
        </w:rPr>
        <w:t>, 31(1), 3-9.</w:t>
      </w:r>
    </w:p>
    <w:p w14:paraId="1F0F1428" w14:textId="77777777" w:rsidR="00D70975" w:rsidRDefault="00D70975" w:rsidP="00FF5282">
      <w:pPr>
        <w:pStyle w:val="AddressBlockdate"/>
        <w:rPr>
          <w:b w:val="0"/>
          <w:bCs/>
        </w:rPr>
      </w:pPr>
    </w:p>
    <w:p w14:paraId="6B028261" w14:textId="77777777" w:rsidR="00D70975" w:rsidRDefault="00D70975" w:rsidP="00D70975">
      <w:pPr>
        <w:pStyle w:val="AddressBlockdate"/>
        <w:rPr>
          <w:b w:val="0"/>
          <w:bCs/>
        </w:rPr>
      </w:pPr>
      <w:proofErr w:type="spellStart"/>
      <w:r w:rsidRPr="00FF5282">
        <w:rPr>
          <w:b w:val="0"/>
          <w:bCs/>
        </w:rPr>
        <w:t>Kayess</w:t>
      </w:r>
      <w:proofErr w:type="spellEnd"/>
      <w:r w:rsidRPr="00FF5282">
        <w:rPr>
          <w:b w:val="0"/>
          <w:bCs/>
        </w:rPr>
        <w:t>, R., &amp; Sands, T. (2020). Convention on the Rights of Persons with Disabilities: Shining a light on Social Transformation. Sydney: UNSW Social Policy Research Centre</w:t>
      </w:r>
      <w:r>
        <w:rPr>
          <w:b w:val="0"/>
          <w:bCs/>
        </w:rPr>
        <w:t>.</w:t>
      </w:r>
      <w:r w:rsidRPr="00FF5282">
        <w:rPr>
          <w:b w:val="0"/>
          <w:bCs/>
        </w:rPr>
        <w:t xml:space="preserve"> </w:t>
      </w:r>
    </w:p>
    <w:p w14:paraId="6083372A" w14:textId="77777777" w:rsidR="00FF5282" w:rsidRDefault="00FF5282" w:rsidP="00FF5282">
      <w:pPr>
        <w:pStyle w:val="AddressBlockdate"/>
        <w:rPr>
          <w:b w:val="0"/>
          <w:bCs/>
        </w:rPr>
      </w:pPr>
    </w:p>
    <w:p w14:paraId="31FE2CE5" w14:textId="31E2D94F" w:rsidR="00D70975" w:rsidRDefault="00D70975" w:rsidP="00FF5282">
      <w:pPr>
        <w:pStyle w:val="AddressBlockdate"/>
        <w:rPr>
          <w:b w:val="0"/>
          <w:bCs/>
        </w:rPr>
      </w:pPr>
      <w:r w:rsidRPr="00186D02">
        <w:rPr>
          <w:b w:val="0"/>
          <w:bCs/>
        </w:rPr>
        <w:t>Law</w:t>
      </w:r>
      <w:r>
        <w:rPr>
          <w:b w:val="0"/>
          <w:bCs/>
        </w:rPr>
        <w:t>, S, F.,</w:t>
      </w:r>
      <w:r w:rsidRPr="00186D02">
        <w:rPr>
          <w:b w:val="0"/>
          <w:bCs/>
        </w:rPr>
        <w:t xml:space="preserve"> and</w:t>
      </w:r>
      <w:r>
        <w:rPr>
          <w:b w:val="0"/>
          <w:bCs/>
        </w:rPr>
        <w:t xml:space="preserve"> </w:t>
      </w:r>
      <w:r w:rsidRPr="00186D02">
        <w:rPr>
          <w:b w:val="0"/>
          <w:bCs/>
        </w:rPr>
        <w:t xml:space="preserve">Croucher, </w:t>
      </w:r>
      <w:r>
        <w:rPr>
          <w:b w:val="0"/>
          <w:bCs/>
        </w:rPr>
        <w:t xml:space="preserve">G. (2020). </w:t>
      </w:r>
      <w:r w:rsidRPr="00186D02">
        <w:rPr>
          <w:b w:val="0"/>
          <w:bCs/>
        </w:rPr>
        <w:t xml:space="preserve">‘Most of Australia’s </w:t>
      </w:r>
      <w:proofErr w:type="spellStart"/>
      <w:r w:rsidRPr="00186D02">
        <w:rPr>
          <w:b w:val="0"/>
          <w:bCs/>
        </w:rPr>
        <w:t>uni</w:t>
      </w:r>
      <w:proofErr w:type="spellEnd"/>
      <w:r w:rsidRPr="00186D02">
        <w:rPr>
          <w:b w:val="0"/>
          <w:bCs/>
        </w:rPr>
        <w:t xml:space="preserve"> leaders are white, male and grey. This lack of diversity could be a handicap’ (</w:t>
      </w:r>
      <w:r w:rsidRPr="009108CF">
        <w:rPr>
          <w:b w:val="0"/>
          <w:bCs/>
          <w:i/>
          <w:iCs/>
        </w:rPr>
        <w:t>The Conversation</w:t>
      </w:r>
      <w:r w:rsidRPr="00186D02">
        <w:rPr>
          <w:b w:val="0"/>
          <w:bCs/>
        </w:rPr>
        <w:t>, December 10, 2020).</w:t>
      </w:r>
    </w:p>
    <w:p w14:paraId="375A072C" w14:textId="77777777" w:rsidR="00D70975" w:rsidRDefault="00D70975" w:rsidP="00FF5282">
      <w:pPr>
        <w:pStyle w:val="AddressBlockdate"/>
        <w:rPr>
          <w:b w:val="0"/>
          <w:bCs/>
        </w:rPr>
      </w:pPr>
    </w:p>
    <w:p w14:paraId="48750E97" w14:textId="77777777" w:rsidR="00D70975" w:rsidRPr="00FF5282" w:rsidRDefault="00D70975" w:rsidP="00D70975">
      <w:pPr>
        <w:pStyle w:val="AddressBlockdate"/>
        <w:rPr>
          <w:b w:val="0"/>
          <w:bCs/>
        </w:rPr>
      </w:pPr>
      <w:r w:rsidRPr="00FF5282">
        <w:rPr>
          <w:b w:val="0"/>
          <w:bCs/>
        </w:rPr>
        <w:t xml:space="preserve">Punch, R., Duncan, J., &amp; Talbot-Stokes, R. (2025). Experiences and challenges of students with disability in Australian universities: a scoping review. </w:t>
      </w:r>
      <w:r w:rsidRPr="00FF6461">
        <w:rPr>
          <w:b w:val="0"/>
          <w:bCs/>
          <w:i/>
          <w:iCs/>
        </w:rPr>
        <w:t>International Journal of Inclusive Education</w:t>
      </w:r>
      <w:r w:rsidRPr="00FF5282">
        <w:rPr>
          <w:b w:val="0"/>
          <w:bCs/>
        </w:rPr>
        <w:t>, 1–19</w:t>
      </w:r>
      <w:r>
        <w:rPr>
          <w:b w:val="0"/>
          <w:bCs/>
        </w:rPr>
        <w:t>.</w:t>
      </w:r>
    </w:p>
    <w:p w14:paraId="7FEE10AC" w14:textId="77777777" w:rsidR="00D70975" w:rsidRDefault="00D70975" w:rsidP="00FF5282">
      <w:pPr>
        <w:pStyle w:val="AddressBlockdate"/>
        <w:rPr>
          <w:b w:val="0"/>
          <w:bCs/>
        </w:rPr>
      </w:pPr>
    </w:p>
    <w:p w14:paraId="428EE2E9" w14:textId="146B869D" w:rsidR="00FF5282" w:rsidRDefault="00FF5282" w:rsidP="00FF5282">
      <w:pPr>
        <w:pStyle w:val="AddressBlockdate"/>
        <w:rPr>
          <w:b w:val="0"/>
          <w:bCs/>
        </w:rPr>
      </w:pPr>
      <w:r w:rsidRPr="00FF5282">
        <w:rPr>
          <w:b w:val="0"/>
          <w:bCs/>
        </w:rPr>
        <w:t xml:space="preserve">Quality Indicators for Learning and Teaching. (2024). </w:t>
      </w:r>
      <w:r w:rsidR="00AC3007" w:rsidRPr="00D70975">
        <w:rPr>
          <w:b w:val="0"/>
          <w:bCs/>
        </w:rPr>
        <w:t xml:space="preserve">Senate Education and Employment Legislation Committee, Parliament of Australia. </w:t>
      </w:r>
      <w:r w:rsidR="00AC3007">
        <w:rPr>
          <w:b w:val="0"/>
          <w:bCs/>
        </w:rPr>
        <w:t xml:space="preserve">(2025) </w:t>
      </w:r>
      <w:r w:rsidR="00AC3007" w:rsidRPr="00D70975">
        <w:rPr>
          <w:b w:val="0"/>
          <w:bCs/>
          <w:i/>
          <w:iCs/>
        </w:rPr>
        <w:t>Quality of governance at Australian higher education providers. Interim Report</w:t>
      </w:r>
      <w:r w:rsidR="00AC3007">
        <w:rPr>
          <w:b w:val="0"/>
          <w:bCs/>
        </w:rPr>
        <w:t xml:space="preserve"> (September 2025)</w:t>
      </w:r>
      <w:r w:rsidR="002F193C">
        <w:rPr>
          <w:b w:val="0"/>
          <w:bCs/>
        </w:rPr>
        <w:t>.</w:t>
      </w:r>
    </w:p>
    <w:p w14:paraId="3E846123" w14:textId="77777777" w:rsidR="002F193C" w:rsidRPr="00FF5282" w:rsidRDefault="002F193C" w:rsidP="00FF5282">
      <w:pPr>
        <w:pStyle w:val="AddressBlockdate"/>
        <w:rPr>
          <w:b w:val="0"/>
          <w:bCs/>
        </w:rPr>
      </w:pPr>
    </w:p>
    <w:p w14:paraId="2EA1A739" w14:textId="778F60A4" w:rsidR="00D70975" w:rsidRPr="00FF5282" w:rsidRDefault="00D70975" w:rsidP="00D70975">
      <w:pPr>
        <w:pStyle w:val="AddressBlockdate"/>
        <w:rPr>
          <w:b w:val="0"/>
          <w:bCs/>
        </w:rPr>
      </w:pPr>
      <w:r w:rsidRPr="00D70975">
        <w:rPr>
          <w:b w:val="0"/>
          <w:bCs/>
        </w:rPr>
        <w:t xml:space="preserve">Senate Education and Employment Legislation Committee, Parliament of Australia. </w:t>
      </w:r>
      <w:r>
        <w:rPr>
          <w:b w:val="0"/>
          <w:bCs/>
        </w:rPr>
        <w:t xml:space="preserve">(2025) </w:t>
      </w:r>
      <w:r w:rsidRPr="00D70975">
        <w:rPr>
          <w:b w:val="0"/>
          <w:bCs/>
          <w:i/>
          <w:iCs/>
        </w:rPr>
        <w:t>Quality of governance at Australian higher education providers. Interim Report</w:t>
      </w:r>
      <w:r>
        <w:rPr>
          <w:b w:val="0"/>
          <w:bCs/>
        </w:rPr>
        <w:t xml:space="preserve"> (September 2025)</w:t>
      </w:r>
      <w:r w:rsidR="002F193C">
        <w:rPr>
          <w:b w:val="0"/>
          <w:bCs/>
        </w:rPr>
        <w:t>.</w:t>
      </w:r>
    </w:p>
    <w:p w14:paraId="37FA72DC" w14:textId="77777777" w:rsidR="00FF5282" w:rsidRDefault="00FF5282" w:rsidP="00FF5282">
      <w:pPr>
        <w:pStyle w:val="AddressBlockdate"/>
        <w:rPr>
          <w:b w:val="0"/>
          <w:bCs/>
        </w:rPr>
      </w:pPr>
    </w:p>
    <w:p w14:paraId="24703FF4" w14:textId="77777777" w:rsidR="00D40481" w:rsidRDefault="00D40481" w:rsidP="00FF5282">
      <w:pPr>
        <w:pStyle w:val="AddressBlockdate"/>
        <w:rPr>
          <w:b w:val="0"/>
          <w:bCs/>
        </w:rPr>
      </w:pPr>
    </w:p>
    <w:p w14:paraId="631D495E" w14:textId="77777777" w:rsidR="00D70975" w:rsidRDefault="00D70975" w:rsidP="00FF5282">
      <w:pPr>
        <w:pStyle w:val="AddressBlockdate"/>
        <w:rPr>
          <w:b w:val="0"/>
          <w:bCs/>
        </w:rPr>
      </w:pPr>
    </w:p>
    <w:sectPr w:rsidR="00D70975" w:rsidSect="00B25C49">
      <w:type w:val="continuous"/>
      <w:pgSz w:w="11906" w:h="16838" w:code="9"/>
      <w:pgMar w:top="1135" w:right="1134" w:bottom="1418"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7A69" w14:textId="77777777" w:rsidR="00616292" w:rsidRDefault="00616292" w:rsidP="00F1283C">
      <w:pPr>
        <w:spacing w:after="0" w:line="240" w:lineRule="auto"/>
      </w:pPr>
      <w:r>
        <w:separator/>
      </w:r>
    </w:p>
  </w:endnote>
  <w:endnote w:type="continuationSeparator" w:id="0">
    <w:p w14:paraId="2D49CFFF" w14:textId="77777777" w:rsidR="00616292" w:rsidRDefault="00616292"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VAGblake">
    <w:altName w:val="Calibri"/>
    <w:panose1 w:val="00000000000000000000"/>
    <w:charset w:val="00"/>
    <w:family w:val="modern"/>
    <w:notTrueType/>
    <w:pitch w:val="variable"/>
    <w:sig w:usb0="800000AF" w:usb1="40000048" w:usb2="00000000" w:usb3="00000000" w:csb0="00000001" w:csb1="00000000"/>
  </w:font>
  <w:font w:name="MinionPro-Regular">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607531"/>
      <w:docPartObj>
        <w:docPartGallery w:val="Page Numbers (Bottom of Page)"/>
        <w:docPartUnique/>
      </w:docPartObj>
    </w:sdtPr>
    <w:sdtEndPr>
      <w:rPr>
        <w:noProof/>
      </w:rPr>
    </w:sdtEndPr>
    <w:sdtContent>
      <w:p w14:paraId="69C676C5" w14:textId="77777777" w:rsidR="00D2193E" w:rsidRPr="0088658F" w:rsidRDefault="00D2193E" w:rsidP="00D2193E">
        <w:pPr>
          <w:pStyle w:val="Footer"/>
          <w:jc w:val="center"/>
          <w:rPr>
            <w:noProof/>
            <w:color w:val="005496" w:themeColor="accent1"/>
          </w:rPr>
        </w:pPr>
        <w:r w:rsidRPr="0088658F">
          <w:rPr>
            <w:color w:val="005496" w:themeColor="accent1"/>
          </w:rPr>
          <w:fldChar w:fldCharType="begin"/>
        </w:r>
        <w:r w:rsidRPr="0088658F">
          <w:rPr>
            <w:color w:val="005496" w:themeColor="accent1"/>
          </w:rPr>
          <w:instrText xml:space="preserve"> PAGE   \* MERGEFORMAT </w:instrText>
        </w:r>
        <w:r w:rsidRPr="0088658F">
          <w:rPr>
            <w:color w:val="005496" w:themeColor="accent1"/>
          </w:rPr>
          <w:fldChar w:fldCharType="separate"/>
        </w:r>
        <w:r w:rsidRPr="0088658F">
          <w:rPr>
            <w:noProof/>
            <w:color w:val="005496" w:themeColor="accent1"/>
          </w:rPr>
          <w:t>2</w:t>
        </w:r>
        <w:r w:rsidRPr="0088658F">
          <w:rPr>
            <w:noProof/>
            <w:color w:val="005496" w:themeColor="accent1"/>
          </w:rPr>
          <w:fldChar w:fldCharType="end"/>
        </w:r>
      </w:p>
      <w:p w14:paraId="7DC764D0" w14:textId="77777777" w:rsidR="00665E6E" w:rsidRDefault="00616292" w:rsidP="00D2193E">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A714" w14:textId="77777777" w:rsidR="00ED4A4E" w:rsidRPr="00ED4A4E" w:rsidRDefault="00EA7300" w:rsidP="00ED4A4E">
    <w:pPr>
      <w:pStyle w:val="Footer"/>
      <w:ind w:right="-143"/>
      <w:jc w:val="right"/>
      <w:rPr>
        <w:b/>
        <w:bCs/>
      </w:rPr>
    </w:pPr>
    <w:r>
      <w:rPr>
        <w:noProof/>
      </w:rPr>
      <w:drawing>
        <wp:anchor distT="0" distB="0" distL="114300" distR="114300" simplePos="0" relativeHeight="251661312" behindDoc="1" locked="0" layoutInCell="1" allowOverlap="1" wp14:anchorId="33007CDA" wp14:editId="34C2735D">
          <wp:simplePos x="0" y="0"/>
          <wp:positionH relativeFrom="page">
            <wp:posOffset>6152111</wp:posOffset>
          </wp:positionH>
          <wp:positionV relativeFrom="paragraph">
            <wp:posOffset>-592282</wp:posOffset>
          </wp:positionV>
          <wp:extent cx="1395442" cy="1246159"/>
          <wp:effectExtent l="0" t="0" r="0" b="0"/>
          <wp:wrapNone/>
          <wp:docPr id="1489225398" name="Picture 1489225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8652" cy="1249025"/>
                  </a:xfrm>
                  <a:prstGeom prst="rect">
                    <a:avLst/>
                  </a:prstGeom>
                </pic:spPr>
              </pic:pic>
            </a:graphicData>
          </a:graphic>
          <wp14:sizeRelH relativeFrom="page">
            <wp14:pctWidth>0</wp14:pctWidth>
          </wp14:sizeRelH>
          <wp14:sizeRelV relativeFrom="page">
            <wp14:pctHeight>0</wp14:pctHeight>
          </wp14:sizeRelV>
        </wp:anchor>
      </w:drawing>
    </w:r>
    <w:sdt>
      <w:sdtPr>
        <w:id w:val="-1025715486"/>
        <w:docPartObj>
          <w:docPartGallery w:val="Page Numbers (Bottom of Page)"/>
          <w:docPartUnique/>
        </w:docPartObj>
      </w:sdtPr>
      <w:sdtEndPr>
        <w:rPr>
          <w:noProof/>
        </w:rPr>
      </w:sdtEndPr>
      <w:sdtContent>
        <w:r w:rsidR="00ED4A4E" w:rsidRPr="00ED4A4E">
          <w:rPr>
            <w:rFonts w:asciiTheme="minorHAnsi" w:hAnsiTheme="minorHAnsi" w:cstheme="minorHAnsi"/>
            <w:b/>
            <w:bCs/>
            <w:color w:val="005496" w:themeColor="text2"/>
          </w:rPr>
          <w:fldChar w:fldCharType="begin"/>
        </w:r>
        <w:r w:rsidR="00ED4A4E" w:rsidRPr="00ED4A4E">
          <w:rPr>
            <w:rFonts w:asciiTheme="minorHAnsi" w:hAnsiTheme="minorHAnsi" w:cstheme="minorHAnsi"/>
            <w:b/>
            <w:bCs/>
            <w:color w:val="005496" w:themeColor="text2"/>
          </w:rPr>
          <w:instrText xml:space="preserve"> PAGE   \* MERGEFORMAT </w:instrText>
        </w:r>
        <w:r w:rsidR="00ED4A4E" w:rsidRPr="00ED4A4E">
          <w:rPr>
            <w:rFonts w:asciiTheme="minorHAnsi" w:hAnsiTheme="minorHAnsi" w:cstheme="minorHAnsi"/>
            <w:b/>
            <w:bCs/>
            <w:color w:val="005496" w:themeColor="text2"/>
          </w:rPr>
          <w:fldChar w:fldCharType="separate"/>
        </w:r>
        <w:r w:rsidR="00ED4A4E" w:rsidRPr="00ED4A4E">
          <w:rPr>
            <w:rFonts w:asciiTheme="minorHAnsi" w:hAnsiTheme="minorHAnsi" w:cstheme="minorHAnsi"/>
            <w:b/>
            <w:bCs/>
            <w:noProof/>
            <w:color w:val="005496" w:themeColor="text2"/>
          </w:rPr>
          <w:t>2</w:t>
        </w:r>
        <w:r w:rsidR="00ED4A4E" w:rsidRPr="00ED4A4E">
          <w:rPr>
            <w:rFonts w:asciiTheme="minorHAnsi" w:hAnsiTheme="minorHAnsi" w:cstheme="minorHAnsi"/>
            <w:b/>
            <w:bCs/>
            <w:noProof/>
            <w:color w:val="005496" w:themeColor="text2"/>
          </w:rPr>
          <w:fldChar w:fldCharType="end"/>
        </w:r>
        <w:r w:rsidR="00ED4A4E" w:rsidRPr="00ED4A4E">
          <w:rPr>
            <w:rFonts w:asciiTheme="minorHAnsi" w:hAnsiTheme="minorHAnsi" w:cstheme="minorHAnsi"/>
            <w:b/>
            <w:bCs/>
            <w:noProof/>
          </w:rPr>
          <w:tab/>
        </w:r>
      </w:sdtContent>
    </w:sdt>
  </w:p>
  <w:p w14:paraId="01D758A6" w14:textId="77777777" w:rsidR="00F11608" w:rsidRPr="004B15FD" w:rsidRDefault="00F11608" w:rsidP="004B15FD">
    <w:pPr>
      <w:pStyle w:val="Footer"/>
      <w:ind w:right="-143"/>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DC53" w14:textId="77777777" w:rsidR="00616292" w:rsidRDefault="00616292" w:rsidP="00F1283C">
      <w:pPr>
        <w:spacing w:after="0" w:line="240" w:lineRule="auto"/>
      </w:pPr>
      <w:bookmarkStart w:id="0" w:name="_Hlk80104043"/>
      <w:bookmarkEnd w:id="0"/>
      <w:r>
        <w:separator/>
      </w:r>
    </w:p>
  </w:footnote>
  <w:footnote w:type="continuationSeparator" w:id="0">
    <w:p w14:paraId="39C0CDFF" w14:textId="77777777" w:rsidR="00616292" w:rsidRDefault="00616292" w:rsidP="00F1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F8C4" w14:textId="77777777" w:rsidR="00665E6E" w:rsidRDefault="00665E6E" w:rsidP="0035331A">
    <w:pPr>
      <w:pStyle w:val="Header"/>
    </w:pPr>
    <w:r>
      <w:rPr>
        <w:noProof/>
        <w:lang w:eastAsia="en-AU"/>
      </w:rPr>
      <w:drawing>
        <wp:anchor distT="0" distB="0" distL="114300" distR="114300" simplePos="0" relativeHeight="251660288" behindDoc="0" locked="1" layoutInCell="1" allowOverlap="1" wp14:anchorId="6BF34986" wp14:editId="6F588C05">
          <wp:simplePos x="0" y="0"/>
          <wp:positionH relativeFrom="page">
            <wp:posOffset>6566535</wp:posOffset>
          </wp:positionH>
          <wp:positionV relativeFrom="page">
            <wp:posOffset>9683115</wp:posOffset>
          </wp:positionV>
          <wp:extent cx="702945" cy="746760"/>
          <wp:effectExtent l="0" t="0" r="1905" b="0"/>
          <wp:wrapNone/>
          <wp:docPr id="690679625" name="Picture 6906796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2945" cy="746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1E05" w14:textId="77777777" w:rsidR="00162100" w:rsidRPr="00162100" w:rsidRDefault="0057465D" w:rsidP="0035331A">
    <w:pPr>
      <w:pStyle w:val="Header"/>
      <w:rPr>
        <w:sz w:val="10"/>
        <w:szCs w:val="10"/>
      </w:rPr>
    </w:pPr>
    <w:r>
      <w:ptab w:relativeTo="margin" w:alignment="right" w:leader="none"/>
    </w:r>
  </w:p>
  <w:p w14:paraId="368F794A" w14:textId="77777777" w:rsidR="009122C2" w:rsidRPr="0035331A" w:rsidRDefault="009122C2" w:rsidP="0035331A">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E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28F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B228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3EF1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E9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A67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41C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C9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C0FD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21F17"/>
    <w:multiLevelType w:val="multilevel"/>
    <w:tmpl w:val="C0063F0E"/>
    <w:name w:val="PWDA_Numbered"/>
    <w:styleLink w:val="PWDANumbered"/>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1" w15:restartNumberingAfterBreak="0">
    <w:nsid w:val="136B26DF"/>
    <w:multiLevelType w:val="hybridMultilevel"/>
    <w:tmpl w:val="A1AE03B6"/>
    <w:lvl w:ilvl="0" w:tplc="FBF2F60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873497"/>
    <w:multiLevelType w:val="multilevel"/>
    <w:tmpl w:val="26A2851A"/>
    <w:name w:val="PWDA_Bullets2"/>
    <w:numStyleLink w:val="PWDABullets"/>
  </w:abstractNum>
  <w:abstractNum w:abstractNumId="13" w15:restartNumberingAfterBreak="0">
    <w:nsid w:val="24C26EDE"/>
    <w:multiLevelType w:val="multilevel"/>
    <w:tmpl w:val="26A2851A"/>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4" w15:restartNumberingAfterBreak="0">
    <w:nsid w:val="56E14E25"/>
    <w:multiLevelType w:val="hybridMultilevel"/>
    <w:tmpl w:val="3F8A24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84105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29121C9"/>
    <w:multiLevelType w:val="hybridMultilevel"/>
    <w:tmpl w:val="B0D09D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EE915DB"/>
    <w:multiLevelType w:val="hybridMultilevel"/>
    <w:tmpl w:val="A82AFAA6"/>
    <w:lvl w:ilvl="0" w:tplc="4A3AE642">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1146865">
    <w:abstractNumId w:val="15"/>
  </w:num>
  <w:num w:numId="2" w16cid:durableId="1274095784">
    <w:abstractNumId w:val="13"/>
  </w:num>
  <w:num w:numId="3" w16cid:durableId="439116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6370206">
    <w:abstractNumId w:val="12"/>
  </w:num>
  <w:num w:numId="5" w16cid:durableId="1455438813">
    <w:abstractNumId w:val="10"/>
  </w:num>
  <w:num w:numId="6" w16cid:durableId="755905824">
    <w:abstractNumId w:val="9"/>
  </w:num>
  <w:num w:numId="7" w16cid:durableId="830170803">
    <w:abstractNumId w:val="9"/>
  </w:num>
  <w:num w:numId="8" w16cid:durableId="830826783">
    <w:abstractNumId w:val="11"/>
  </w:num>
  <w:num w:numId="9" w16cid:durableId="258831179">
    <w:abstractNumId w:val="11"/>
  </w:num>
  <w:num w:numId="10" w16cid:durableId="547449856">
    <w:abstractNumId w:val="17"/>
  </w:num>
  <w:num w:numId="11" w16cid:durableId="14118731">
    <w:abstractNumId w:val="7"/>
  </w:num>
  <w:num w:numId="12" w16cid:durableId="150099330">
    <w:abstractNumId w:val="6"/>
  </w:num>
  <w:num w:numId="13" w16cid:durableId="86928153">
    <w:abstractNumId w:val="5"/>
  </w:num>
  <w:num w:numId="14" w16cid:durableId="2141143237">
    <w:abstractNumId w:val="4"/>
  </w:num>
  <w:num w:numId="15" w16cid:durableId="348945490">
    <w:abstractNumId w:val="8"/>
  </w:num>
  <w:num w:numId="16" w16cid:durableId="1468864111">
    <w:abstractNumId w:val="3"/>
  </w:num>
  <w:num w:numId="17" w16cid:durableId="881601345">
    <w:abstractNumId w:val="2"/>
  </w:num>
  <w:num w:numId="18" w16cid:durableId="1267038834">
    <w:abstractNumId w:val="1"/>
  </w:num>
  <w:num w:numId="19" w16cid:durableId="2122603026">
    <w:abstractNumId w:val="0"/>
  </w:num>
  <w:num w:numId="20" w16cid:durableId="270892779">
    <w:abstractNumId w:val="16"/>
  </w:num>
  <w:num w:numId="21" w16cid:durableId="16343687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Dc0MjEwNTcwMTFQ0lEKTi0uzszPAykwNKoFAPo7q7gtAAAA"/>
  </w:docVars>
  <w:rsids>
    <w:rsidRoot w:val="007C7AB9"/>
    <w:rsid w:val="00002E87"/>
    <w:rsid w:val="00016449"/>
    <w:rsid w:val="00022451"/>
    <w:rsid w:val="00025CE0"/>
    <w:rsid w:val="000403A3"/>
    <w:rsid w:val="0004322B"/>
    <w:rsid w:val="000457F1"/>
    <w:rsid w:val="00064F8A"/>
    <w:rsid w:val="00065D79"/>
    <w:rsid w:val="00070FCF"/>
    <w:rsid w:val="00081AA3"/>
    <w:rsid w:val="000952BC"/>
    <w:rsid w:val="0009665D"/>
    <w:rsid w:val="00097C4A"/>
    <w:rsid w:val="000A2514"/>
    <w:rsid w:val="000A5DCF"/>
    <w:rsid w:val="000A6856"/>
    <w:rsid w:val="000C2B17"/>
    <w:rsid w:val="000D49B3"/>
    <w:rsid w:val="000E1DD1"/>
    <w:rsid w:val="000E7E28"/>
    <w:rsid w:val="000F5D16"/>
    <w:rsid w:val="000F60ED"/>
    <w:rsid w:val="00102596"/>
    <w:rsid w:val="0010564F"/>
    <w:rsid w:val="001234CE"/>
    <w:rsid w:val="00124C62"/>
    <w:rsid w:val="001344FA"/>
    <w:rsid w:val="00134AE2"/>
    <w:rsid w:val="00140EDC"/>
    <w:rsid w:val="00143568"/>
    <w:rsid w:val="00153CB1"/>
    <w:rsid w:val="00162100"/>
    <w:rsid w:val="0016635C"/>
    <w:rsid w:val="001753F0"/>
    <w:rsid w:val="00175A7E"/>
    <w:rsid w:val="00177516"/>
    <w:rsid w:val="00177F6B"/>
    <w:rsid w:val="00180E73"/>
    <w:rsid w:val="00186D02"/>
    <w:rsid w:val="001961FB"/>
    <w:rsid w:val="001A52B4"/>
    <w:rsid w:val="001A67EB"/>
    <w:rsid w:val="001B0AA2"/>
    <w:rsid w:val="001B2388"/>
    <w:rsid w:val="001B6297"/>
    <w:rsid w:val="001C4971"/>
    <w:rsid w:val="001E480D"/>
    <w:rsid w:val="001E4D5C"/>
    <w:rsid w:val="001E57C3"/>
    <w:rsid w:val="00210798"/>
    <w:rsid w:val="00213B30"/>
    <w:rsid w:val="002146C9"/>
    <w:rsid w:val="00225F42"/>
    <w:rsid w:val="00230F90"/>
    <w:rsid w:val="00240EC7"/>
    <w:rsid w:val="00241328"/>
    <w:rsid w:val="00241535"/>
    <w:rsid w:val="0024201D"/>
    <w:rsid w:val="0024455A"/>
    <w:rsid w:val="00247F9A"/>
    <w:rsid w:val="0026482F"/>
    <w:rsid w:val="002913ED"/>
    <w:rsid w:val="002956B3"/>
    <w:rsid w:val="00296801"/>
    <w:rsid w:val="002A3C6F"/>
    <w:rsid w:val="002A4B1E"/>
    <w:rsid w:val="002A6DD5"/>
    <w:rsid w:val="002A719F"/>
    <w:rsid w:val="002C1A1C"/>
    <w:rsid w:val="002D493D"/>
    <w:rsid w:val="002D72B1"/>
    <w:rsid w:val="002E0D6A"/>
    <w:rsid w:val="002F193C"/>
    <w:rsid w:val="002F569B"/>
    <w:rsid w:val="002F755C"/>
    <w:rsid w:val="00300272"/>
    <w:rsid w:val="00310E3F"/>
    <w:rsid w:val="00330DC2"/>
    <w:rsid w:val="003505A6"/>
    <w:rsid w:val="00351A77"/>
    <w:rsid w:val="0035331A"/>
    <w:rsid w:val="003614EE"/>
    <w:rsid w:val="00361848"/>
    <w:rsid w:val="0037623C"/>
    <w:rsid w:val="00382057"/>
    <w:rsid w:val="00394C5E"/>
    <w:rsid w:val="00395455"/>
    <w:rsid w:val="003A7D8A"/>
    <w:rsid w:val="003B0D03"/>
    <w:rsid w:val="003C225A"/>
    <w:rsid w:val="003D036A"/>
    <w:rsid w:val="003D0C1C"/>
    <w:rsid w:val="003D474C"/>
    <w:rsid w:val="003D6B0E"/>
    <w:rsid w:val="003D77D7"/>
    <w:rsid w:val="003E3F06"/>
    <w:rsid w:val="003E4694"/>
    <w:rsid w:val="003F1C25"/>
    <w:rsid w:val="00404EF7"/>
    <w:rsid w:val="00407A7A"/>
    <w:rsid w:val="00411002"/>
    <w:rsid w:val="00411AD4"/>
    <w:rsid w:val="00416F74"/>
    <w:rsid w:val="00421245"/>
    <w:rsid w:val="00427012"/>
    <w:rsid w:val="004421E6"/>
    <w:rsid w:val="004566D9"/>
    <w:rsid w:val="0046384C"/>
    <w:rsid w:val="004770E2"/>
    <w:rsid w:val="00480208"/>
    <w:rsid w:val="00485D8C"/>
    <w:rsid w:val="004878AD"/>
    <w:rsid w:val="0049109A"/>
    <w:rsid w:val="004957AF"/>
    <w:rsid w:val="00497D40"/>
    <w:rsid w:val="004A0C49"/>
    <w:rsid w:val="004A2801"/>
    <w:rsid w:val="004A4E61"/>
    <w:rsid w:val="004B15FD"/>
    <w:rsid w:val="004B3CB0"/>
    <w:rsid w:val="004B78DF"/>
    <w:rsid w:val="004C60E0"/>
    <w:rsid w:val="004D0F7F"/>
    <w:rsid w:val="004E0558"/>
    <w:rsid w:val="00503FA0"/>
    <w:rsid w:val="00504DE6"/>
    <w:rsid w:val="005066E6"/>
    <w:rsid w:val="005203DE"/>
    <w:rsid w:val="00524C1B"/>
    <w:rsid w:val="00526E9F"/>
    <w:rsid w:val="00533F41"/>
    <w:rsid w:val="00536960"/>
    <w:rsid w:val="00543BEB"/>
    <w:rsid w:val="00554BAD"/>
    <w:rsid w:val="005551AC"/>
    <w:rsid w:val="00555208"/>
    <w:rsid w:val="00557A6C"/>
    <w:rsid w:val="00560251"/>
    <w:rsid w:val="00560938"/>
    <w:rsid w:val="00563DF9"/>
    <w:rsid w:val="005706AF"/>
    <w:rsid w:val="00571C0C"/>
    <w:rsid w:val="0057465D"/>
    <w:rsid w:val="00584995"/>
    <w:rsid w:val="005913C7"/>
    <w:rsid w:val="00591D5B"/>
    <w:rsid w:val="00591E8B"/>
    <w:rsid w:val="005921F7"/>
    <w:rsid w:val="0059277D"/>
    <w:rsid w:val="005967B6"/>
    <w:rsid w:val="005975D8"/>
    <w:rsid w:val="005B2FC0"/>
    <w:rsid w:val="005C3A8B"/>
    <w:rsid w:val="005C74D3"/>
    <w:rsid w:val="005D644F"/>
    <w:rsid w:val="005E4EBA"/>
    <w:rsid w:val="005F13BE"/>
    <w:rsid w:val="005F3AF7"/>
    <w:rsid w:val="005F5CBD"/>
    <w:rsid w:val="005F630B"/>
    <w:rsid w:val="00601A41"/>
    <w:rsid w:val="00603F76"/>
    <w:rsid w:val="006127A3"/>
    <w:rsid w:val="00616292"/>
    <w:rsid w:val="00626715"/>
    <w:rsid w:val="00626901"/>
    <w:rsid w:val="006322FC"/>
    <w:rsid w:val="00634507"/>
    <w:rsid w:val="0063642F"/>
    <w:rsid w:val="00637733"/>
    <w:rsid w:val="00653AA1"/>
    <w:rsid w:val="00660FB3"/>
    <w:rsid w:val="0066480F"/>
    <w:rsid w:val="00665E6E"/>
    <w:rsid w:val="006733DA"/>
    <w:rsid w:val="00681F15"/>
    <w:rsid w:val="00696E38"/>
    <w:rsid w:val="006A0333"/>
    <w:rsid w:val="006A5370"/>
    <w:rsid w:val="006A5B1D"/>
    <w:rsid w:val="006A6F57"/>
    <w:rsid w:val="006B4B67"/>
    <w:rsid w:val="006B60B1"/>
    <w:rsid w:val="006C097D"/>
    <w:rsid w:val="006C40E0"/>
    <w:rsid w:val="006C4D8E"/>
    <w:rsid w:val="006D6E93"/>
    <w:rsid w:val="006E7BC8"/>
    <w:rsid w:val="006F0A74"/>
    <w:rsid w:val="0070174E"/>
    <w:rsid w:val="0070255E"/>
    <w:rsid w:val="00711FC5"/>
    <w:rsid w:val="00716E83"/>
    <w:rsid w:val="00720556"/>
    <w:rsid w:val="00720921"/>
    <w:rsid w:val="00720EC7"/>
    <w:rsid w:val="00737AF5"/>
    <w:rsid w:val="0074194B"/>
    <w:rsid w:val="00746425"/>
    <w:rsid w:val="00751F64"/>
    <w:rsid w:val="00760517"/>
    <w:rsid w:val="00771157"/>
    <w:rsid w:val="00775452"/>
    <w:rsid w:val="00777215"/>
    <w:rsid w:val="007815AD"/>
    <w:rsid w:val="00793A44"/>
    <w:rsid w:val="00796A86"/>
    <w:rsid w:val="007B34FD"/>
    <w:rsid w:val="007C2375"/>
    <w:rsid w:val="007C2C0B"/>
    <w:rsid w:val="007C7AB9"/>
    <w:rsid w:val="007E61CA"/>
    <w:rsid w:val="007F3EAE"/>
    <w:rsid w:val="007F7D2F"/>
    <w:rsid w:val="0080562C"/>
    <w:rsid w:val="0080576B"/>
    <w:rsid w:val="00810253"/>
    <w:rsid w:val="008113D2"/>
    <w:rsid w:val="008129DB"/>
    <w:rsid w:val="008132F0"/>
    <w:rsid w:val="008171A9"/>
    <w:rsid w:val="00820C9C"/>
    <w:rsid w:val="00843D24"/>
    <w:rsid w:val="00846B7D"/>
    <w:rsid w:val="00851B78"/>
    <w:rsid w:val="00860DCD"/>
    <w:rsid w:val="00861060"/>
    <w:rsid w:val="0086598F"/>
    <w:rsid w:val="00867F2F"/>
    <w:rsid w:val="0087376B"/>
    <w:rsid w:val="0088658F"/>
    <w:rsid w:val="00894322"/>
    <w:rsid w:val="008948F1"/>
    <w:rsid w:val="008A110D"/>
    <w:rsid w:val="008A25F4"/>
    <w:rsid w:val="008A5AAB"/>
    <w:rsid w:val="008A688B"/>
    <w:rsid w:val="008B4E2B"/>
    <w:rsid w:val="008B5BB7"/>
    <w:rsid w:val="008D7962"/>
    <w:rsid w:val="008E2BF3"/>
    <w:rsid w:val="008E4408"/>
    <w:rsid w:val="008F1A31"/>
    <w:rsid w:val="009108CF"/>
    <w:rsid w:val="009122C2"/>
    <w:rsid w:val="0091341C"/>
    <w:rsid w:val="00914DC5"/>
    <w:rsid w:val="00915654"/>
    <w:rsid w:val="00920BBD"/>
    <w:rsid w:val="00932A37"/>
    <w:rsid w:val="00933F06"/>
    <w:rsid w:val="0097164F"/>
    <w:rsid w:val="00973555"/>
    <w:rsid w:val="00985C14"/>
    <w:rsid w:val="00992488"/>
    <w:rsid w:val="0099361C"/>
    <w:rsid w:val="009955E8"/>
    <w:rsid w:val="009A0C0B"/>
    <w:rsid w:val="009A27C1"/>
    <w:rsid w:val="009A77F3"/>
    <w:rsid w:val="009B2FD1"/>
    <w:rsid w:val="009B39FF"/>
    <w:rsid w:val="009B5910"/>
    <w:rsid w:val="009B78EE"/>
    <w:rsid w:val="009B7E2E"/>
    <w:rsid w:val="009C5611"/>
    <w:rsid w:val="009C6641"/>
    <w:rsid w:val="009D0BBB"/>
    <w:rsid w:val="009D5CD1"/>
    <w:rsid w:val="009E0E33"/>
    <w:rsid w:val="009F36B7"/>
    <w:rsid w:val="00A063C8"/>
    <w:rsid w:val="00A07E31"/>
    <w:rsid w:val="00A27EEA"/>
    <w:rsid w:val="00A306F7"/>
    <w:rsid w:val="00A33B86"/>
    <w:rsid w:val="00A353F7"/>
    <w:rsid w:val="00A3763C"/>
    <w:rsid w:val="00A37DEA"/>
    <w:rsid w:val="00A47A59"/>
    <w:rsid w:val="00A6248E"/>
    <w:rsid w:val="00A72B27"/>
    <w:rsid w:val="00A7766F"/>
    <w:rsid w:val="00A80850"/>
    <w:rsid w:val="00A83035"/>
    <w:rsid w:val="00A845A2"/>
    <w:rsid w:val="00A8577E"/>
    <w:rsid w:val="00A962D6"/>
    <w:rsid w:val="00AA2F82"/>
    <w:rsid w:val="00AA310E"/>
    <w:rsid w:val="00AB41A2"/>
    <w:rsid w:val="00AB4CF5"/>
    <w:rsid w:val="00AB7323"/>
    <w:rsid w:val="00AC3007"/>
    <w:rsid w:val="00AC7290"/>
    <w:rsid w:val="00AD56D0"/>
    <w:rsid w:val="00AE144A"/>
    <w:rsid w:val="00AE35D3"/>
    <w:rsid w:val="00AF0C23"/>
    <w:rsid w:val="00AF3053"/>
    <w:rsid w:val="00AF4992"/>
    <w:rsid w:val="00B00A9A"/>
    <w:rsid w:val="00B036C7"/>
    <w:rsid w:val="00B069B5"/>
    <w:rsid w:val="00B13900"/>
    <w:rsid w:val="00B200A7"/>
    <w:rsid w:val="00B248BC"/>
    <w:rsid w:val="00B25C49"/>
    <w:rsid w:val="00B25DE5"/>
    <w:rsid w:val="00B32054"/>
    <w:rsid w:val="00B325B7"/>
    <w:rsid w:val="00B43B4B"/>
    <w:rsid w:val="00B54261"/>
    <w:rsid w:val="00B54DA1"/>
    <w:rsid w:val="00B70168"/>
    <w:rsid w:val="00B70EB2"/>
    <w:rsid w:val="00B7228B"/>
    <w:rsid w:val="00B72BFD"/>
    <w:rsid w:val="00B752B3"/>
    <w:rsid w:val="00B75DA3"/>
    <w:rsid w:val="00B820B2"/>
    <w:rsid w:val="00BB0607"/>
    <w:rsid w:val="00BB4B6C"/>
    <w:rsid w:val="00BB54FB"/>
    <w:rsid w:val="00BC0399"/>
    <w:rsid w:val="00BD698A"/>
    <w:rsid w:val="00BE11D2"/>
    <w:rsid w:val="00BE1B1B"/>
    <w:rsid w:val="00BE2BF4"/>
    <w:rsid w:val="00BE49DB"/>
    <w:rsid w:val="00BE6061"/>
    <w:rsid w:val="00BF7059"/>
    <w:rsid w:val="00C00DBB"/>
    <w:rsid w:val="00C02BFC"/>
    <w:rsid w:val="00C119C8"/>
    <w:rsid w:val="00C12944"/>
    <w:rsid w:val="00C13138"/>
    <w:rsid w:val="00C25193"/>
    <w:rsid w:val="00C25C51"/>
    <w:rsid w:val="00C533BF"/>
    <w:rsid w:val="00C578C7"/>
    <w:rsid w:val="00C6273E"/>
    <w:rsid w:val="00C63E13"/>
    <w:rsid w:val="00C710D5"/>
    <w:rsid w:val="00C74182"/>
    <w:rsid w:val="00C8427C"/>
    <w:rsid w:val="00C947A5"/>
    <w:rsid w:val="00CA1BAF"/>
    <w:rsid w:val="00CA48FC"/>
    <w:rsid w:val="00CB07F2"/>
    <w:rsid w:val="00CB2E90"/>
    <w:rsid w:val="00CD0999"/>
    <w:rsid w:val="00CE5E55"/>
    <w:rsid w:val="00CF2CB6"/>
    <w:rsid w:val="00CF53F6"/>
    <w:rsid w:val="00D03463"/>
    <w:rsid w:val="00D05B5F"/>
    <w:rsid w:val="00D129E5"/>
    <w:rsid w:val="00D158CB"/>
    <w:rsid w:val="00D21718"/>
    <w:rsid w:val="00D2193E"/>
    <w:rsid w:val="00D247E6"/>
    <w:rsid w:val="00D31A22"/>
    <w:rsid w:val="00D31FD7"/>
    <w:rsid w:val="00D40481"/>
    <w:rsid w:val="00D41DE7"/>
    <w:rsid w:val="00D421A8"/>
    <w:rsid w:val="00D42441"/>
    <w:rsid w:val="00D43779"/>
    <w:rsid w:val="00D54D7B"/>
    <w:rsid w:val="00D5547D"/>
    <w:rsid w:val="00D558E0"/>
    <w:rsid w:val="00D60489"/>
    <w:rsid w:val="00D664A5"/>
    <w:rsid w:val="00D67E93"/>
    <w:rsid w:val="00D70975"/>
    <w:rsid w:val="00D74141"/>
    <w:rsid w:val="00D742C7"/>
    <w:rsid w:val="00D75487"/>
    <w:rsid w:val="00D8023A"/>
    <w:rsid w:val="00D84EA8"/>
    <w:rsid w:val="00D87BBE"/>
    <w:rsid w:val="00DA18D0"/>
    <w:rsid w:val="00DA6059"/>
    <w:rsid w:val="00DB3039"/>
    <w:rsid w:val="00DB3539"/>
    <w:rsid w:val="00DC31D5"/>
    <w:rsid w:val="00DC652B"/>
    <w:rsid w:val="00DC7EF8"/>
    <w:rsid w:val="00DD1EC1"/>
    <w:rsid w:val="00DD2FD9"/>
    <w:rsid w:val="00DD3BA3"/>
    <w:rsid w:val="00DD61C1"/>
    <w:rsid w:val="00DE772E"/>
    <w:rsid w:val="00DF0552"/>
    <w:rsid w:val="00DF4A71"/>
    <w:rsid w:val="00DF6F19"/>
    <w:rsid w:val="00DF7547"/>
    <w:rsid w:val="00E0176B"/>
    <w:rsid w:val="00E026F3"/>
    <w:rsid w:val="00E0326D"/>
    <w:rsid w:val="00E11A00"/>
    <w:rsid w:val="00E22910"/>
    <w:rsid w:val="00E2478F"/>
    <w:rsid w:val="00E26297"/>
    <w:rsid w:val="00E37839"/>
    <w:rsid w:val="00E412CD"/>
    <w:rsid w:val="00E56331"/>
    <w:rsid w:val="00E61E50"/>
    <w:rsid w:val="00E7348E"/>
    <w:rsid w:val="00EA2A1C"/>
    <w:rsid w:val="00EA7300"/>
    <w:rsid w:val="00EB4672"/>
    <w:rsid w:val="00EB701C"/>
    <w:rsid w:val="00ED25E4"/>
    <w:rsid w:val="00ED4A4E"/>
    <w:rsid w:val="00EE538F"/>
    <w:rsid w:val="00EF0526"/>
    <w:rsid w:val="00EF1A0C"/>
    <w:rsid w:val="00F0040E"/>
    <w:rsid w:val="00F01942"/>
    <w:rsid w:val="00F11608"/>
    <w:rsid w:val="00F1283C"/>
    <w:rsid w:val="00F250C0"/>
    <w:rsid w:val="00F27DAD"/>
    <w:rsid w:val="00F316CB"/>
    <w:rsid w:val="00F337A3"/>
    <w:rsid w:val="00F51825"/>
    <w:rsid w:val="00F53974"/>
    <w:rsid w:val="00F55383"/>
    <w:rsid w:val="00F60048"/>
    <w:rsid w:val="00F62930"/>
    <w:rsid w:val="00F64626"/>
    <w:rsid w:val="00F72CD2"/>
    <w:rsid w:val="00F85F49"/>
    <w:rsid w:val="00F9455B"/>
    <w:rsid w:val="00F96152"/>
    <w:rsid w:val="00FA125E"/>
    <w:rsid w:val="00FA1F80"/>
    <w:rsid w:val="00FA2767"/>
    <w:rsid w:val="00FA33DB"/>
    <w:rsid w:val="00FA7730"/>
    <w:rsid w:val="00FB1006"/>
    <w:rsid w:val="00FB79E4"/>
    <w:rsid w:val="00FD4C17"/>
    <w:rsid w:val="00FD6BCE"/>
    <w:rsid w:val="00FD7ADD"/>
    <w:rsid w:val="00FE1B6A"/>
    <w:rsid w:val="00FE2F50"/>
    <w:rsid w:val="00FF0CC5"/>
    <w:rsid w:val="00FF5282"/>
    <w:rsid w:val="00FF64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7453D"/>
  <w15:docId w15:val="{9CA71EF9-7238-4B61-AFF7-0E5F92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60" w:line="278"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E1DD1"/>
  </w:style>
  <w:style w:type="paragraph" w:styleId="Heading1">
    <w:name w:val="heading 1"/>
    <w:basedOn w:val="Normal"/>
    <w:next w:val="BodyText"/>
    <w:link w:val="Heading1Char"/>
    <w:uiPriority w:val="1"/>
    <w:qFormat/>
    <w:rsid w:val="008D7962"/>
    <w:pPr>
      <w:keepNext/>
      <w:keepLines/>
      <w:spacing w:after="360"/>
      <w:outlineLvl w:val="0"/>
    </w:pPr>
    <w:rPr>
      <w:rFonts w:ascii="VAG Rounded" w:eastAsiaTheme="majorEastAsia" w:hAnsi="VAG Rounded" w:cstheme="majorBidi"/>
      <w:b/>
      <w:color w:val="005496" w:themeColor="accent1"/>
      <w:spacing w:val="14"/>
      <w:sz w:val="40"/>
      <w:szCs w:val="32"/>
    </w:rPr>
  </w:style>
  <w:style w:type="paragraph" w:styleId="Heading2">
    <w:name w:val="heading 2"/>
    <w:basedOn w:val="Normal"/>
    <w:next w:val="Normal"/>
    <w:link w:val="Heading2Char"/>
    <w:uiPriority w:val="1"/>
    <w:qFormat/>
    <w:rsid w:val="00867F2F"/>
    <w:pPr>
      <w:keepNext/>
      <w:keepLines/>
      <w:spacing w:after="0"/>
      <w:outlineLvl w:val="1"/>
    </w:pPr>
    <w:rPr>
      <w:rFonts w:ascii="VAG Rounded" w:eastAsiaTheme="majorEastAsia" w:hAnsi="VAG Rounded" w:cstheme="majorBidi"/>
      <w:color w:val="005496" w:themeColor="accent1"/>
      <w:sz w:val="36"/>
      <w:szCs w:val="26"/>
    </w:rPr>
  </w:style>
  <w:style w:type="paragraph" w:styleId="Heading3">
    <w:name w:val="heading 3"/>
    <w:basedOn w:val="Normal"/>
    <w:next w:val="Normal"/>
    <w:link w:val="Heading3Char"/>
    <w:uiPriority w:val="1"/>
    <w:qFormat/>
    <w:rsid w:val="00867F2F"/>
    <w:pPr>
      <w:keepNext/>
      <w:keepLines/>
      <w:outlineLvl w:val="2"/>
    </w:pPr>
    <w:rPr>
      <w:rFonts w:ascii="VAG Rounded" w:eastAsiaTheme="majorEastAsia" w:hAnsi="VAG Rounded" w:cstheme="majorBidi"/>
      <w:color w:val="00884F" w:themeColor="accent2"/>
      <w:sz w:val="32"/>
      <w:szCs w:val="32"/>
    </w:rPr>
  </w:style>
  <w:style w:type="paragraph" w:styleId="Heading4">
    <w:name w:val="heading 4"/>
    <w:basedOn w:val="Normal"/>
    <w:next w:val="Normal"/>
    <w:link w:val="Heading4Char"/>
    <w:uiPriority w:val="1"/>
    <w:qFormat/>
    <w:rsid w:val="008D7962"/>
    <w:pPr>
      <w:keepNext/>
      <w:keepLines/>
      <w:outlineLvl w:val="3"/>
    </w:pPr>
    <w:rPr>
      <w:rFonts w:asciiTheme="majorHAnsi" w:eastAsiaTheme="majorEastAsia" w:hAnsiTheme="majorHAnsi" w:cstheme="majorBidi"/>
      <w:b/>
      <w:iCs/>
      <w:color w:val="005496" w:themeColor="accent1"/>
      <w:sz w:val="28"/>
    </w:rPr>
  </w:style>
  <w:style w:type="paragraph" w:styleId="Heading5">
    <w:name w:val="heading 5"/>
    <w:basedOn w:val="Normal"/>
    <w:next w:val="Normal"/>
    <w:link w:val="Heading5Char"/>
    <w:uiPriority w:val="1"/>
    <w:unhideWhenUsed/>
    <w:qFormat/>
    <w:rsid w:val="0016635C"/>
    <w:pPr>
      <w:keepNext/>
      <w:keepLines/>
      <w:spacing w:before="40" w:after="0"/>
      <w:outlineLvl w:val="4"/>
    </w:pPr>
    <w:rPr>
      <w:rFonts w:asciiTheme="majorHAnsi" w:eastAsiaTheme="majorEastAsia" w:hAnsiTheme="majorHAnsi" w:cstheme="majorBidi"/>
      <w:b/>
      <w:color w:val="00549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58E0"/>
    <w:rPr>
      <w:rFonts w:ascii="VAG Rounded" w:eastAsiaTheme="majorEastAsia" w:hAnsi="VAG Rounded" w:cstheme="majorBidi"/>
      <w:b/>
      <w:color w:val="005496" w:themeColor="accent1"/>
      <w:spacing w:val="14"/>
      <w:sz w:val="40"/>
      <w:szCs w:val="32"/>
    </w:rPr>
  </w:style>
  <w:style w:type="paragraph" w:customStyle="1" w:styleId="PWDAContacts">
    <w:name w:val="PWDA Contacts"/>
    <w:uiPriority w:val="5"/>
    <w:qFormat/>
    <w:rsid w:val="002D493D"/>
    <w:pPr>
      <w:spacing w:before="80" w:after="0" w:line="360" w:lineRule="auto"/>
    </w:pPr>
  </w:style>
  <w:style w:type="character" w:customStyle="1" w:styleId="PWDAContactsHeading">
    <w:name w:val="PWDA Contacts Heading"/>
    <w:basedOn w:val="DefaultParagraphFont"/>
    <w:uiPriority w:val="5"/>
    <w:rsid w:val="001E4D5C"/>
    <w:rPr>
      <w:rFonts w:ascii="VAGblake" w:hAnsi="VAGblake"/>
      <w:b/>
      <w:color w:val="005496" w:themeColor="text2"/>
    </w:rPr>
  </w:style>
  <w:style w:type="paragraph" w:styleId="Header">
    <w:name w:val="header"/>
    <w:basedOn w:val="TableGap"/>
    <w:link w:val="HeaderChar"/>
    <w:uiPriority w:val="99"/>
    <w:unhideWhenUsed/>
    <w:rsid w:val="005F3AF7"/>
    <w:pPr>
      <w:spacing w:line="360" w:lineRule="auto"/>
    </w:pPr>
    <w:rPr>
      <w:rFonts w:cs="Arial"/>
      <w:b/>
      <w:bCs/>
      <w:color w:val="005496" w:themeColor="accent1"/>
      <w:sz w:val="24"/>
      <w:szCs w:val="48"/>
    </w:rPr>
  </w:style>
  <w:style w:type="character" w:customStyle="1" w:styleId="HeaderChar">
    <w:name w:val="Header Char"/>
    <w:basedOn w:val="DefaultParagraphFont"/>
    <w:link w:val="Header"/>
    <w:uiPriority w:val="99"/>
    <w:rsid w:val="005F3AF7"/>
    <w:rPr>
      <w:rFonts w:cs="Arial"/>
      <w:b/>
      <w:bCs/>
      <w:color w:val="005496" w:themeColor="accent1"/>
      <w:szCs w:val="48"/>
    </w:rPr>
  </w:style>
  <w:style w:type="paragraph" w:styleId="Footer">
    <w:name w:val="footer"/>
    <w:basedOn w:val="Normal"/>
    <w:link w:val="FooterChar"/>
    <w:uiPriority w:val="99"/>
    <w:unhideWhenUsed/>
    <w:rsid w:val="004B15FD"/>
    <w:pPr>
      <w:tabs>
        <w:tab w:val="center" w:pos="4680"/>
        <w:tab w:val="right" w:pos="9360"/>
      </w:tabs>
      <w:spacing w:after="0" w:line="240" w:lineRule="auto"/>
    </w:pPr>
    <w:rPr>
      <w:rFonts w:ascii="VAG Rounded" w:hAnsi="VAG Rounded"/>
      <w:color w:val="00884F" w:themeColor="accent2"/>
    </w:rPr>
  </w:style>
  <w:style w:type="character" w:customStyle="1" w:styleId="FooterChar">
    <w:name w:val="Footer Char"/>
    <w:basedOn w:val="DefaultParagraphFont"/>
    <w:link w:val="Footer"/>
    <w:uiPriority w:val="99"/>
    <w:rsid w:val="004B15FD"/>
    <w:rPr>
      <w:rFonts w:ascii="VAG Rounded" w:hAnsi="VAG Rounded"/>
      <w:color w:val="00884F" w:themeColor="accent2"/>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unhideWhenUsed/>
    <w:qFormat/>
    <w:rsid w:val="00560251"/>
    <w:rPr>
      <w:b/>
      <w:i w:val="0"/>
      <w:color w:val="005496"/>
      <w:u w:val="none"/>
    </w:rPr>
  </w:style>
  <w:style w:type="paragraph" w:styleId="TOCHeading">
    <w:name w:val="TOC Heading"/>
    <w:basedOn w:val="Heading1"/>
    <w:next w:val="Normal"/>
    <w:uiPriority w:val="39"/>
    <w:qFormat/>
    <w:rsid w:val="008E2BF3"/>
    <w:pPr>
      <w:spacing w:after="240"/>
      <w:outlineLvl w:val="9"/>
    </w:pPr>
    <w:rPr>
      <w:lang w:val="en-US"/>
    </w:rPr>
  </w:style>
  <w:style w:type="character" w:customStyle="1" w:styleId="Heading2Char">
    <w:name w:val="Heading 2 Char"/>
    <w:basedOn w:val="DefaultParagraphFont"/>
    <w:link w:val="Heading2"/>
    <w:uiPriority w:val="1"/>
    <w:rsid w:val="00867F2F"/>
    <w:rPr>
      <w:rFonts w:ascii="VAG Rounded" w:eastAsiaTheme="majorEastAsia" w:hAnsi="VAG Rounded" w:cstheme="majorBidi"/>
      <w:color w:val="005496" w:themeColor="accent1"/>
      <w:sz w:val="36"/>
      <w:szCs w:val="26"/>
    </w:rPr>
  </w:style>
  <w:style w:type="character" w:customStyle="1" w:styleId="Heading3Char">
    <w:name w:val="Heading 3 Char"/>
    <w:basedOn w:val="DefaultParagraphFont"/>
    <w:link w:val="Heading3"/>
    <w:uiPriority w:val="1"/>
    <w:rsid w:val="00867F2F"/>
    <w:rPr>
      <w:rFonts w:ascii="VAG Rounded" w:eastAsiaTheme="majorEastAsia" w:hAnsi="VAG Rounded" w:cstheme="majorBidi"/>
      <w:color w:val="00884F" w:themeColor="accent2"/>
      <w:sz w:val="32"/>
      <w:szCs w:val="32"/>
    </w:rPr>
  </w:style>
  <w:style w:type="paragraph" w:customStyle="1" w:styleId="TableGap">
    <w:name w:val="Table Gap"/>
    <w:basedOn w:val="Normal"/>
    <w:uiPriority w:val="5"/>
    <w:rsid w:val="001A67EB"/>
    <w:pPr>
      <w:spacing w:after="0" w:line="240" w:lineRule="auto"/>
    </w:pPr>
    <w:rPr>
      <w:sz w:val="6"/>
    </w:rPr>
  </w:style>
  <w:style w:type="paragraph" w:customStyle="1" w:styleId="Bullet1">
    <w:name w:val="Bullet 1"/>
    <w:basedOn w:val="Normal"/>
    <w:uiPriority w:val="1"/>
    <w:semiHidden/>
    <w:qFormat/>
    <w:rsid w:val="001234CE"/>
  </w:style>
  <w:style w:type="paragraph" w:styleId="ListParagraph">
    <w:name w:val="List Paragraph"/>
    <w:aliases w:val="Numbered List"/>
    <w:basedOn w:val="Normal"/>
    <w:link w:val="ListParagraphChar"/>
    <w:uiPriority w:val="1"/>
    <w:qFormat/>
    <w:rsid w:val="0086598F"/>
    <w:pPr>
      <w:numPr>
        <w:numId w:val="10"/>
      </w:numPr>
    </w:p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semiHidden/>
    <w:qFormat/>
    <w:rsid w:val="00C02BFC"/>
  </w:style>
  <w:style w:type="numbering" w:customStyle="1" w:styleId="PWDANumbered">
    <w:name w:val="PWDA_Numbered"/>
    <w:uiPriority w:val="99"/>
    <w:rsid w:val="00C02BFC"/>
    <w:pPr>
      <w:numPr>
        <w:numId w:val="5"/>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semiHidden/>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semiHidden/>
    <w:rsid w:val="00D558E0"/>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D558E0"/>
    <w:rPr>
      <w:rFonts w:asciiTheme="majorHAnsi" w:eastAsiaTheme="majorEastAsia" w:hAnsiTheme="majorHAnsi" w:cstheme="majorBidi"/>
      <w:b/>
      <w:iCs/>
      <w:color w:val="005496" w:themeColor="accent1"/>
      <w:sz w:val="28"/>
    </w:rPr>
  </w:style>
  <w:style w:type="paragraph" w:styleId="Caption">
    <w:name w:val="caption"/>
    <w:basedOn w:val="Normal"/>
    <w:next w:val="Normal"/>
    <w:uiPriority w:val="35"/>
    <w:unhideWhenUsed/>
    <w:qFormat/>
    <w:rsid w:val="002956B3"/>
    <w:pPr>
      <w:keepNext/>
      <w:spacing w:after="200" w:line="240" w:lineRule="auto"/>
    </w:pPr>
    <w:rPr>
      <w:iCs/>
      <w:color w:val="005496" w:themeColor="text2"/>
      <w:szCs w:val="18"/>
    </w:rPr>
  </w:style>
  <w:style w:type="paragraph" w:customStyle="1" w:styleId="AddressBlockdate">
    <w:name w:val="Address Block &amp; date"/>
    <w:basedOn w:val="Normal"/>
    <w:uiPriority w:val="3"/>
    <w:qFormat/>
    <w:rsid w:val="00696E38"/>
    <w:pPr>
      <w:spacing w:after="0"/>
      <w:contextualSpacing/>
    </w:pPr>
    <w:rPr>
      <w:b/>
    </w:rPr>
  </w:style>
  <w:style w:type="paragraph" w:customStyle="1" w:styleId="BasicParagraph">
    <w:name w:val="[Basic Paragraph]"/>
    <w:basedOn w:val="Normal"/>
    <w:uiPriority w:val="99"/>
    <w:rsid w:val="002A6DD5"/>
    <w:pPr>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B32054"/>
    <w:rPr>
      <w:color w:val="605E5C"/>
      <w:shd w:val="clear" w:color="auto" w:fill="E1DFDD"/>
    </w:rPr>
  </w:style>
  <w:style w:type="paragraph" w:styleId="BodyText">
    <w:name w:val="Body Text"/>
    <w:basedOn w:val="Normal"/>
    <w:link w:val="BodyTextChar"/>
    <w:qFormat/>
    <w:rsid w:val="002D493D"/>
  </w:style>
  <w:style w:type="character" w:customStyle="1" w:styleId="BodyTextChar">
    <w:name w:val="Body Text Char"/>
    <w:basedOn w:val="DefaultParagraphFont"/>
    <w:link w:val="BodyText"/>
    <w:rsid w:val="002D493D"/>
  </w:style>
  <w:style w:type="paragraph" w:styleId="ListBullet">
    <w:name w:val="List Bullet"/>
    <w:aliases w:val="Bullet List"/>
    <w:basedOn w:val="Normal"/>
    <w:uiPriority w:val="2"/>
    <w:qFormat/>
    <w:rsid w:val="0086598F"/>
    <w:pPr>
      <w:numPr>
        <w:numId w:val="9"/>
      </w:numPr>
    </w:pPr>
  </w:style>
  <w:style w:type="character" w:customStyle="1" w:styleId="ListParagraphChar">
    <w:name w:val="List Paragraph Char"/>
    <w:aliases w:val="Numbered List Char"/>
    <w:link w:val="ListParagraph"/>
    <w:uiPriority w:val="1"/>
    <w:qFormat/>
    <w:rsid w:val="0086598F"/>
  </w:style>
  <w:style w:type="character" w:styleId="EndnoteReference">
    <w:name w:val="endnote reference"/>
    <w:basedOn w:val="DefaultParagraphFont"/>
    <w:uiPriority w:val="99"/>
    <w:unhideWhenUsed/>
    <w:rsid w:val="002956B3"/>
    <w:rPr>
      <w:rFonts w:asciiTheme="minorHAnsi" w:hAnsiTheme="minorHAnsi"/>
      <w:b/>
      <w:sz w:val="24"/>
      <w:vertAlign w:val="superscript"/>
    </w:rPr>
  </w:style>
  <w:style w:type="paragraph" w:styleId="EndnoteText">
    <w:name w:val="endnote text"/>
    <w:basedOn w:val="Normal"/>
    <w:link w:val="EndnoteTextChar"/>
    <w:uiPriority w:val="99"/>
    <w:unhideWhenUsed/>
    <w:rsid w:val="002956B3"/>
    <w:pPr>
      <w:spacing w:after="0" w:line="240" w:lineRule="auto"/>
    </w:pPr>
    <w:rPr>
      <w:szCs w:val="20"/>
    </w:rPr>
  </w:style>
  <w:style w:type="character" w:customStyle="1" w:styleId="EndnoteTextChar">
    <w:name w:val="Endnote Text Char"/>
    <w:basedOn w:val="DefaultParagraphFont"/>
    <w:link w:val="EndnoteText"/>
    <w:uiPriority w:val="99"/>
    <w:rsid w:val="002956B3"/>
    <w:rPr>
      <w:szCs w:val="20"/>
    </w:rPr>
  </w:style>
  <w:style w:type="character" w:styleId="FootnoteReference">
    <w:name w:val="footnote reference"/>
    <w:basedOn w:val="DefaultParagraphFont"/>
    <w:uiPriority w:val="99"/>
    <w:semiHidden/>
    <w:unhideWhenUsed/>
    <w:rsid w:val="008171A9"/>
    <w:rPr>
      <w:vertAlign w:val="superscript"/>
    </w:rPr>
  </w:style>
  <w:style w:type="character" w:styleId="PlaceholderText">
    <w:name w:val="Placeholder Text"/>
    <w:basedOn w:val="DefaultParagraphFont"/>
    <w:uiPriority w:val="99"/>
    <w:semiHidden/>
    <w:rsid w:val="00DF4A71"/>
    <w:rPr>
      <w:color w:val="808080"/>
    </w:rPr>
  </w:style>
  <w:style w:type="character" w:customStyle="1" w:styleId="Heading5Char">
    <w:name w:val="Heading 5 Char"/>
    <w:basedOn w:val="DefaultParagraphFont"/>
    <w:link w:val="Heading5"/>
    <w:uiPriority w:val="1"/>
    <w:rsid w:val="00D558E0"/>
    <w:rPr>
      <w:rFonts w:asciiTheme="majorHAnsi" w:eastAsiaTheme="majorEastAsia" w:hAnsiTheme="majorHAnsi" w:cstheme="majorBidi"/>
      <w:b/>
      <w:color w:val="005496" w:themeColor="text2"/>
    </w:rPr>
  </w:style>
  <w:style w:type="character" w:styleId="SubtleEmphasis">
    <w:name w:val="Subtle Emphasis"/>
    <w:basedOn w:val="DefaultParagraphFont"/>
    <w:uiPriority w:val="19"/>
    <w:qFormat/>
    <w:rsid w:val="002D493D"/>
    <w:rPr>
      <w:rFonts w:asciiTheme="minorHAnsi" w:hAnsiTheme="minorHAnsi"/>
      <w:i w:val="0"/>
      <w:iCs/>
      <w:color w:val="005496" w:themeColor="text2"/>
    </w:rPr>
  </w:style>
  <w:style w:type="character" w:styleId="Emphasis">
    <w:name w:val="Emphasis"/>
    <w:basedOn w:val="DefaultParagraphFont"/>
    <w:uiPriority w:val="20"/>
    <w:qFormat/>
    <w:rsid w:val="002D493D"/>
    <w:rPr>
      <w:rFonts w:asciiTheme="minorHAnsi" w:hAnsiTheme="minorHAnsi"/>
      <w:b w:val="0"/>
      <w:i w:val="0"/>
      <w:iCs/>
      <w:color w:val="005496" w:themeColor="text2"/>
      <w:sz w:val="24"/>
    </w:rPr>
  </w:style>
  <w:style w:type="paragraph" w:customStyle="1" w:styleId="Breakoutbox">
    <w:name w:val="Breakout box"/>
    <w:basedOn w:val="BodyText"/>
    <w:uiPriority w:val="99"/>
    <w:rsid w:val="002D493D"/>
    <w:pPr>
      <w:pBdr>
        <w:top w:val="single" w:sz="8" w:space="5" w:color="005496" w:themeColor="text2"/>
        <w:bottom w:val="single" w:sz="8" w:space="5" w:color="005496" w:themeColor="text2"/>
      </w:pBdr>
    </w:pPr>
    <w:rPr>
      <w:color w:val="005496" w:themeColor="text2"/>
    </w:rPr>
  </w:style>
  <w:style w:type="paragraph" w:styleId="IntenseQuote">
    <w:name w:val="Intense Quote"/>
    <w:basedOn w:val="Normal"/>
    <w:next w:val="Normal"/>
    <w:link w:val="IntenseQuoteChar"/>
    <w:uiPriority w:val="30"/>
    <w:qFormat/>
    <w:rsid w:val="002956B3"/>
    <w:pPr>
      <w:pBdr>
        <w:top w:val="single" w:sz="4" w:space="10" w:color="005496" w:themeColor="accent1"/>
        <w:bottom w:val="single" w:sz="4" w:space="10" w:color="005496" w:themeColor="accent1"/>
      </w:pBdr>
      <w:spacing w:before="360" w:after="360"/>
      <w:ind w:left="851" w:right="851"/>
    </w:pPr>
    <w:rPr>
      <w:iCs/>
      <w:color w:val="005496" w:themeColor="accent1"/>
    </w:rPr>
  </w:style>
  <w:style w:type="character" w:customStyle="1" w:styleId="IntenseQuoteChar">
    <w:name w:val="Intense Quote Char"/>
    <w:basedOn w:val="DefaultParagraphFont"/>
    <w:link w:val="IntenseQuote"/>
    <w:uiPriority w:val="30"/>
    <w:rsid w:val="002956B3"/>
    <w:rPr>
      <w:iCs/>
      <w:color w:val="005496" w:themeColor="accent1"/>
    </w:rPr>
  </w:style>
  <w:style w:type="character" w:styleId="Strong">
    <w:name w:val="Strong"/>
    <w:basedOn w:val="DefaultParagraphFont"/>
    <w:uiPriority w:val="22"/>
    <w:qFormat/>
    <w:rsid w:val="002956B3"/>
    <w:rPr>
      <w:rFonts w:asciiTheme="minorHAnsi" w:hAnsiTheme="minorHAnsi"/>
      <w:b/>
      <w:bCs/>
      <w:color w:val="005496" w:themeColor="text2"/>
      <w:sz w:val="28"/>
    </w:rPr>
  </w:style>
  <w:style w:type="paragraph" w:styleId="Quote">
    <w:name w:val="Quote"/>
    <w:basedOn w:val="Normal"/>
    <w:next w:val="Normal"/>
    <w:link w:val="QuoteChar"/>
    <w:uiPriority w:val="29"/>
    <w:qFormat/>
    <w:rsid w:val="002956B3"/>
    <w:pPr>
      <w:spacing w:before="200"/>
      <w:ind w:left="864" w:right="864"/>
      <w:jc w:val="center"/>
    </w:pPr>
    <w:rPr>
      <w:iCs/>
      <w:color w:val="005496" w:themeColor="text2"/>
    </w:rPr>
  </w:style>
  <w:style w:type="character" w:customStyle="1" w:styleId="QuoteChar">
    <w:name w:val="Quote Char"/>
    <w:basedOn w:val="DefaultParagraphFont"/>
    <w:link w:val="Quote"/>
    <w:uiPriority w:val="29"/>
    <w:rsid w:val="002956B3"/>
    <w:rPr>
      <w:iCs/>
      <w:color w:val="005496" w:themeColor="text2"/>
    </w:rPr>
  </w:style>
  <w:style w:type="character" w:styleId="BookTitle">
    <w:name w:val="Book Title"/>
    <w:basedOn w:val="DefaultParagraphFont"/>
    <w:uiPriority w:val="33"/>
    <w:qFormat/>
    <w:rsid w:val="002956B3"/>
    <w:rPr>
      <w:b/>
      <w:bCs/>
      <w:i w:val="0"/>
      <w:iCs/>
      <w:spacing w:val="5"/>
    </w:rPr>
  </w:style>
  <w:style w:type="paragraph" w:customStyle="1" w:styleId="recipientaddress">
    <w:name w:val="recipient address"/>
    <w:basedOn w:val="AddressBlockdate"/>
    <w:uiPriority w:val="99"/>
    <w:qFormat/>
    <w:rsid w:val="00310E3F"/>
    <w:pPr>
      <w:spacing w:before="240" w:after="240"/>
      <w:contextualSpacing w:val="0"/>
    </w:pPr>
    <w:rPr>
      <w:b w:val="0"/>
    </w:rPr>
  </w:style>
  <w:style w:type="character" w:styleId="FollowedHyperlink">
    <w:name w:val="FollowedHyperlink"/>
    <w:basedOn w:val="DefaultParagraphFont"/>
    <w:uiPriority w:val="99"/>
    <w:semiHidden/>
    <w:unhideWhenUsed/>
    <w:rsid w:val="007C7AB9"/>
    <w:rPr>
      <w:color w:val="005496" w:themeColor="followedHyperlink"/>
      <w:u w:val="single"/>
    </w:rPr>
  </w:style>
  <w:style w:type="paragraph" w:styleId="FootnoteText">
    <w:name w:val="footnote text"/>
    <w:basedOn w:val="Normal"/>
    <w:link w:val="FootnoteTextChar"/>
    <w:uiPriority w:val="99"/>
    <w:semiHidden/>
    <w:unhideWhenUsed/>
    <w:rsid w:val="001B62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6297"/>
    <w:rPr>
      <w:sz w:val="20"/>
      <w:szCs w:val="20"/>
    </w:rPr>
  </w:style>
  <w:style w:type="paragraph" w:styleId="Revision">
    <w:name w:val="Revision"/>
    <w:hidden/>
    <w:uiPriority w:val="99"/>
    <w:semiHidden/>
    <w:rsid w:val="00985C14"/>
    <w:pPr>
      <w:spacing w:after="0" w:line="240" w:lineRule="auto"/>
    </w:pPr>
  </w:style>
  <w:style w:type="character" w:styleId="CommentReference">
    <w:name w:val="annotation reference"/>
    <w:basedOn w:val="DefaultParagraphFont"/>
    <w:uiPriority w:val="99"/>
    <w:semiHidden/>
    <w:unhideWhenUsed/>
    <w:rsid w:val="00985C14"/>
    <w:rPr>
      <w:sz w:val="16"/>
      <w:szCs w:val="16"/>
    </w:rPr>
  </w:style>
  <w:style w:type="paragraph" w:styleId="CommentText">
    <w:name w:val="annotation text"/>
    <w:basedOn w:val="Normal"/>
    <w:link w:val="CommentTextChar"/>
    <w:uiPriority w:val="99"/>
    <w:unhideWhenUsed/>
    <w:rsid w:val="00985C14"/>
    <w:pPr>
      <w:spacing w:line="240" w:lineRule="auto"/>
    </w:pPr>
    <w:rPr>
      <w:sz w:val="20"/>
      <w:szCs w:val="20"/>
    </w:rPr>
  </w:style>
  <w:style w:type="character" w:customStyle="1" w:styleId="CommentTextChar">
    <w:name w:val="Comment Text Char"/>
    <w:basedOn w:val="DefaultParagraphFont"/>
    <w:link w:val="CommentText"/>
    <w:uiPriority w:val="99"/>
    <w:rsid w:val="00985C14"/>
    <w:rPr>
      <w:sz w:val="20"/>
      <w:szCs w:val="20"/>
    </w:rPr>
  </w:style>
  <w:style w:type="paragraph" w:styleId="CommentSubject">
    <w:name w:val="annotation subject"/>
    <w:basedOn w:val="CommentText"/>
    <w:next w:val="CommentText"/>
    <w:link w:val="CommentSubjectChar"/>
    <w:uiPriority w:val="99"/>
    <w:semiHidden/>
    <w:unhideWhenUsed/>
    <w:rsid w:val="00985C14"/>
    <w:rPr>
      <w:b/>
      <w:bCs/>
    </w:rPr>
  </w:style>
  <w:style w:type="character" w:customStyle="1" w:styleId="CommentSubjectChar">
    <w:name w:val="Comment Subject Char"/>
    <w:basedOn w:val="CommentTextChar"/>
    <w:link w:val="CommentSubject"/>
    <w:uiPriority w:val="99"/>
    <w:semiHidden/>
    <w:rsid w:val="00985C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parliament.nsw.gov.au/committees/inquiries/Pages/inquiry-details.aspx?pk=3134" TargetMode="External"/><Relationship Id="rId3" Type="http://schemas.openxmlformats.org/officeDocument/2006/relationships/customXml" Target="../customXml/item3.xml"/><Relationship Id="rId21" Type="http://schemas.openxmlformats.org/officeDocument/2006/relationships/hyperlink" Target="https://www.aph.gov.au/Parliamentary_Business/Committees/Senate/Education_and_Employment/UniversityGovernance48"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wd.org.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wd@pwd.org.au" TargetMode="External"/><Relationship Id="rId20" Type="http://schemas.openxmlformats.org/officeDocument/2006/relationships/hyperlink" Target="https://www.ohchr.org/en/instruments-mechanisms/instruments/convention-rights-persons-disabil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parliament.nsw.gov.au/committees/inquiries/Pages/inquiry-details.aspx?pk=31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arlinfo.aph.gov.au/parlInfo/download/committees/reportsen/RB000660/toc_pdf/QualityofgovernanceatAustralianhighereducationproviders%e2%80%93interimreport.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nLaurens\OneDrive%20-%20People%20with%20Disability%20Australia\Desktop\PWDA%20Generic%20Letterhead%20Template_2025%20-%20Copy.dotx"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EEBEA"/>
      </a:lt2>
      <a:accent1>
        <a:srgbClr val="005496"/>
      </a:accent1>
      <a:accent2>
        <a:srgbClr val="00884F"/>
      </a:accent2>
      <a:accent3>
        <a:srgbClr val="00BDF2"/>
      </a:accent3>
      <a:accent4>
        <a:srgbClr val="67C18C"/>
      </a:accent4>
      <a:accent5>
        <a:srgbClr val="EEEBEA"/>
      </a:accent5>
      <a:accent6>
        <a:srgbClr val="000000"/>
      </a:accent6>
      <a:hlink>
        <a:srgbClr val="FFFFFF"/>
      </a:hlink>
      <a:folHlink>
        <a:srgbClr val="0054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SharedWithUsers xmlns="02726c10-34f2-49b5-8ce6-b6efaf8f9534">
      <UserInfo>
        <DisplayName>Nicholas Kelly</DisplayName>
        <AccountId>399</AccountId>
        <AccountType/>
      </UserInfo>
      <UserInfo>
        <DisplayName>Catherine Bourke</DisplayName>
        <AccountId>434</AccountId>
        <AccountType/>
      </UserInfo>
      <UserInfo>
        <DisplayName>Hollee James</DisplayName>
        <AccountId>25</AccountId>
        <AccountType/>
      </UserInfo>
      <UserInfo>
        <DisplayName>Linda Wiseham</DisplayName>
        <AccountId>28</AccountId>
        <AccountType/>
      </UserInfo>
      <UserInfo>
        <DisplayName>Kylie Rees</DisplayName>
        <AccountId>446</AccountId>
        <AccountType/>
      </UserInfo>
      <UserInfo>
        <DisplayName>PWDA Comms</DisplayName>
        <AccountId>449</AccountId>
        <AccountType/>
      </UserInfo>
    </SharedWithUsers>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BC073-6C00-4D53-A259-0A132DAFFD2C}">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2.xml><?xml version="1.0" encoding="utf-8"?>
<ds:datastoreItem xmlns:ds="http://schemas.openxmlformats.org/officeDocument/2006/customXml" ds:itemID="{6FAF85A6-564C-4D10-AB33-854105CFBB71}">
  <ds:schemaRefs>
    <ds:schemaRef ds:uri="http://schemas.microsoft.com/sharepoint/v3/contenttype/forms"/>
  </ds:schemaRefs>
</ds:datastoreItem>
</file>

<file path=customXml/itemProps3.xml><?xml version="1.0" encoding="utf-8"?>
<ds:datastoreItem xmlns:ds="http://schemas.openxmlformats.org/officeDocument/2006/customXml" ds:itemID="{7257B893-FE60-46F6-AEBC-A1C7E8C9D131}">
  <ds:schemaRefs>
    <ds:schemaRef ds:uri="http://schemas.openxmlformats.org/officeDocument/2006/bibliography"/>
  </ds:schemaRefs>
</ds:datastoreItem>
</file>

<file path=customXml/itemProps4.xml><?xml version="1.0" encoding="utf-8"?>
<ds:datastoreItem xmlns:ds="http://schemas.openxmlformats.org/officeDocument/2006/customXml" ds:itemID="{50F5A6E7-EAD6-4F8B-A99A-18D25922A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PWDA Generic Letterhead Template_2025 - Copy</Template>
  <TotalTime>34</TotalTime>
  <Pages>5</Pages>
  <Words>1532</Words>
  <Characters>9132</Characters>
  <Application>Microsoft Office Word</Application>
  <DocSecurity>0</DocSecurity>
  <Lines>190</Lines>
  <Paragraphs>63</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Laurens</dc:creator>
  <cp:lastModifiedBy>Kylie Rees</cp:lastModifiedBy>
  <cp:revision>12</cp:revision>
  <cp:lastPrinted>2025-10-13T07:43:00Z</cp:lastPrinted>
  <dcterms:created xsi:type="dcterms:W3CDTF">2025-10-15T04:23:00Z</dcterms:created>
  <dcterms:modified xsi:type="dcterms:W3CDTF">2026-04-08T06:31:00Z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523200</vt:r8>
  </property>
  <property fmtid="{D5CDD505-2E9C-101B-9397-08002B2CF9AE}" pid="4" name="MediaServiceImageTags">
    <vt:lpwstr/>
  </property>
</Properties>
</file>