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7AF5" w14:textId="77777777" w:rsidR="004B78DF" w:rsidRPr="00382057" w:rsidRDefault="00711FC5" w:rsidP="00A154C0">
      <w:pPr>
        <w:pStyle w:val="Header"/>
        <w:spacing w:line="480" w:lineRule="auto"/>
        <w:ind w:left="5387"/>
        <w:sectPr w:rsidR="004B78DF" w:rsidRPr="00382057" w:rsidSect="00210798">
          <w:headerReference w:type="default" r:id="rId11"/>
          <w:footerReference w:type="default" r:id="rId12"/>
          <w:headerReference w:type="first" r:id="rId13"/>
          <w:footerReference w:type="first" r:id="rId14"/>
          <w:type w:val="continuous"/>
          <w:pgSz w:w="11906" w:h="16838" w:code="9"/>
          <w:pgMar w:top="567" w:right="1134" w:bottom="1560" w:left="1134" w:header="0" w:footer="0" w:gutter="0"/>
          <w:cols w:space="708"/>
          <w:titlePg/>
          <w:docGrid w:linePitch="360"/>
        </w:sectPr>
      </w:pPr>
      <w:r>
        <w:rPr>
          <w:noProof/>
          <w:color w:val="005496" w:themeColor="text2"/>
          <w:sz w:val="20"/>
          <w:szCs w:val="20"/>
        </w:rPr>
        <mc:AlternateContent>
          <mc:Choice Requires="wps">
            <w:drawing>
              <wp:anchor distT="0" distB="0" distL="114300" distR="114300" simplePos="0" relativeHeight="251659264" behindDoc="0" locked="0" layoutInCell="1" allowOverlap="1" wp14:anchorId="717EBFEF" wp14:editId="26961BAD">
                <wp:simplePos x="0" y="0"/>
                <wp:positionH relativeFrom="column">
                  <wp:posOffset>4866005</wp:posOffset>
                </wp:positionH>
                <wp:positionV relativeFrom="page">
                  <wp:posOffset>1205230</wp:posOffset>
                </wp:positionV>
                <wp:extent cx="0" cy="622935"/>
                <wp:effectExtent l="0" t="0" r="38100" b="24765"/>
                <wp:wrapSquare wrapText="bothSides"/>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229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58A82" id="Straight Connector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83.15pt,94.9pt" to="383.15pt,1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8DmQEAAJMDAAAOAAAAZHJzL2Uyb0RvYy54bWysU8Fu2zAMvRfYPwi6N3ZSrFiNOD20aC/D&#10;WmzrB6gyFQuQRIHSYufvK8mJM7QDhha90BLFR/I90uvr0Rq2AwoaXcuXi5ozcBI77bYtf/p9d/6N&#10;sxCF64RBBy3fQ+DXmy9n68E3sMIeTQfEUhIXmsG3vI/RN1UVZA9WhAV6cOlRIVkR05W2VUdiSNmt&#10;qVZ1fVkNSJ0nlBBC8t5Oj3xT8isFMj4oFSAy0/LUWyyWin3OttqsRbMl4XstD22ID3RhhXap6Jzq&#10;VkTB/pB+k8pqSRhQxYVEW6FSWkLhkNgs61dsfvXCQ+GSxAl+lil8Xlr5Y3fjHinJMPjQBP9ImcWo&#10;yOZv6o+NRaz9LBaMkcnJKZP3crW6uviadaxOOE8h3gNalg8tN9plGqIRu+8hTqHHkIQ7VS6nuDeQ&#10;g437CYrpLtVaFnRZCrgxxHYijVNICS4uD6VLdIYpbcwMrP8PPMRnKJSFeQ94RpTK6OIMttoh/at6&#10;HI8tqyn+qMDEO0vwjN2+zKRIkyZfxD1saV6tv+8FfvqXNi8AAAD//wMAUEsDBBQABgAIAAAAIQBz&#10;oZF64QAAAAsBAAAPAAAAZHJzL2Rvd25yZXYueG1sTI9BS8NAEIXvgv9hGcGb3RghTdNsSimItSDF&#10;KrTHbXZMotnZkN026b93xIMe572PN+/li9G24oy9bxwpuJ9EIJBKZxqqFLy/Pd6lIHzQZHTrCBVc&#10;0MOiuL7KdWbcQK943oVKcAj5TCuoQ+gyKX1Zo9V+4jok9j5cb3Xgs6+k6fXA4baVcRQl0uqG+EOt&#10;O1zVWH7tTlbBS79er5abyydtD3bYx5v99nl8Uur2ZlzOQQQcwx8MP/W5OhTc6ehOZLxoFUyT5IFR&#10;NtIZb2DiVzkqiNPpDGSRy/8bim8AAAD//wMAUEsBAi0AFAAGAAgAAAAhALaDOJL+AAAA4QEAABMA&#10;AAAAAAAAAAAAAAAAAAAAAFtDb250ZW50X1R5cGVzXS54bWxQSwECLQAUAAYACAAAACEAOP0h/9YA&#10;AACUAQAACwAAAAAAAAAAAAAAAAAvAQAAX3JlbHMvLnJlbHNQSwECLQAUAAYACAAAACEAiDf/A5kB&#10;AACTAwAADgAAAAAAAAAAAAAAAAAuAgAAZHJzL2Uyb0RvYy54bWxQSwECLQAUAAYACAAAACEAc6GR&#10;euEAAAALAQAADwAAAAAAAAAAAAAAAADzAwAAZHJzL2Rvd25yZXYueG1sUEsFBgAAAAAEAAQA8wAA&#10;AAEFAAAAAA==&#10;" strokecolor="#005496 [3204]" strokeweight=".5pt">
                <v:stroke joinstyle="miter"/>
                <w10:wrap type="square" anchory="page"/>
              </v:line>
            </w:pict>
          </mc:Fallback>
        </mc:AlternateContent>
      </w:r>
      <w:r w:rsidR="00A27EEA">
        <w:rPr>
          <w:noProof/>
        </w:rPr>
        <w:drawing>
          <wp:inline distT="0" distB="0" distL="0" distR="0" wp14:anchorId="67B08C65" wp14:editId="601FAE9F">
            <wp:extent cx="2685011" cy="735965"/>
            <wp:effectExtent l="0" t="0" r="0" b="0"/>
            <wp:docPr id="7" name="Picture 7" descr="People with Disability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eople with Disability Australia logo"/>
                    <pic:cNvPicPr/>
                  </pic:nvPicPr>
                  <pic:blipFill rotWithShape="1">
                    <a:blip r:embed="rId15" cstate="print">
                      <a:extLst>
                        <a:ext uri="{28A0092B-C50C-407E-A947-70E740481C1C}">
                          <a14:useLocalDpi xmlns:a14="http://schemas.microsoft.com/office/drawing/2010/main" val="0"/>
                        </a:ext>
                      </a:extLst>
                    </a:blip>
                    <a:srcRect l="2747" t="16910" r="11839" b="13478"/>
                    <a:stretch/>
                  </pic:blipFill>
                  <pic:spPr bwMode="auto">
                    <a:xfrm>
                      <a:off x="0" y="0"/>
                      <a:ext cx="2710341" cy="742908"/>
                    </a:xfrm>
                    <a:prstGeom prst="rect">
                      <a:avLst/>
                    </a:prstGeom>
                    <a:ln>
                      <a:noFill/>
                    </a:ln>
                    <a:extLst>
                      <a:ext uri="{53640926-AAD7-44D8-BBD7-CCE9431645EC}">
                        <a14:shadowObscured xmlns:a14="http://schemas.microsoft.com/office/drawing/2010/main"/>
                      </a:ext>
                    </a:extLst>
                  </pic:spPr>
                </pic:pic>
              </a:graphicData>
            </a:graphic>
          </wp:inline>
        </w:drawing>
      </w:r>
    </w:p>
    <w:p w14:paraId="604AB270" w14:textId="77777777" w:rsidR="004B78DF" w:rsidRPr="004B78DF" w:rsidRDefault="00B25C49" w:rsidP="00A154C0">
      <w:pPr>
        <w:pStyle w:val="Header"/>
        <w:spacing w:line="480" w:lineRule="auto"/>
        <w:ind w:left="5954" w:right="-283"/>
        <w:rPr>
          <w:b w:val="0"/>
          <w:bCs w:val="0"/>
          <w:sz w:val="20"/>
          <w:szCs w:val="20"/>
        </w:rPr>
      </w:pPr>
      <w:r w:rsidRPr="004B78DF">
        <w:rPr>
          <w:b w:val="0"/>
          <w:bCs w:val="0"/>
          <w:sz w:val="20"/>
          <w:szCs w:val="20"/>
        </w:rPr>
        <w:t>PO Box 666</w:t>
      </w:r>
      <w:r w:rsidR="004B78DF">
        <w:rPr>
          <w:b w:val="0"/>
          <w:bCs w:val="0"/>
          <w:sz w:val="20"/>
          <w:szCs w:val="20"/>
        </w:rPr>
        <w:br/>
      </w:r>
      <w:r w:rsidRPr="004B78DF">
        <w:rPr>
          <w:b w:val="0"/>
          <w:bCs w:val="0"/>
          <w:sz w:val="20"/>
          <w:szCs w:val="20"/>
        </w:rPr>
        <w:t>Strawberry Hills</w:t>
      </w:r>
      <w:r w:rsidR="004B78DF">
        <w:rPr>
          <w:b w:val="0"/>
          <w:bCs w:val="0"/>
          <w:sz w:val="20"/>
          <w:szCs w:val="20"/>
        </w:rPr>
        <w:br/>
      </w:r>
      <w:r w:rsidRPr="004B78DF">
        <w:rPr>
          <w:b w:val="0"/>
          <w:bCs w:val="0"/>
          <w:sz w:val="20"/>
          <w:szCs w:val="20"/>
        </w:rPr>
        <w:t>NSW 2012</w:t>
      </w:r>
    </w:p>
    <w:p w14:paraId="2CAC5DB0" w14:textId="77777777" w:rsidR="00810253" w:rsidRDefault="00B25C49" w:rsidP="00A154C0">
      <w:pPr>
        <w:pStyle w:val="Header"/>
        <w:spacing w:line="480" w:lineRule="auto"/>
        <w:ind w:right="-569"/>
        <w:rPr>
          <w:rStyle w:val="Hyperlink"/>
          <w:bCs w:val="0"/>
          <w:sz w:val="20"/>
          <w:szCs w:val="20"/>
        </w:rPr>
        <w:sectPr w:rsidR="00810253" w:rsidSect="003E3F06">
          <w:type w:val="continuous"/>
          <w:pgSz w:w="11906" w:h="16838" w:code="9"/>
          <w:pgMar w:top="567" w:right="566" w:bottom="1560" w:left="1134" w:header="0" w:footer="0" w:gutter="0"/>
          <w:cols w:num="2" w:space="851" w:equalWidth="0">
            <w:col w:w="7088" w:space="851"/>
            <w:col w:w="1699"/>
          </w:cols>
          <w:titlePg/>
          <w:docGrid w:linePitch="360"/>
        </w:sectPr>
      </w:pPr>
      <w:r w:rsidRPr="004B78DF">
        <w:rPr>
          <w:b w:val="0"/>
          <w:bCs w:val="0"/>
          <w:sz w:val="20"/>
          <w:szCs w:val="20"/>
        </w:rPr>
        <w:t xml:space="preserve">+61 2 </w:t>
      </w:r>
      <w:r w:rsidR="004566D9" w:rsidRPr="004566D9">
        <w:rPr>
          <w:b w:val="0"/>
          <w:bCs w:val="0"/>
          <w:sz w:val="20"/>
          <w:szCs w:val="20"/>
        </w:rPr>
        <w:t>8365 0400</w:t>
      </w:r>
      <w:r w:rsidR="003E3F06">
        <w:rPr>
          <w:b w:val="0"/>
          <w:bCs w:val="0"/>
          <w:sz w:val="20"/>
          <w:szCs w:val="20"/>
        </w:rPr>
        <w:br/>
        <w:t>Toll</w:t>
      </w:r>
      <w:r w:rsidR="00296801">
        <w:rPr>
          <w:b w:val="0"/>
          <w:bCs w:val="0"/>
          <w:sz w:val="20"/>
          <w:szCs w:val="20"/>
        </w:rPr>
        <w:t xml:space="preserve"> </w:t>
      </w:r>
      <w:r w:rsidR="003E3F06">
        <w:rPr>
          <w:b w:val="0"/>
          <w:bCs w:val="0"/>
          <w:sz w:val="20"/>
          <w:szCs w:val="20"/>
        </w:rPr>
        <w:t>free 1800 422</w:t>
      </w:r>
      <w:r w:rsidR="006A0333">
        <w:rPr>
          <w:b w:val="0"/>
          <w:bCs w:val="0"/>
          <w:sz w:val="20"/>
          <w:szCs w:val="20"/>
        </w:rPr>
        <w:t xml:space="preserve"> 015</w:t>
      </w:r>
      <w:r w:rsidR="005F630B">
        <w:rPr>
          <w:b w:val="0"/>
          <w:bCs w:val="0"/>
          <w:sz w:val="20"/>
          <w:szCs w:val="20"/>
        </w:rPr>
        <w:br/>
      </w:r>
      <w:hyperlink r:id="rId16" w:history="1">
        <w:r w:rsidR="004B78DF" w:rsidRPr="004B78DF">
          <w:rPr>
            <w:rStyle w:val="Hyperlink"/>
            <w:sz w:val="20"/>
            <w:szCs w:val="20"/>
          </w:rPr>
          <w:t>pwd@pwd.org.au</w:t>
        </w:r>
      </w:hyperlink>
      <w:r w:rsidR="005F630B">
        <w:rPr>
          <w:rStyle w:val="Hyperlink"/>
          <w:b/>
          <w:sz w:val="20"/>
          <w:szCs w:val="20"/>
        </w:rPr>
        <w:br/>
      </w:r>
      <w:hyperlink r:id="rId17" w:tooltip="PWDA website" w:history="1">
        <w:r w:rsidRPr="004B78DF">
          <w:rPr>
            <w:rStyle w:val="Hyperlink"/>
            <w:bCs w:val="0"/>
            <w:sz w:val="20"/>
            <w:szCs w:val="20"/>
          </w:rPr>
          <w:t>www.pwd.org.au</w:t>
        </w:r>
      </w:hyperlink>
    </w:p>
    <w:p w14:paraId="6B92EB19" w14:textId="5D6E07E3" w:rsidR="00665E6E" w:rsidRDefault="009D3B32" w:rsidP="00A154C0">
      <w:pPr>
        <w:pStyle w:val="AddressBlockdate"/>
        <w:spacing w:after="360" w:line="480" w:lineRule="auto"/>
        <w:rPr>
          <w:bCs/>
        </w:rPr>
      </w:pPr>
      <w:r>
        <w:rPr>
          <w:bCs/>
        </w:rPr>
        <w:t>1</w:t>
      </w:r>
      <w:r w:rsidR="00DD42FA">
        <w:rPr>
          <w:bCs/>
        </w:rPr>
        <w:t>3</w:t>
      </w:r>
      <w:r w:rsidR="002F3BBC">
        <w:rPr>
          <w:bCs/>
        </w:rPr>
        <w:t xml:space="preserve"> </w:t>
      </w:r>
      <w:r>
        <w:rPr>
          <w:bCs/>
        </w:rPr>
        <w:t>March 2026</w:t>
      </w:r>
    </w:p>
    <w:p w14:paraId="076DCABD" w14:textId="63DAC941" w:rsidR="00444933" w:rsidRDefault="00641FED" w:rsidP="00B12BFE">
      <w:pPr>
        <w:pStyle w:val="BodyText"/>
        <w:spacing w:before="0" w:after="0" w:line="480" w:lineRule="auto"/>
      </w:pPr>
      <w:bookmarkStart w:id="1" w:name="_Hlk87383404"/>
      <w:r>
        <w:t>Parliament of New South Wales</w:t>
      </w:r>
    </w:p>
    <w:p w14:paraId="78A2E45E" w14:textId="070825C5" w:rsidR="00444933" w:rsidRDefault="00B91149" w:rsidP="00B12BFE">
      <w:pPr>
        <w:pStyle w:val="BodyText"/>
        <w:spacing w:before="0" w:after="0" w:line="480" w:lineRule="auto"/>
      </w:pPr>
      <w:r>
        <w:t>Committee</w:t>
      </w:r>
      <w:r w:rsidR="00EF3149">
        <w:t xml:space="preserve"> on Ageing and Disability</w:t>
      </w:r>
    </w:p>
    <w:p w14:paraId="5E734533" w14:textId="3DC7DCF3" w:rsidR="00DD42FA" w:rsidRDefault="00DD42FA" w:rsidP="00B12BFE">
      <w:pPr>
        <w:pStyle w:val="BodyText"/>
        <w:spacing w:before="0" w:after="0" w:line="480" w:lineRule="auto"/>
      </w:pPr>
      <w:r>
        <w:t>Parliament House</w:t>
      </w:r>
    </w:p>
    <w:p w14:paraId="7DFC90DD" w14:textId="1D8A9B20" w:rsidR="00DD42FA" w:rsidRDefault="00DD42FA" w:rsidP="00B12BFE">
      <w:pPr>
        <w:pStyle w:val="BodyText"/>
        <w:spacing w:before="0" w:after="0" w:line="480" w:lineRule="auto"/>
      </w:pPr>
      <w:r>
        <w:t>6 Macquarie Street</w:t>
      </w:r>
    </w:p>
    <w:p w14:paraId="36FB30ED" w14:textId="581472BC" w:rsidR="00DD42FA" w:rsidRDefault="00DD42FA" w:rsidP="00B12BFE">
      <w:pPr>
        <w:pStyle w:val="BodyText"/>
        <w:spacing w:before="0" w:after="0" w:line="480" w:lineRule="auto"/>
      </w:pPr>
      <w:r>
        <w:t>SYDNEY NSW 2000</w:t>
      </w:r>
    </w:p>
    <w:p w14:paraId="230EA806" w14:textId="08953BB1" w:rsidR="00396859" w:rsidRPr="00DD42FA" w:rsidRDefault="00310E3F" w:rsidP="00DD42FA">
      <w:pPr>
        <w:pStyle w:val="BodyText"/>
        <w:spacing w:before="0" w:after="0" w:line="480" w:lineRule="auto"/>
        <w:rPr>
          <w:b/>
        </w:rPr>
      </w:pPr>
      <w:r>
        <w:br/>
      </w:r>
      <w:r w:rsidR="00D63455">
        <w:t xml:space="preserve">Submitted </w:t>
      </w:r>
      <w:r w:rsidR="003C037D">
        <w:t xml:space="preserve">through </w:t>
      </w:r>
      <w:hyperlink r:id="rId18" w:anchor="tab-submissions" w:history="1">
        <w:r w:rsidR="003C037D" w:rsidRPr="00C776BE">
          <w:rPr>
            <w:rStyle w:val="Hyperlink"/>
          </w:rPr>
          <w:t xml:space="preserve">inquiry webpage: </w:t>
        </w:r>
      </w:hyperlink>
      <w:r w:rsidR="00A331F6">
        <w:t xml:space="preserve"> </w:t>
      </w:r>
    </w:p>
    <w:p w14:paraId="19C1C40A" w14:textId="77777777" w:rsidR="00F843E4" w:rsidRDefault="00F843E4" w:rsidP="00A154C0">
      <w:pPr>
        <w:pStyle w:val="recipientaddress"/>
        <w:spacing w:line="480" w:lineRule="auto"/>
      </w:pPr>
    </w:p>
    <w:p w14:paraId="560F813A" w14:textId="2F9C49A3" w:rsidR="0057465D" w:rsidRDefault="0035331A" w:rsidP="00A154C0">
      <w:pPr>
        <w:pStyle w:val="recipientaddress"/>
        <w:spacing w:line="480" w:lineRule="auto"/>
        <w:rPr>
          <w:b/>
        </w:rPr>
      </w:pPr>
      <w:r>
        <w:t>Dear</w:t>
      </w:r>
      <w:r w:rsidR="002F3BBC">
        <w:t xml:space="preserve"> </w:t>
      </w:r>
      <w:r w:rsidR="00396859">
        <w:t>Committee</w:t>
      </w:r>
      <w:r w:rsidR="00DD42FA">
        <w:t xml:space="preserve"> on Ageing and Disability</w:t>
      </w:r>
    </w:p>
    <w:p w14:paraId="2BDD7F37" w14:textId="7B24D20E" w:rsidR="00E26297" w:rsidRPr="00C263BB" w:rsidRDefault="00641FED" w:rsidP="00B12BFE">
      <w:pPr>
        <w:pStyle w:val="Heading1"/>
        <w:spacing w:line="480" w:lineRule="auto"/>
        <w:rPr>
          <w:sz w:val="32"/>
        </w:rPr>
      </w:pPr>
      <w:bookmarkStart w:id="2" w:name="_Hlk83653413"/>
      <w:bookmarkEnd w:id="1"/>
      <w:r w:rsidRPr="00C263BB">
        <w:rPr>
          <w:rStyle w:val="Heading1Char"/>
          <w:b/>
          <w:sz w:val="32"/>
        </w:rPr>
        <w:t xml:space="preserve">Inquiry into </w:t>
      </w:r>
      <w:r w:rsidR="00AA36AC" w:rsidRPr="00C263BB">
        <w:rPr>
          <w:rStyle w:val="Heading1Char"/>
          <w:b/>
          <w:sz w:val="32"/>
        </w:rPr>
        <w:t>the role and functions</w:t>
      </w:r>
      <w:r w:rsidR="00CA0B5A" w:rsidRPr="00C263BB">
        <w:rPr>
          <w:rStyle w:val="Heading1Char"/>
          <w:b/>
          <w:sz w:val="32"/>
        </w:rPr>
        <w:t xml:space="preserve"> of the NSW Ageing and Disability Commission</w:t>
      </w:r>
      <w:r w:rsidR="00AA36AC" w:rsidRPr="00C263BB">
        <w:rPr>
          <w:rStyle w:val="Heading1Char"/>
          <w:b/>
          <w:sz w:val="32"/>
        </w:rPr>
        <w:t xml:space="preserve"> in relation to supported decision-making</w:t>
      </w:r>
      <w:r w:rsidR="00E47DD6" w:rsidRPr="00C263BB">
        <w:rPr>
          <w:rStyle w:val="Heading1Char"/>
          <w:b/>
          <w:sz w:val="32"/>
        </w:rPr>
        <w:t xml:space="preserve"> </w:t>
      </w:r>
      <w:r w:rsidR="00E47DD6">
        <w:rPr>
          <w:rStyle w:val="Heading1Char"/>
          <w:b/>
          <w:sz w:val="32"/>
        </w:rPr>
        <w:t>f</w:t>
      </w:r>
      <w:r w:rsidR="00E47DD6" w:rsidRPr="00C263BB">
        <w:rPr>
          <w:rStyle w:val="Heading1Char"/>
          <w:b/>
          <w:sz w:val="32"/>
        </w:rPr>
        <w:t>or adults with disability and older people in NSW.</w:t>
      </w:r>
    </w:p>
    <w:p w14:paraId="78636E6A" w14:textId="1B475052" w:rsidR="00CA0B5A" w:rsidRDefault="00CA0B5A" w:rsidP="00B12BFE">
      <w:pPr>
        <w:pStyle w:val="BodyText"/>
        <w:spacing w:line="480" w:lineRule="auto"/>
      </w:pPr>
      <w:r>
        <w:t xml:space="preserve">People with Disability Australia (PWDA) is pleased to provide comment </w:t>
      </w:r>
      <w:r w:rsidR="005C7AA1">
        <w:t xml:space="preserve">on and </w:t>
      </w:r>
      <w:r w:rsidR="005C7AA1" w:rsidRPr="00B12BFE">
        <w:rPr>
          <w:b/>
          <w:bCs/>
        </w:rPr>
        <w:t>recommendations</w:t>
      </w:r>
      <w:r w:rsidR="005C7AA1">
        <w:t xml:space="preserve"> for</w:t>
      </w:r>
      <w:r>
        <w:t xml:space="preserve"> the above inquiry into supported decision-making for adults with disability </w:t>
      </w:r>
      <w:r w:rsidR="00AA36AC">
        <w:t xml:space="preserve">and older people </w:t>
      </w:r>
      <w:r>
        <w:t>in NSW.</w:t>
      </w:r>
      <w:r w:rsidR="005C7AA1">
        <w:t xml:space="preserve"> </w:t>
      </w:r>
    </w:p>
    <w:p w14:paraId="7655576C" w14:textId="13655848" w:rsidR="006B34B4" w:rsidRDefault="006B34B4" w:rsidP="00A154C0">
      <w:pPr>
        <w:pStyle w:val="Heading3"/>
        <w:spacing w:line="480" w:lineRule="auto"/>
        <w:rPr>
          <w:rFonts w:eastAsia="Arial"/>
        </w:rPr>
      </w:pPr>
      <w:r>
        <w:rPr>
          <w:rFonts w:eastAsia="Arial"/>
        </w:rPr>
        <w:lastRenderedPageBreak/>
        <w:t xml:space="preserve">About PWDA </w:t>
      </w:r>
    </w:p>
    <w:p w14:paraId="72B651DE" w14:textId="6F257B96" w:rsidR="00DD44D0" w:rsidRPr="008A31B0" w:rsidRDefault="00DD44D0" w:rsidP="00B12BFE">
      <w:pPr>
        <w:pStyle w:val="BodyText"/>
        <w:spacing w:line="480" w:lineRule="auto"/>
      </w:pPr>
      <w:r>
        <w:t>PWDA</w:t>
      </w:r>
      <w:r w:rsidRPr="008A31B0">
        <w:t xml:space="preserve"> is a </w:t>
      </w:r>
      <w:r>
        <w:t xml:space="preserve">leading </w:t>
      </w:r>
      <w:r w:rsidRPr="008A31B0">
        <w:t xml:space="preserve">national disability rights and advocacy </w:t>
      </w:r>
      <w:r>
        <w:t xml:space="preserve">peak </w:t>
      </w:r>
      <w:r w:rsidRPr="008A31B0">
        <w:t xml:space="preserve">organisation made up of, and led by, people with disability. We have a vision of a socially just, accessible and inclusive community in which the contribution, potential and diversity of </w:t>
      </w:r>
      <w:r>
        <w:t xml:space="preserve">all </w:t>
      </w:r>
      <w:r w:rsidRPr="008A31B0">
        <w:t>people with disability is not only recognised and respected</w:t>
      </w:r>
      <w:r>
        <w:t xml:space="preserve"> but</w:t>
      </w:r>
      <w:r w:rsidRPr="008A31B0">
        <w:t xml:space="preserve"> also celebrated.</w:t>
      </w:r>
    </w:p>
    <w:p w14:paraId="692CA022" w14:textId="0ACDBD70" w:rsidR="009160AF" w:rsidRPr="008A31B0" w:rsidRDefault="00DD44D0" w:rsidP="00B12BFE">
      <w:pPr>
        <w:pStyle w:val="BodyText"/>
        <w:spacing w:line="480" w:lineRule="auto"/>
      </w:pPr>
      <w:r w:rsidRPr="008A31B0">
        <w:t xml:space="preserve">Our work is grounded in a human rights framework that recognises the United Nations </w:t>
      </w:r>
      <w:hyperlink r:id="rId19" w:history="1">
        <w:r w:rsidRPr="008A31B0">
          <w:rPr>
            <w:i/>
            <w:iCs/>
            <w:color w:val="005496"/>
            <w:u w:val="single"/>
          </w:rPr>
          <w:t>Convention on the Rights of Persons with Disabilities</w:t>
        </w:r>
      </w:hyperlink>
      <w:r w:rsidRPr="008A31B0">
        <w:t xml:space="preserve"> </w:t>
      </w:r>
      <w:r w:rsidRPr="00763DAB">
        <w:t>(CRPD)</w:t>
      </w:r>
      <w:r w:rsidRPr="008A31B0">
        <w:t xml:space="preserve"> and related mechanisms as fundamental tools for advancing the rights of people with disability.</w:t>
      </w:r>
      <w:r w:rsidRPr="008A31B0">
        <w:rPr>
          <w:rFonts w:cs="Times New Roman"/>
        </w:rPr>
        <w:t xml:space="preserve"> </w:t>
      </w:r>
    </w:p>
    <w:p w14:paraId="640D43B9" w14:textId="598F1549" w:rsidR="00F44F0E" w:rsidRPr="00F726E0" w:rsidRDefault="00DD44D0" w:rsidP="00B12BFE">
      <w:pPr>
        <w:pStyle w:val="BodyText"/>
        <w:spacing w:line="480" w:lineRule="auto"/>
      </w:pPr>
      <w:r w:rsidRPr="008A31B0">
        <w:t xml:space="preserve">PWDA receives funding under the </w:t>
      </w:r>
      <w:r>
        <w:t xml:space="preserve">Australian Government </w:t>
      </w:r>
      <w:r w:rsidRPr="008A31B0">
        <w:t xml:space="preserve">Department of </w:t>
      </w:r>
      <w:r>
        <w:t>Health, Disability and Ageing</w:t>
      </w:r>
      <w:r w:rsidRPr="008A31B0">
        <w:t xml:space="preserve"> </w:t>
      </w:r>
      <w:r w:rsidRPr="004C4BDD">
        <w:t>Disability Representative Organisation</w:t>
      </w:r>
      <w:r w:rsidRPr="008A31B0">
        <w:t xml:space="preserve"> (DRO) program to communicate the views of its members to the Australian Government. </w:t>
      </w:r>
    </w:p>
    <w:p w14:paraId="6BEBEC84" w14:textId="46967A71" w:rsidR="00F44F0E" w:rsidRPr="00CA0B5A" w:rsidRDefault="00F44F0E" w:rsidP="00A154C0">
      <w:pPr>
        <w:keepNext/>
        <w:keepLines/>
        <w:spacing w:before="0" w:line="480" w:lineRule="auto"/>
        <w:outlineLvl w:val="2"/>
        <w:rPr>
          <w:rFonts w:ascii="VAG Rounded" w:eastAsia="Arial" w:hAnsi="VAG Rounded" w:cstheme="majorBidi"/>
          <w:color w:val="00884F" w:themeColor="accent2"/>
          <w:sz w:val="32"/>
          <w:szCs w:val="32"/>
        </w:rPr>
      </w:pPr>
      <w:r>
        <w:rPr>
          <w:rFonts w:ascii="VAG Rounded" w:eastAsia="Arial" w:hAnsi="VAG Rounded" w:cstheme="majorBidi"/>
          <w:color w:val="00884F" w:themeColor="accent2"/>
          <w:sz w:val="32"/>
          <w:szCs w:val="32"/>
        </w:rPr>
        <w:t xml:space="preserve">A right to </w:t>
      </w:r>
      <w:r w:rsidRPr="00CA0B5A">
        <w:rPr>
          <w:rFonts w:ascii="VAG Rounded" w:eastAsia="Arial" w:hAnsi="VAG Rounded" w:cstheme="majorBidi"/>
          <w:color w:val="00884F" w:themeColor="accent2"/>
          <w:sz w:val="32"/>
          <w:szCs w:val="32"/>
        </w:rPr>
        <w:t>supported decision-making</w:t>
      </w:r>
    </w:p>
    <w:p w14:paraId="04B597C9" w14:textId="74712942" w:rsidR="00741A1A" w:rsidRDefault="00F44F0E" w:rsidP="00B12BFE">
      <w:pPr>
        <w:pStyle w:val="BodyText"/>
        <w:spacing w:line="480" w:lineRule="auto"/>
      </w:pPr>
      <w:r>
        <w:t>A key foundation of human rights and legal frameworks is a recognition that all</w:t>
      </w:r>
      <w:r w:rsidR="00E47DD6">
        <w:t xml:space="preserve"> adult</w:t>
      </w:r>
      <w:r>
        <w:t xml:space="preserve"> persons have</w:t>
      </w:r>
      <w:r w:rsidR="000D3CF6">
        <w:t xml:space="preserve"> a right to </w:t>
      </w:r>
      <w:r w:rsidR="009909E5">
        <w:t>full equal recognition before the law.</w:t>
      </w:r>
    </w:p>
    <w:p w14:paraId="0BF7BFCA" w14:textId="2C6B8CA7" w:rsidR="00010247" w:rsidRDefault="00644AE0" w:rsidP="00B12BFE">
      <w:pPr>
        <w:pStyle w:val="BodyText"/>
        <w:spacing w:line="480" w:lineRule="auto"/>
        <w:rPr>
          <w:rFonts w:ascii="Arial" w:eastAsia="Arial" w:hAnsi="Arial" w:cs="Arial"/>
        </w:rPr>
      </w:pPr>
      <w:r>
        <w:t>This right contains two core element</w:t>
      </w:r>
      <w:r w:rsidR="00FC3CFB">
        <w:t>s</w:t>
      </w:r>
      <w:r w:rsidR="003F29E1">
        <w:t xml:space="preserve">: </w:t>
      </w:r>
      <w:r w:rsidR="00F44F0E" w:rsidRPr="000C3378">
        <w:rPr>
          <w:b/>
          <w:bCs/>
        </w:rPr>
        <w:t>autonomy</w:t>
      </w:r>
      <w:r w:rsidR="00F44F0E">
        <w:t xml:space="preserve"> (a right to make decisions about the kind of life they want), and </w:t>
      </w:r>
      <w:r w:rsidR="00E23FFD">
        <w:t>‘</w:t>
      </w:r>
      <w:r w:rsidR="00F44F0E" w:rsidRPr="000C3378">
        <w:rPr>
          <w:b/>
          <w:bCs/>
        </w:rPr>
        <w:t>legal capacity</w:t>
      </w:r>
      <w:r w:rsidR="003F29E1">
        <w:t xml:space="preserve">.’ Legal capacity </w:t>
      </w:r>
      <w:r w:rsidR="00F44F0E">
        <w:t xml:space="preserve">is </w:t>
      </w:r>
      <w:r w:rsidR="00E23FFD">
        <w:t xml:space="preserve">made up of two </w:t>
      </w:r>
      <w:r w:rsidR="00741A1A">
        <w:t>sub categories</w:t>
      </w:r>
      <w:r w:rsidR="00E23FFD">
        <w:t>: the ability to hold rights and duties (legal standing) and</w:t>
      </w:r>
      <w:r w:rsidR="00F11629">
        <w:t xml:space="preserve"> a right </w:t>
      </w:r>
      <w:r w:rsidR="00E23FFD">
        <w:t>to exercise those rights and duties (legal agency).</w:t>
      </w:r>
      <w:r w:rsidR="00E23FFD" w:rsidRPr="006C7A06">
        <w:rPr>
          <w:rStyle w:val="EndnoteReference"/>
          <w:b w:val="0"/>
          <w:bCs/>
        </w:rPr>
        <w:endnoteReference w:id="1"/>
      </w:r>
      <w:r w:rsidR="00E23FFD">
        <w:t xml:space="preserve"> </w:t>
      </w:r>
      <w:r w:rsidR="00DA0F7A">
        <w:t>P</w:t>
      </w:r>
      <w:r w:rsidR="0047081B">
        <w:t xml:space="preserve">WDA believes that </w:t>
      </w:r>
      <w:r w:rsidR="00BF1D41">
        <w:t>t</w:t>
      </w:r>
      <w:r w:rsidR="00E23FFD">
        <w:t xml:space="preserve">he exercise of legal capacity means that decisions made </w:t>
      </w:r>
      <w:r w:rsidR="00E23FFD" w:rsidRPr="00B12BFE">
        <w:rPr>
          <w:i/>
          <w:iCs/>
        </w:rPr>
        <w:t>by</w:t>
      </w:r>
      <w:r w:rsidR="00E23FFD">
        <w:t xml:space="preserve"> a</w:t>
      </w:r>
      <w:r w:rsidR="00BF1D41">
        <w:t xml:space="preserve">n adult </w:t>
      </w:r>
      <w:r w:rsidR="00E23FFD">
        <w:t>person with disability including with support</w:t>
      </w:r>
      <w:r w:rsidR="00447571">
        <w:t xml:space="preserve"> tools such as supported decision-making</w:t>
      </w:r>
      <w:r w:rsidR="00E23FFD">
        <w:t xml:space="preserve">, are respected and treated as a legal decision made by that </w:t>
      </w:r>
      <w:r w:rsidR="00E23FFD">
        <w:lastRenderedPageBreak/>
        <w:t>person.</w:t>
      </w:r>
      <w:r w:rsidR="00BF1D41">
        <w:rPr>
          <w:rStyle w:val="FootnoteReference"/>
        </w:rPr>
        <w:footnoteReference w:id="1"/>
      </w:r>
      <w:r w:rsidR="00E23FFD">
        <w:t xml:space="preserve"> </w:t>
      </w:r>
      <w:r w:rsidR="00D33640">
        <w:t xml:space="preserve">Decisions made </w:t>
      </w:r>
      <w:r w:rsidR="00D33640" w:rsidRPr="00B12BFE">
        <w:rPr>
          <w:i/>
          <w:iCs/>
        </w:rPr>
        <w:t>for</w:t>
      </w:r>
      <w:r w:rsidR="00D33640">
        <w:t xml:space="preserve"> a person with disability through </w:t>
      </w:r>
      <w:r w:rsidR="00D33640" w:rsidRPr="00B12BFE">
        <w:rPr>
          <w:i/>
          <w:iCs/>
        </w:rPr>
        <w:t>substitute</w:t>
      </w:r>
      <w:r w:rsidR="00D33640">
        <w:t xml:space="preserve"> decision-making </w:t>
      </w:r>
      <w:r w:rsidR="00515C4A">
        <w:t xml:space="preserve">based on </w:t>
      </w:r>
      <w:r w:rsidR="00AD3F69">
        <w:t xml:space="preserve">a decision makers view of </w:t>
      </w:r>
      <w:r w:rsidR="009E4333">
        <w:t xml:space="preserve">the </w:t>
      </w:r>
      <w:r w:rsidR="00515C4A">
        <w:t xml:space="preserve">‘best interests’ </w:t>
      </w:r>
      <w:r w:rsidR="009E4333">
        <w:t xml:space="preserve">of the person with disability </w:t>
      </w:r>
      <w:r w:rsidR="00515C4A">
        <w:t xml:space="preserve">are not consistent with the exercise of </w:t>
      </w:r>
      <w:r w:rsidR="00213094">
        <w:t xml:space="preserve">autonomy and </w:t>
      </w:r>
      <w:r w:rsidR="00515C4A">
        <w:t>legal capacity.</w:t>
      </w:r>
      <w:r w:rsidR="00D33640">
        <w:t xml:space="preserve"> </w:t>
      </w:r>
    </w:p>
    <w:p w14:paraId="281D3BBF" w14:textId="69470DB6" w:rsidR="00010247" w:rsidRDefault="00F44F0E" w:rsidP="00B12BFE">
      <w:pPr>
        <w:pStyle w:val="BodyText"/>
        <w:spacing w:line="480" w:lineRule="auto"/>
        <w:rPr>
          <w:rFonts w:ascii="Arial" w:eastAsia="Arial" w:hAnsi="Arial" w:cs="Arial"/>
        </w:rPr>
      </w:pPr>
      <w:r>
        <w:t xml:space="preserve">The </w:t>
      </w:r>
      <w:r w:rsidR="00736CBA">
        <w:t xml:space="preserve">United Nations </w:t>
      </w:r>
      <w:r w:rsidR="00736CBA" w:rsidRPr="002C6867">
        <w:rPr>
          <w:i/>
          <w:iCs/>
        </w:rPr>
        <w:t>Convention on the Rights of Persons with Disabilities</w:t>
      </w:r>
      <w:r w:rsidR="00736CBA">
        <w:t xml:space="preserve"> (CRPD) </w:t>
      </w:r>
      <w:r w:rsidR="00FA0F63">
        <w:t xml:space="preserve">(which came into effect for Australia on 16 August 2008 after ratification </w:t>
      </w:r>
      <w:r w:rsidR="00E34D51">
        <w:t xml:space="preserve">in </w:t>
      </w:r>
      <w:r w:rsidR="00FA0F63">
        <w:t>July 2008)</w:t>
      </w:r>
      <w:r w:rsidR="009E4333">
        <w:t>,</w:t>
      </w:r>
      <w:r w:rsidR="00FA0F63">
        <w:t xml:space="preserve"> </w:t>
      </w:r>
      <w:r w:rsidRPr="00010247">
        <w:rPr>
          <w:rFonts w:ascii="Arial" w:eastAsia="Arial" w:hAnsi="Arial" w:cs="Arial"/>
        </w:rPr>
        <w:t>explicitly directs th</w:t>
      </w:r>
      <w:r w:rsidR="001E27AE">
        <w:rPr>
          <w:rFonts w:ascii="Arial" w:eastAsia="Arial" w:hAnsi="Arial" w:cs="Arial"/>
        </w:rPr>
        <w:t>is</w:t>
      </w:r>
      <w:r w:rsidR="00252D31">
        <w:rPr>
          <w:rFonts w:ascii="Arial" w:eastAsia="Arial" w:hAnsi="Arial" w:cs="Arial"/>
        </w:rPr>
        <w:t xml:space="preserve"> right</w:t>
      </w:r>
      <w:r w:rsidR="00926125">
        <w:rPr>
          <w:rFonts w:ascii="Arial" w:eastAsia="Arial" w:hAnsi="Arial" w:cs="Arial"/>
        </w:rPr>
        <w:t xml:space="preserve"> </w:t>
      </w:r>
      <w:r w:rsidR="003A4E91">
        <w:rPr>
          <w:rFonts w:ascii="Arial" w:eastAsia="Arial" w:hAnsi="Arial" w:cs="Arial"/>
        </w:rPr>
        <w:t>(</w:t>
      </w:r>
      <w:r w:rsidR="00926125">
        <w:rPr>
          <w:rFonts w:ascii="Arial" w:eastAsia="Arial" w:hAnsi="Arial" w:cs="Arial"/>
        </w:rPr>
        <w:t xml:space="preserve">and other </w:t>
      </w:r>
      <w:r w:rsidR="00783AF1">
        <w:rPr>
          <w:rFonts w:ascii="Arial" w:eastAsia="Arial" w:hAnsi="Arial" w:cs="Arial"/>
        </w:rPr>
        <w:t>fundamental</w:t>
      </w:r>
      <w:r w:rsidRPr="00010247">
        <w:rPr>
          <w:rFonts w:ascii="Arial" w:eastAsia="Arial" w:hAnsi="Arial" w:cs="Arial"/>
        </w:rPr>
        <w:t xml:space="preserve"> right</w:t>
      </w:r>
      <w:r w:rsidR="00736CBA">
        <w:rPr>
          <w:rFonts w:ascii="Arial" w:eastAsia="Arial" w:hAnsi="Arial" w:cs="Arial"/>
        </w:rPr>
        <w:t xml:space="preserve">s </w:t>
      </w:r>
      <w:r w:rsidR="00605C57">
        <w:rPr>
          <w:rFonts w:ascii="Arial" w:eastAsia="Arial" w:hAnsi="Arial" w:cs="Arial"/>
        </w:rPr>
        <w:t>to work, education,</w:t>
      </w:r>
      <w:r w:rsidR="00A22A42">
        <w:rPr>
          <w:rFonts w:ascii="Arial" w:eastAsia="Arial" w:hAnsi="Arial" w:cs="Arial"/>
        </w:rPr>
        <w:t xml:space="preserve"> social security,</w:t>
      </w:r>
      <w:r w:rsidR="00605C57">
        <w:rPr>
          <w:rFonts w:ascii="Arial" w:eastAsia="Arial" w:hAnsi="Arial" w:cs="Arial"/>
        </w:rPr>
        <w:t xml:space="preserve"> political </w:t>
      </w:r>
      <w:r w:rsidR="00E00063">
        <w:rPr>
          <w:rFonts w:ascii="Arial" w:eastAsia="Arial" w:hAnsi="Arial" w:cs="Arial"/>
        </w:rPr>
        <w:t xml:space="preserve">and community </w:t>
      </w:r>
      <w:r w:rsidR="00605C57">
        <w:rPr>
          <w:rFonts w:ascii="Arial" w:eastAsia="Arial" w:hAnsi="Arial" w:cs="Arial"/>
        </w:rPr>
        <w:t xml:space="preserve">participation etc) </w:t>
      </w:r>
      <w:r w:rsidRPr="00010247">
        <w:rPr>
          <w:rFonts w:ascii="Arial" w:eastAsia="Arial" w:hAnsi="Arial" w:cs="Arial"/>
        </w:rPr>
        <w:t>towards people with disability</w:t>
      </w:r>
      <w:r w:rsidR="00783AF1">
        <w:rPr>
          <w:rFonts w:ascii="Arial" w:eastAsia="Arial" w:hAnsi="Arial" w:cs="Arial"/>
        </w:rPr>
        <w:t>.</w:t>
      </w:r>
      <w:r w:rsidR="00783AF1" w:rsidRPr="00783AF1">
        <w:rPr>
          <w:rFonts w:ascii="Arial" w:eastAsia="Arial" w:hAnsi="Arial" w:cs="Arial"/>
        </w:rPr>
        <w:t xml:space="preserve"> </w:t>
      </w:r>
      <w:r w:rsidR="009D0485">
        <w:rPr>
          <w:rFonts w:ascii="Arial" w:eastAsia="Arial" w:hAnsi="Arial" w:cs="Arial"/>
        </w:rPr>
        <w:t>The CRPD was necessary because people with disability</w:t>
      </w:r>
      <w:r w:rsidR="009D0485" w:rsidRPr="00010247">
        <w:rPr>
          <w:rFonts w:ascii="Arial" w:eastAsia="Arial" w:hAnsi="Arial" w:cs="Arial"/>
        </w:rPr>
        <w:t xml:space="preserve"> </w:t>
      </w:r>
      <w:r w:rsidR="009D0485">
        <w:rPr>
          <w:rFonts w:ascii="Arial" w:eastAsia="Arial" w:hAnsi="Arial" w:cs="Arial"/>
        </w:rPr>
        <w:t xml:space="preserve">had </w:t>
      </w:r>
      <w:r w:rsidR="009D0485" w:rsidRPr="00010247">
        <w:rPr>
          <w:rFonts w:ascii="Arial" w:eastAsia="Arial" w:hAnsi="Arial" w:cs="Arial"/>
        </w:rPr>
        <w:t>continued to have</w:t>
      </w:r>
      <w:r w:rsidR="009D0485">
        <w:rPr>
          <w:rFonts w:ascii="Arial" w:eastAsia="Arial" w:hAnsi="Arial" w:cs="Arial"/>
        </w:rPr>
        <w:t xml:space="preserve"> their</w:t>
      </w:r>
      <w:r w:rsidR="009D0485" w:rsidRPr="00010247">
        <w:rPr>
          <w:rFonts w:ascii="Arial" w:eastAsia="Arial" w:hAnsi="Arial" w:cs="Arial"/>
        </w:rPr>
        <w:t xml:space="preserve"> right</w:t>
      </w:r>
      <w:r w:rsidR="009D0485">
        <w:rPr>
          <w:rFonts w:ascii="Arial" w:eastAsia="Arial" w:hAnsi="Arial" w:cs="Arial"/>
        </w:rPr>
        <w:t xml:space="preserve"> to equal recognition before the law (and other rights) </w:t>
      </w:r>
      <w:r w:rsidR="009D0485" w:rsidRPr="00010247">
        <w:rPr>
          <w:rFonts w:ascii="Arial" w:eastAsia="Arial" w:hAnsi="Arial" w:cs="Arial"/>
        </w:rPr>
        <w:t>ignored despite previous human rights instruments</w:t>
      </w:r>
      <w:r w:rsidR="009D0485">
        <w:rPr>
          <w:rFonts w:ascii="Arial" w:eastAsia="Arial" w:hAnsi="Arial" w:cs="Arial"/>
        </w:rPr>
        <w:t xml:space="preserve"> implicitly applying to them.</w:t>
      </w:r>
      <w:r w:rsidR="009D0485">
        <w:rPr>
          <w:rStyle w:val="FootnoteReference"/>
          <w:rFonts w:ascii="Arial" w:eastAsia="Arial" w:hAnsi="Arial" w:cs="Arial"/>
        </w:rPr>
        <w:footnoteReference w:id="2"/>
      </w:r>
      <w:r w:rsidR="009D0485">
        <w:rPr>
          <w:rFonts w:ascii="Arial" w:eastAsia="Arial" w:hAnsi="Arial" w:cs="Arial"/>
        </w:rPr>
        <w:t xml:space="preserve"> In this context, the</w:t>
      </w:r>
      <w:r w:rsidR="00783AF1">
        <w:rPr>
          <w:rFonts w:ascii="Arial" w:eastAsia="Arial" w:hAnsi="Arial" w:cs="Arial"/>
        </w:rPr>
        <w:t xml:space="preserve"> CRPD does not grant </w:t>
      </w:r>
      <w:r w:rsidR="00783AF1" w:rsidRPr="009910E5">
        <w:rPr>
          <w:rFonts w:ascii="Arial" w:eastAsia="Arial" w:hAnsi="Arial" w:cs="Arial"/>
          <w:i/>
          <w:iCs/>
        </w:rPr>
        <w:t>new</w:t>
      </w:r>
      <w:r w:rsidR="00783AF1">
        <w:rPr>
          <w:rFonts w:ascii="Arial" w:eastAsia="Arial" w:hAnsi="Arial" w:cs="Arial"/>
        </w:rPr>
        <w:t xml:space="preserve"> </w:t>
      </w:r>
      <w:r w:rsidR="00802986">
        <w:rPr>
          <w:rFonts w:ascii="Arial" w:eastAsia="Arial" w:hAnsi="Arial" w:cs="Arial"/>
        </w:rPr>
        <w:t xml:space="preserve">fundamental </w:t>
      </w:r>
      <w:r w:rsidR="00783AF1">
        <w:rPr>
          <w:rFonts w:ascii="Arial" w:eastAsia="Arial" w:hAnsi="Arial" w:cs="Arial"/>
        </w:rPr>
        <w:t>rights to people with disability</w:t>
      </w:r>
      <w:r w:rsidR="00D53DC2">
        <w:rPr>
          <w:rFonts w:ascii="Arial" w:eastAsia="Arial" w:hAnsi="Arial" w:cs="Arial"/>
        </w:rPr>
        <w:t xml:space="preserve"> </w:t>
      </w:r>
      <w:r w:rsidR="005A2499">
        <w:rPr>
          <w:rFonts w:ascii="Arial" w:eastAsia="Arial" w:hAnsi="Arial" w:cs="Arial"/>
        </w:rPr>
        <w:t>– we always had them</w:t>
      </w:r>
      <w:r w:rsidR="009D0485">
        <w:rPr>
          <w:rFonts w:ascii="Arial" w:eastAsia="Arial" w:hAnsi="Arial" w:cs="Arial"/>
        </w:rPr>
        <w:t xml:space="preserve">. However, </w:t>
      </w:r>
      <w:r w:rsidR="00D53DC2">
        <w:rPr>
          <w:rFonts w:ascii="Arial" w:eastAsia="Arial" w:hAnsi="Arial" w:cs="Arial"/>
        </w:rPr>
        <w:t>as we outline below,</w:t>
      </w:r>
      <w:r w:rsidR="00F20674">
        <w:rPr>
          <w:rFonts w:ascii="Arial" w:eastAsia="Arial" w:hAnsi="Arial" w:cs="Arial"/>
        </w:rPr>
        <w:t xml:space="preserve"> in ‘</w:t>
      </w:r>
      <w:r w:rsidR="00D53DC2">
        <w:rPr>
          <w:rFonts w:ascii="Arial" w:eastAsia="Arial" w:hAnsi="Arial" w:cs="Arial"/>
        </w:rPr>
        <w:t>a significant human rights development for people with disability’</w:t>
      </w:r>
      <w:r w:rsidR="007326F9">
        <w:rPr>
          <w:rFonts w:ascii="Arial" w:eastAsia="Arial" w:hAnsi="Arial" w:cs="Arial"/>
        </w:rPr>
        <w:t xml:space="preserve"> a ‘new’ right to supported decision-making was recognised</w:t>
      </w:r>
      <w:r w:rsidR="009D0485">
        <w:rPr>
          <w:rFonts w:ascii="Arial" w:eastAsia="Arial" w:hAnsi="Arial" w:cs="Arial"/>
        </w:rPr>
        <w:t xml:space="preserve"> to assist in giving effect to those rights</w:t>
      </w:r>
      <w:r w:rsidR="009D0485">
        <w:rPr>
          <w:rFonts w:eastAsia="Arial" w:cs="Arial"/>
          <w:bCs/>
        </w:rPr>
        <w:t>.</w:t>
      </w:r>
      <w:r w:rsidR="00D53DC2" w:rsidRPr="007326F9">
        <w:rPr>
          <w:rStyle w:val="EndnoteReference"/>
          <w:rFonts w:eastAsia="Arial" w:cs="Arial"/>
          <w:b w:val="0"/>
          <w:bCs/>
        </w:rPr>
        <w:endnoteReference w:id="2"/>
      </w:r>
    </w:p>
    <w:p w14:paraId="04049E3C" w14:textId="72119A16" w:rsidR="00CD00D0" w:rsidRDefault="005C0312" w:rsidP="00B12BFE">
      <w:pPr>
        <w:pStyle w:val="BodyText"/>
        <w:spacing w:line="480" w:lineRule="auto"/>
        <w:rPr>
          <w:rFonts w:ascii="Arial" w:eastAsia="Arial" w:hAnsi="Arial" w:cs="Arial"/>
        </w:rPr>
      </w:pPr>
      <w:r>
        <w:rPr>
          <w:rFonts w:ascii="Arial" w:eastAsia="Arial" w:hAnsi="Arial" w:cs="Arial"/>
        </w:rPr>
        <w:t>T</w:t>
      </w:r>
      <w:r w:rsidRPr="00010247">
        <w:rPr>
          <w:rFonts w:ascii="Arial" w:eastAsia="Arial" w:hAnsi="Arial" w:cs="Arial"/>
        </w:rPr>
        <w:t xml:space="preserve">he right to equal recognition before the law for people with disability </w:t>
      </w:r>
      <w:r>
        <w:rPr>
          <w:rFonts w:ascii="Arial" w:eastAsia="Arial" w:hAnsi="Arial" w:cs="Arial"/>
        </w:rPr>
        <w:t xml:space="preserve">is </w:t>
      </w:r>
      <w:r w:rsidR="00E10C85">
        <w:rPr>
          <w:rFonts w:ascii="Arial" w:eastAsia="Arial" w:hAnsi="Arial" w:cs="Arial"/>
        </w:rPr>
        <w:t>outlined in a</w:t>
      </w:r>
      <w:r w:rsidR="00F44F0E" w:rsidRPr="00010247">
        <w:rPr>
          <w:rFonts w:ascii="Arial" w:eastAsia="Arial" w:hAnsi="Arial" w:cs="Arial"/>
        </w:rPr>
        <w:t>rticle 12(1) and</w:t>
      </w:r>
      <w:r w:rsidR="00F73040">
        <w:rPr>
          <w:rFonts w:ascii="Arial" w:eastAsia="Arial" w:hAnsi="Arial" w:cs="Arial"/>
        </w:rPr>
        <w:t xml:space="preserve"> </w:t>
      </w:r>
      <w:r w:rsidR="00366E40">
        <w:rPr>
          <w:rFonts w:ascii="Arial" w:eastAsia="Arial" w:hAnsi="Arial" w:cs="Arial"/>
        </w:rPr>
        <w:t>12</w:t>
      </w:r>
      <w:r w:rsidR="00F44F0E" w:rsidRPr="00010247">
        <w:rPr>
          <w:rFonts w:ascii="Arial" w:eastAsia="Arial" w:hAnsi="Arial" w:cs="Arial"/>
        </w:rPr>
        <w:t>(2) of the CRPD</w:t>
      </w:r>
      <w:r w:rsidR="00E10C85">
        <w:rPr>
          <w:rFonts w:ascii="Arial" w:eastAsia="Arial" w:hAnsi="Arial" w:cs="Arial"/>
        </w:rPr>
        <w:t xml:space="preserve">. It </w:t>
      </w:r>
      <w:r w:rsidR="00E10C85" w:rsidRPr="00010247">
        <w:rPr>
          <w:rFonts w:ascii="Arial" w:eastAsia="Arial" w:hAnsi="Arial" w:cs="Arial"/>
        </w:rPr>
        <w:t>recogni</w:t>
      </w:r>
      <w:r w:rsidR="00E10C85">
        <w:rPr>
          <w:rFonts w:ascii="Arial" w:eastAsia="Arial" w:hAnsi="Arial" w:cs="Arial"/>
        </w:rPr>
        <w:t xml:space="preserve">ses </w:t>
      </w:r>
      <w:r w:rsidR="00F44F0E" w:rsidRPr="00010247">
        <w:rPr>
          <w:rFonts w:ascii="Arial" w:eastAsia="Arial" w:hAnsi="Arial" w:cs="Arial"/>
        </w:rPr>
        <w:t xml:space="preserve">clearly that people with disability have </w:t>
      </w:r>
      <w:r w:rsidR="002A761A">
        <w:rPr>
          <w:rFonts w:ascii="Arial" w:eastAsia="Arial" w:hAnsi="Arial" w:cs="Arial"/>
        </w:rPr>
        <w:t xml:space="preserve">the </w:t>
      </w:r>
      <w:r w:rsidR="00C74D55" w:rsidRPr="00010247">
        <w:rPr>
          <w:rFonts w:ascii="Arial" w:eastAsia="Arial" w:hAnsi="Arial" w:cs="Arial"/>
        </w:rPr>
        <w:t xml:space="preserve">same inherent </w:t>
      </w:r>
      <w:r w:rsidR="00C74D55" w:rsidRPr="00010247">
        <w:rPr>
          <w:rFonts w:ascii="Arial" w:eastAsia="Arial" w:hAnsi="Arial" w:cs="Arial"/>
          <w:i/>
          <w:iCs/>
        </w:rPr>
        <w:t>legal capacity</w:t>
      </w:r>
      <w:r w:rsidR="00C74D55" w:rsidRPr="00010247">
        <w:rPr>
          <w:rFonts w:ascii="Arial" w:eastAsia="Arial" w:hAnsi="Arial" w:cs="Arial"/>
        </w:rPr>
        <w:t xml:space="preserve"> as </w:t>
      </w:r>
      <w:r w:rsidR="00C74D55">
        <w:rPr>
          <w:rFonts w:ascii="Arial" w:eastAsia="Arial" w:hAnsi="Arial" w:cs="Arial"/>
        </w:rPr>
        <w:t xml:space="preserve">people without disability, and a </w:t>
      </w:r>
      <w:r w:rsidR="002A761A">
        <w:rPr>
          <w:rFonts w:ascii="Arial" w:eastAsia="Arial" w:hAnsi="Arial" w:cs="Arial"/>
        </w:rPr>
        <w:t>right to the expression of their autonomy</w:t>
      </w:r>
      <w:r w:rsidR="00C74D55">
        <w:rPr>
          <w:rFonts w:ascii="Arial" w:eastAsia="Arial" w:hAnsi="Arial" w:cs="Arial"/>
        </w:rPr>
        <w:t xml:space="preserve">. </w:t>
      </w:r>
      <w:r w:rsidR="00F44F0E" w:rsidRPr="00010247">
        <w:rPr>
          <w:rFonts w:ascii="Arial" w:eastAsia="Arial" w:hAnsi="Arial" w:cs="Arial"/>
        </w:rPr>
        <w:t xml:space="preserve">The expression of autonomy </w:t>
      </w:r>
      <w:r w:rsidR="00CB5E33">
        <w:rPr>
          <w:rFonts w:ascii="Arial" w:eastAsia="Arial" w:hAnsi="Arial" w:cs="Arial"/>
        </w:rPr>
        <w:t xml:space="preserve">(expressed through decision-making) </w:t>
      </w:r>
      <w:r w:rsidR="00F44F0E" w:rsidRPr="00010247">
        <w:rPr>
          <w:rFonts w:ascii="Arial" w:eastAsia="Arial" w:hAnsi="Arial" w:cs="Arial"/>
        </w:rPr>
        <w:t xml:space="preserve">and the exercise of legal capacity is critical to the development of personal identity and hence what it means to be a </w:t>
      </w:r>
      <w:r w:rsidR="0000098D" w:rsidRPr="00010247">
        <w:rPr>
          <w:rFonts w:ascii="Arial" w:eastAsia="Arial" w:hAnsi="Arial" w:cs="Arial"/>
        </w:rPr>
        <w:t>person</w:t>
      </w:r>
      <w:r w:rsidR="0000098D">
        <w:rPr>
          <w:rFonts w:ascii="Arial" w:eastAsia="Arial" w:hAnsi="Arial" w:cs="Arial"/>
        </w:rPr>
        <w:t xml:space="preserve"> and </w:t>
      </w:r>
      <w:r w:rsidR="00464003">
        <w:rPr>
          <w:rFonts w:ascii="Arial" w:eastAsia="Arial" w:hAnsi="Arial" w:cs="Arial"/>
        </w:rPr>
        <w:t xml:space="preserve">exercise our right to </w:t>
      </w:r>
      <w:r w:rsidR="0000098D">
        <w:rPr>
          <w:rFonts w:ascii="Arial" w:eastAsia="Arial" w:hAnsi="Arial" w:cs="Arial"/>
        </w:rPr>
        <w:t>participate fully in the community</w:t>
      </w:r>
      <w:r w:rsidR="00F44F0E" w:rsidRPr="00010247">
        <w:rPr>
          <w:rFonts w:ascii="Arial" w:eastAsia="Arial" w:hAnsi="Arial" w:cs="Arial"/>
        </w:rPr>
        <w:t xml:space="preserve">. </w:t>
      </w:r>
    </w:p>
    <w:p w14:paraId="5B98C388" w14:textId="4FD8D622" w:rsidR="00010247" w:rsidRDefault="002A761A" w:rsidP="00B12BFE">
      <w:pPr>
        <w:pStyle w:val="BodyText"/>
        <w:spacing w:line="480" w:lineRule="auto"/>
        <w:rPr>
          <w:rFonts w:ascii="Arial" w:eastAsia="Arial" w:hAnsi="Arial" w:cs="Arial"/>
        </w:rPr>
      </w:pPr>
      <w:r>
        <w:rPr>
          <w:rFonts w:ascii="Arial" w:eastAsia="Arial" w:hAnsi="Arial" w:cs="Arial"/>
        </w:rPr>
        <w:lastRenderedPageBreak/>
        <w:t>Because of this,</w:t>
      </w:r>
      <w:r w:rsidR="00F44F0E" w:rsidRPr="00010247">
        <w:rPr>
          <w:rFonts w:ascii="Arial" w:eastAsia="Arial" w:hAnsi="Arial" w:cs="Arial"/>
        </w:rPr>
        <w:t xml:space="preserve"> </w:t>
      </w:r>
      <w:r>
        <w:rPr>
          <w:rFonts w:ascii="Arial" w:eastAsia="Arial" w:hAnsi="Arial" w:cs="Arial"/>
        </w:rPr>
        <w:t xml:space="preserve">CRPD </w:t>
      </w:r>
      <w:r w:rsidR="00F44F0E" w:rsidRPr="00010247">
        <w:rPr>
          <w:rFonts w:ascii="Arial" w:eastAsia="Arial" w:hAnsi="Arial" w:cs="Arial"/>
        </w:rPr>
        <w:t>article 12(3) states further</w:t>
      </w:r>
      <w:r w:rsidR="0000098D">
        <w:rPr>
          <w:rFonts w:ascii="Arial" w:eastAsia="Arial" w:hAnsi="Arial" w:cs="Arial"/>
        </w:rPr>
        <w:t>,</w:t>
      </w:r>
      <w:r w:rsidR="00F44F0E" w:rsidRPr="00010247">
        <w:rPr>
          <w:rFonts w:ascii="Arial" w:eastAsia="Arial" w:hAnsi="Arial" w:cs="Arial"/>
        </w:rPr>
        <w:t xml:space="preserve"> that support </w:t>
      </w:r>
      <w:r w:rsidR="00F44F0E" w:rsidRPr="00010247">
        <w:rPr>
          <w:rFonts w:ascii="Arial" w:eastAsia="Arial" w:hAnsi="Arial" w:cs="Arial"/>
          <w:i/>
          <w:iCs/>
        </w:rPr>
        <w:t>must</w:t>
      </w:r>
      <w:r w:rsidR="00F44F0E" w:rsidRPr="00010247">
        <w:rPr>
          <w:rFonts w:ascii="Arial" w:eastAsia="Arial" w:hAnsi="Arial" w:cs="Arial"/>
        </w:rPr>
        <w:t xml:space="preserve"> be provided to people with disability (and in the </w:t>
      </w:r>
      <w:r w:rsidR="00483359">
        <w:rPr>
          <w:rFonts w:ascii="Arial" w:eastAsia="Arial" w:hAnsi="Arial" w:cs="Arial"/>
        </w:rPr>
        <w:t>context of the current inquiry</w:t>
      </w:r>
      <w:r w:rsidR="00F44F0E" w:rsidRPr="00010247">
        <w:rPr>
          <w:rFonts w:ascii="Arial" w:eastAsia="Arial" w:hAnsi="Arial" w:cs="Arial"/>
        </w:rPr>
        <w:t xml:space="preserve">, </w:t>
      </w:r>
      <w:r w:rsidR="008A1CF7">
        <w:rPr>
          <w:rFonts w:ascii="Arial" w:eastAsia="Arial" w:hAnsi="Arial" w:cs="Arial"/>
        </w:rPr>
        <w:t xml:space="preserve">we add </w:t>
      </w:r>
      <w:r w:rsidR="00F44F0E" w:rsidRPr="00010247">
        <w:rPr>
          <w:rFonts w:ascii="Arial" w:eastAsia="Arial" w:hAnsi="Arial" w:cs="Arial"/>
        </w:rPr>
        <w:t>older persons</w:t>
      </w:r>
      <w:r>
        <w:rPr>
          <w:rFonts w:ascii="Arial" w:eastAsia="Arial" w:hAnsi="Arial" w:cs="Arial"/>
        </w:rPr>
        <w:t xml:space="preserve"> who may be experiencing cognitive impairment</w:t>
      </w:r>
      <w:r w:rsidR="00451FFE">
        <w:rPr>
          <w:rFonts w:ascii="Arial" w:eastAsia="Arial" w:hAnsi="Arial" w:cs="Arial"/>
        </w:rPr>
        <w:t>)</w:t>
      </w:r>
      <w:r w:rsidR="00483359">
        <w:rPr>
          <w:rFonts w:ascii="Arial" w:eastAsia="Arial" w:hAnsi="Arial" w:cs="Arial"/>
        </w:rPr>
        <w:t>,</w:t>
      </w:r>
      <w:r w:rsidR="00F44F0E" w:rsidRPr="00010247">
        <w:rPr>
          <w:rFonts w:ascii="Arial" w:eastAsia="Arial" w:hAnsi="Arial" w:cs="Arial"/>
        </w:rPr>
        <w:t xml:space="preserve"> to assist them to make decisions about their life that reflects their ‘will, preferences, and rights.’ </w:t>
      </w:r>
      <w:r w:rsidR="00412857">
        <w:rPr>
          <w:rFonts w:ascii="Arial" w:eastAsia="Arial" w:hAnsi="Arial" w:cs="Arial"/>
        </w:rPr>
        <w:t>Governments have an obligation to</w:t>
      </w:r>
      <w:r w:rsidR="008543CE">
        <w:rPr>
          <w:rFonts w:ascii="Arial" w:eastAsia="Arial" w:hAnsi="Arial" w:cs="Arial"/>
        </w:rPr>
        <w:t xml:space="preserve"> </w:t>
      </w:r>
      <w:r w:rsidR="001F0462">
        <w:rPr>
          <w:rFonts w:ascii="Arial" w:eastAsia="Arial" w:hAnsi="Arial" w:cs="Arial"/>
        </w:rPr>
        <w:t xml:space="preserve">promote the realisation of all rights, and one way to do this </w:t>
      </w:r>
      <w:r w:rsidR="003B02BB">
        <w:rPr>
          <w:rFonts w:ascii="Arial" w:eastAsia="Arial" w:hAnsi="Arial" w:cs="Arial"/>
        </w:rPr>
        <w:t xml:space="preserve">is by </w:t>
      </w:r>
      <w:r w:rsidR="008543CE">
        <w:rPr>
          <w:rFonts w:ascii="Arial" w:eastAsia="Arial" w:hAnsi="Arial" w:cs="Arial"/>
        </w:rPr>
        <w:t>giv</w:t>
      </w:r>
      <w:r w:rsidR="003B02BB">
        <w:rPr>
          <w:rFonts w:ascii="Arial" w:eastAsia="Arial" w:hAnsi="Arial" w:cs="Arial"/>
        </w:rPr>
        <w:t xml:space="preserve">ing </w:t>
      </w:r>
      <w:r w:rsidR="008543CE">
        <w:rPr>
          <w:rFonts w:ascii="Arial" w:eastAsia="Arial" w:hAnsi="Arial" w:cs="Arial"/>
        </w:rPr>
        <w:t xml:space="preserve">effect to </w:t>
      </w:r>
      <w:r w:rsidR="002C7248">
        <w:rPr>
          <w:rFonts w:ascii="Arial" w:eastAsia="Arial" w:hAnsi="Arial" w:cs="Arial"/>
        </w:rPr>
        <w:t xml:space="preserve">article 12(3) and </w:t>
      </w:r>
      <w:r w:rsidR="00A0381F">
        <w:rPr>
          <w:rFonts w:ascii="Arial" w:eastAsia="Arial" w:hAnsi="Arial" w:cs="Arial"/>
        </w:rPr>
        <w:t>what is regarded as</w:t>
      </w:r>
      <w:r w:rsidR="008543CE">
        <w:rPr>
          <w:rFonts w:ascii="Arial" w:eastAsia="Arial" w:hAnsi="Arial" w:cs="Arial"/>
        </w:rPr>
        <w:t xml:space="preserve"> </w:t>
      </w:r>
      <w:r w:rsidR="000951EB">
        <w:rPr>
          <w:rFonts w:ascii="Arial" w:eastAsia="Arial" w:hAnsi="Arial" w:cs="Arial"/>
        </w:rPr>
        <w:t xml:space="preserve">a </w:t>
      </w:r>
      <w:r w:rsidR="008543CE" w:rsidRPr="00C263BB">
        <w:rPr>
          <w:rFonts w:ascii="Arial" w:eastAsia="Arial" w:hAnsi="Arial" w:cs="Arial"/>
          <w:i/>
          <w:iCs/>
        </w:rPr>
        <w:t>right</w:t>
      </w:r>
      <w:r w:rsidR="008543CE">
        <w:rPr>
          <w:rFonts w:ascii="Arial" w:eastAsia="Arial" w:hAnsi="Arial" w:cs="Arial"/>
        </w:rPr>
        <w:t xml:space="preserve"> </w:t>
      </w:r>
      <w:r w:rsidR="003B02BB">
        <w:rPr>
          <w:rFonts w:ascii="Arial" w:eastAsia="Arial" w:hAnsi="Arial" w:cs="Arial"/>
        </w:rPr>
        <w:t>to receive support for decision</w:t>
      </w:r>
      <w:r w:rsidR="00DA36CB">
        <w:rPr>
          <w:rFonts w:ascii="Arial" w:eastAsia="Arial" w:hAnsi="Arial" w:cs="Arial"/>
        </w:rPr>
        <w:t xml:space="preserve"> </w:t>
      </w:r>
      <w:r w:rsidR="003B02BB">
        <w:rPr>
          <w:rFonts w:ascii="Arial" w:eastAsia="Arial" w:hAnsi="Arial" w:cs="Arial"/>
        </w:rPr>
        <w:t>making</w:t>
      </w:r>
      <w:r w:rsidR="008543CE">
        <w:rPr>
          <w:rFonts w:ascii="Arial" w:eastAsia="Arial" w:hAnsi="Arial" w:cs="Arial"/>
        </w:rPr>
        <w:t>.</w:t>
      </w:r>
      <w:r w:rsidR="00A0381F">
        <w:rPr>
          <w:rFonts w:ascii="Arial" w:eastAsia="Arial" w:hAnsi="Arial" w:cs="Arial"/>
        </w:rPr>
        <w:t xml:space="preserve"> </w:t>
      </w:r>
    </w:p>
    <w:p w14:paraId="39F57E69" w14:textId="0ADB545D" w:rsidR="00010247" w:rsidRPr="00010247" w:rsidRDefault="00F44F0E" w:rsidP="00B12BFE">
      <w:pPr>
        <w:pStyle w:val="BodyText"/>
        <w:spacing w:line="480" w:lineRule="auto"/>
      </w:pPr>
      <w:r w:rsidRPr="00010247">
        <w:rPr>
          <w:rFonts w:ascii="Arial" w:eastAsia="Arial" w:hAnsi="Arial" w:cs="Arial"/>
        </w:rPr>
        <w:t xml:space="preserve">This </w:t>
      </w:r>
      <w:r w:rsidRPr="002A761A">
        <w:rPr>
          <w:rFonts w:ascii="Arial" w:eastAsia="Arial" w:hAnsi="Arial" w:cs="Arial"/>
          <w:i/>
          <w:iCs/>
        </w:rPr>
        <w:t>right</w:t>
      </w:r>
      <w:r w:rsidRPr="00010247">
        <w:rPr>
          <w:rFonts w:ascii="Arial" w:eastAsia="Arial" w:hAnsi="Arial" w:cs="Arial"/>
        </w:rPr>
        <w:t xml:space="preserve"> to decision making support</w:t>
      </w:r>
      <w:r w:rsidR="008A0C27">
        <w:rPr>
          <w:rFonts w:ascii="Arial" w:eastAsia="Arial" w:hAnsi="Arial" w:cs="Arial"/>
        </w:rPr>
        <w:t xml:space="preserve"> </w:t>
      </w:r>
      <w:r w:rsidR="00DA36CB">
        <w:rPr>
          <w:rFonts w:ascii="Arial" w:eastAsia="Arial" w:hAnsi="Arial" w:cs="Arial"/>
        </w:rPr>
        <w:t xml:space="preserve">tools and </w:t>
      </w:r>
      <w:r w:rsidR="008A0C27">
        <w:rPr>
          <w:rFonts w:ascii="Arial" w:eastAsia="Arial" w:hAnsi="Arial" w:cs="Arial"/>
        </w:rPr>
        <w:t>processes</w:t>
      </w:r>
      <w:r w:rsidRPr="00010247">
        <w:rPr>
          <w:rFonts w:ascii="Arial" w:eastAsia="Arial" w:hAnsi="Arial" w:cs="Arial"/>
        </w:rPr>
        <w:t xml:space="preserve"> – what we call ‘supported decision-making’ – is therefore </w:t>
      </w:r>
      <w:r w:rsidR="00FC76F1">
        <w:rPr>
          <w:rFonts w:ascii="Arial" w:eastAsia="Arial" w:hAnsi="Arial" w:cs="Arial"/>
        </w:rPr>
        <w:t>considered</w:t>
      </w:r>
      <w:r w:rsidRPr="00010247">
        <w:rPr>
          <w:rFonts w:ascii="Arial" w:eastAsia="Arial" w:hAnsi="Arial" w:cs="Arial"/>
        </w:rPr>
        <w:t xml:space="preserve"> a critical enabler of other rights, being described as ‘a fundamental strategy for putting rights into practice.’</w:t>
      </w:r>
      <w:r w:rsidR="00352159" w:rsidRPr="006C7A06">
        <w:rPr>
          <w:rStyle w:val="EndnoteReference"/>
          <w:rFonts w:eastAsia="Arial" w:cs="Arial"/>
          <w:b w:val="0"/>
          <w:bCs/>
        </w:rPr>
        <w:endnoteReference w:id="3"/>
      </w:r>
      <w:r w:rsidR="00352159" w:rsidRPr="006C7A06">
        <w:rPr>
          <w:rFonts w:ascii="Arial" w:eastAsia="Arial" w:hAnsi="Arial" w:cs="Arial"/>
          <w:b/>
          <w:bCs/>
        </w:rPr>
        <w:t xml:space="preserve"> </w:t>
      </w:r>
      <w:r w:rsidRPr="00010247">
        <w:rPr>
          <w:rFonts w:ascii="Arial" w:eastAsia="Arial" w:hAnsi="Arial" w:cs="Arial"/>
        </w:rPr>
        <w:t>Similarly, supported decision-making</w:t>
      </w:r>
      <w:r w:rsidR="002C6867">
        <w:rPr>
          <w:rFonts w:ascii="Arial" w:eastAsia="Arial" w:hAnsi="Arial" w:cs="Arial"/>
        </w:rPr>
        <w:t xml:space="preserve"> (SDM)</w:t>
      </w:r>
      <w:r>
        <w:t xml:space="preserve"> can be regarded as a practical process to give expression and legal recognition to the inherent legal capacity and autonomy that all people with disability have.</w:t>
      </w:r>
      <w:r w:rsidR="00352159" w:rsidRPr="006C7A06">
        <w:rPr>
          <w:rStyle w:val="EndnoteReference"/>
          <w:b w:val="0"/>
          <w:bCs/>
        </w:rPr>
        <w:endnoteReference w:id="4"/>
      </w:r>
      <w:r w:rsidR="007A4D6D">
        <w:t xml:space="preserve"> </w:t>
      </w:r>
      <w:r w:rsidR="005C0191">
        <w:t>Relevantly f</w:t>
      </w:r>
      <w:r w:rsidR="002F4417">
        <w:t xml:space="preserve">or </w:t>
      </w:r>
      <w:r w:rsidR="005C0191">
        <w:t xml:space="preserve">the current inquiry, SDM has a significant </w:t>
      </w:r>
      <w:r w:rsidR="005C0191" w:rsidRPr="00C263BB">
        <w:rPr>
          <w:i/>
          <w:iCs/>
        </w:rPr>
        <w:t>safeguarding</w:t>
      </w:r>
      <w:r w:rsidR="005C0191">
        <w:t xml:space="preserve"> dimen</w:t>
      </w:r>
      <w:r w:rsidR="002F4417">
        <w:t>sion. Supporting people to understand and express their rights, will and preferences</w:t>
      </w:r>
      <w:r w:rsidR="008116D6">
        <w:t xml:space="preserve"> </w:t>
      </w:r>
      <w:r w:rsidR="002F4417">
        <w:t>can</w:t>
      </w:r>
      <w:r w:rsidR="00751094">
        <w:t xml:space="preserve"> reduce abuse, violence</w:t>
      </w:r>
      <w:r w:rsidR="00745055">
        <w:t xml:space="preserve">, </w:t>
      </w:r>
      <w:r w:rsidR="00751094">
        <w:t>neglect</w:t>
      </w:r>
      <w:r w:rsidR="00584386">
        <w:t xml:space="preserve"> and exploitation</w:t>
      </w:r>
      <w:r w:rsidR="00584386" w:rsidRPr="006C7A06">
        <w:t>.</w:t>
      </w:r>
      <w:r w:rsidR="007B1B65" w:rsidRPr="006C7A06">
        <w:rPr>
          <w:rStyle w:val="EndnoteReference"/>
          <w:b w:val="0"/>
          <w:bCs/>
        </w:rPr>
        <w:endnoteReference w:id="5"/>
      </w:r>
    </w:p>
    <w:p w14:paraId="0751E68F" w14:textId="77777777" w:rsidR="00CA0B5A" w:rsidRPr="00CA0B5A" w:rsidRDefault="00CA0B5A" w:rsidP="00A154C0">
      <w:pPr>
        <w:keepNext/>
        <w:keepLines/>
        <w:spacing w:before="0" w:line="480" w:lineRule="auto"/>
        <w:outlineLvl w:val="2"/>
        <w:rPr>
          <w:rFonts w:ascii="VAG Rounded" w:eastAsia="Arial" w:hAnsi="VAG Rounded" w:cstheme="majorBidi"/>
          <w:color w:val="00884F" w:themeColor="accent2"/>
          <w:sz w:val="32"/>
          <w:szCs w:val="32"/>
        </w:rPr>
      </w:pPr>
      <w:r w:rsidRPr="00CA0B5A">
        <w:rPr>
          <w:rFonts w:ascii="VAG Rounded" w:eastAsia="Arial" w:hAnsi="VAG Rounded" w:cstheme="majorBidi"/>
          <w:color w:val="00884F" w:themeColor="accent2"/>
          <w:sz w:val="32"/>
          <w:szCs w:val="32"/>
        </w:rPr>
        <w:t>PWDA position on supported decision-making</w:t>
      </w:r>
    </w:p>
    <w:p w14:paraId="47BC26AB" w14:textId="3E78BF0D" w:rsidR="00E105DE" w:rsidRDefault="0064247A" w:rsidP="00B12BFE">
      <w:pPr>
        <w:pStyle w:val="BodyText"/>
        <w:spacing w:line="480" w:lineRule="auto"/>
      </w:pPr>
      <w:r w:rsidRPr="00010247">
        <w:t>The</w:t>
      </w:r>
      <w:r w:rsidR="00DF01D3">
        <w:t xml:space="preserve"> United Nations</w:t>
      </w:r>
      <w:r w:rsidRPr="00010247">
        <w:t xml:space="preserve"> Committee on the Rights of Persons with Disabilities </w:t>
      </w:r>
      <w:r w:rsidR="00DF01D3">
        <w:t xml:space="preserve">(Committee) </w:t>
      </w:r>
      <w:r w:rsidRPr="00010247">
        <w:t>has been clear that substitute decision</w:t>
      </w:r>
      <w:r w:rsidR="002C6867">
        <w:t>-</w:t>
      </w:r>
      <w:r w:rsidRPr="00010247">
        <w:t xml:space="preserve">making regimes based on what a decision maker thinks is in the ‘best interests’ of the person with disability </w:t>
      </w:r>
      <w:r w:rsidR="00217439">
        <w:t>(or older person</w:t>
      </w:r>
      <w:r w:rsidR="00796DA9">
        <w:t xml:space="preserve"> with cognitive impairment in the context of the current inquiry</w:t>
      </w:r>
      <w:r w:rsidR="00217439">
        <w:t xml:space="preserve">) </w:t>
      </w:r>
      <w:r w:rsidRPr="00010247">
        <w:t xml:space="preserve">are incompatible with promoting autonomy and </w:t>
      </w:r>
      <w:r w:rsidR="00217439">
        <w:t>legal capacity</w:t>
      </w:r>
      <w:r w:rsidR="00416BCC">
        <w:t>,</w:t>
      </w:r>
      <w:r w:rsidRPr="00010247">
        <w:t xml:space="preserve"> and are incompatible with the CRPD.</w:t>
      </w:r>
      <w:r w:rsidR="00467904" w:rsidRPr="006C7A06">
        <w:rPr>
          <w:rStyle w:val="EndnoteReference"/>
          <w:rFonts w:eastAsia="Arial" w:cs="Arial"/>
          <w:b w:val="0"/>
          <w:bCs/>
        </w:rPr>
        <w:endnoteReference w:id="6"/>
      </w:r>
      <w:r w:rsidRPr="006C7A06">
        <w:rPr>
          <w:b/>
          <w:bCs/>
        </w:rPr>
        <w:t xml:space="preserve"> </w:t>
      </w:r>
    </w:p>
    <w:p w14:paraId="2B5B207C" w14:textId="31A1EFFF" w:rsidR="00C6138C" w:rsidRDefault="00285DAB" w:rsidP="00B12BFE">
      <w:pPr>
        <w:pStyle w:val="BodyText"/>
        <w:spacing w:line="480" w:lineRule="auto"/>
      </w:pPr>
      <w:r>
        <w:t xml:space="preserve">The </w:t>
      </w:r>
      <w:r w:rsidR="00331290">
        <w:t>‘</w:t>
      </w:r>
      <w:r>
        <w:t>best interest</w:t>
      </w:r>
      <w:r w:rsidR="004E75C2">
        <w:t>s</w:t>
      </w:r>
      <w:r w:rsidR="00331290">
        <w:t>’</w:t>
      </w:r>
      <w:r>
        <w:t xml:space="preserve"> </w:t>
      </w:r>
      <w:r w:rsidR="00797595">
        <w:t>framework</w:t>
      </w:r>
      <w:r>
        <w:t xml:space="preserve"> is paternalistic, </w:t>
      </w:r>
      <w:r w:rsidR="002018AF">
        <w:t xml:space="preserve">infantilising, and </w:t>
      </w:r>
      <w:r>
        <w:t>devaluing</w:t>
      </w:r>
      <w:r w:rsidR="00FD2D2E">
        <w:t xml:space="preserve"> – it can restrict autonomy</w:t>
      </w:r>
      <w:r w:rsidR="00945EC1">
        <w:t xml:space="preserve"> and</w:t>
      </w:r>
      <w:r w:rsidR="00BB7FF3">
        <w:t xml:space="preserve"> </w:t>
      </w:r>
      <w:r w:rsidR="00FD2D2E">
        <w:t>deny dignity of risk</w:t>
      </w:r>
      <w:r w:rsidR="002D2541">
        <w:t xml:space="preserve"> (we note it </w:t>
      </w:r>
      <w:r w:rsidR="009C3326">
        <w:t>continues</w:t>
      </w:r>
      <w:r w:rsidR="002D2541">
        <w:t xml:space="preserve"> to apply for </w:t>
      </w:r>
      <w:r w:rsidR="009C3326">
        <w:t>children and young people</w:t>
      </w:r>
      <w:r w:rsidR="002D2541">
        <w:t xml:space="preserve"> under the age of </w:t>
      </w:r>
      <w:r w:rsidR="009C3326">
        <w:t>18)</w:t>
      </w:r>
      <w:r w:rsidR="009B5608">
        <w:t>.</w:t>
      </w:r>
      <w:r w:rsidR="00FD2D2E" w:rsidRPr="006C7A06">
        <w:rPr>
          <w:rStyle w:val="EndnoteReference"/>
          <w:rFonts w:eastAsia="Arial" w:cs="Arial"/>
          <w:b w:val="0"/>
          <w:bCs/>
        </w:rPr>
        <w:endnoteReference w:id="7"/>
      </w:r>
      <w:r>
        <w:t xml:space="preserve"> </w:t>
      </w:r>
      <w:r w:rsidR="009C3326">
        <w:t xml:space="preserve">Adults with disability </w:t>
      </w:r>
      <w:r w:rsidR="00066D1A">
        <w:t xml:space="preserve">under guardianship </w:t>
      </w:r>
      <w:r w:rsidR="008A75D3">
        <w:t xml:space="preserve">and administration </w:t>
      </w:r>
      <w:r w:rsidR="00066D1A">
        <w:lastRenderedPageBreak/>
        <w:t xml:space="preserve">orders based on ‘best interests’ continue to </w:t>
      </w:r>
      <w:r w:rsidR="003007C3">
        <w:t>be at risk of</w:t>
      </w:r>
      <w:r w:rsidR="00066D1A">
        <w:t xml:space="preserve"> </w:t>
      </w:r>
      <w:r w:rsidR="008A7406">
        <w:t>abuse</w:t>
      </w:r>
      <w:r w:rsidR="00066D1A">
        <w:t xml:space="preserve">, </w:t>
      </w:r>
      <w:r w:rsidR="002018AF">
        <w:t>neglec</w:t>
      </w:r>
      <w:r w:rsidR="00066D1A">
        <w:t>t, violence</w:t>
      </w:r>
      <w:r w:rsidR="00160E94">
        <w:t>,</w:t>
      </w:r>
      <w:r w:rsidR="00066D1A">
        <w:t xml:space="preserve"> </w:t>
      </w:r>
      <w:r w:rsidR="003007C3">
        <w:t xml:space="preserve">and </w:t>
      </w:r>
      <w:r w:rsidR="00541F51">
        <w:t>a lack of cultural safety</w:t>
      </w:r>
      <w:r w:rsidR="00FD23F8">
        <w:t>.</w:t>
      </w:r>
      <w:r w:rsidR="00285BD6" w:rsidRPr="00212F54">
        <w:rPr>
          <w:rStyle w:val="EndnoteReference"/>
          <w:rFonts w:eastAsia="Arial" w:cs="Arial"/>
          <w:b w:val="0"/>
          <w:bCs/>
        </w:rPr>
        <w:endnoteReference w:id="8"/>
      </w:r>
      <w:r w:rsidR="001C1DBF">
        <w:t xml:space="preserve"> </w:t>
      </w:r>
    </w:p>
    <w:p w14:paraId="4F60BD58" w14:textId="5591146C" w:rsidR="00010247" w:rsidRDefault="00C6138C" w:rsidP="00B12BFE">
      <w:pPr>
        <w:pStyle w:val="BodyText"/>
        <w:spacing w:line="480" w:lineRule="auto"/>
      </w:pPr>
      <w:r w:rsidRPr="00010247">
        <w:t xml:space="preserve">PWDA </w:t>
      </w:r>
      <w:r>
        <w:t>is</w:t>
      </w:r>
      <w:r w:rsidRPr="00010247">
        <w:t xml:space="preserve"> opposed</w:t>
      </w:r>
      <w:r>
        <w:t xml:space="preserve"> </w:t>
      </w:r>
      <w:r w:rsidRPr="00010247">
        <w:t>to substitute decision</w:t>
      </w:r>
      <w:r>
        <w:t>-</w:t>
      </w:r>
      <w:r w:rsidRPr="00010247">
        <w:t>making processes</w:t>
      </w:r>
      <w:r>
        <w:t xml:space="preserve"> and frameworks</w:t>
      </w:r>
      <w:r w:rsidRPr="00010247">
        <w:t xml:space="preserve"> which ignore the will, </w:t>
      </w:r>
      <w:r>
        <w:t>p</w:t>
      </w:r>
      <w:r w:rsidRPr="00010247">
        <w:t xml:space="preserve">references and </w:t>
      </w:r>
      <w:r w:rsidRPr="006625FB">
        <w:rPr>
          <w:i/>
          <w:iCs/>
        </w:rPr>
        <w:t>rights</w:t>
      </w:r>
      <w:r w:rsidRPr="00010247">
        <w:t xml:space="preserve"> of people with disability</w:t>
      </w:r>
      <w:r>
        <w:t xml:space="preserve"> and older people and</w:t>
      </w:r>
      <w:r w:rsidRPr="00010247">
        <w:t xml:space="preserve"> </w:t>
      </w:r>
      <w:r>
        <w:t>imposes decisions on them based on</w:t>
      </w:r>
      <w:r w:rsidRPr="00010247">
        <w:t xml:space="preserve"> </w:t>
      </w:r>
      <w:r>
        <w:t xml:space="preserve">what is considered in their </w:t>
      </w:r>
      <w:r w:rsidRPr="00010247">
        <w:t>‘best interests.’</w:t>
      </w:r>
      <w:r w:rsidR="002C7AF6">
        <w:t xml:space="preserve"> </w:t>
      </w:r>
      <w:r w:rsidR="0064247A" w:rsidRPr="00010247">
        <w:t xml:space="preserve">Substitute decision-making </w:t>
      </w:r>
      <w:r w:rsidR="008E7D38">
        <w:t xml:space="preserve">legislative </w:t>
      </w:r>
      <w:r w:rsidR="0064247A" w:rsidRPr="00010247">
        <w:t xml:space="preserve">schemes such as found in traditional guardianship </w:t>
      </w:r>
      <w:r w:rsidR="005E0089">
        <w:t xml:space="preserve">in NSW </w:t>
      </w:r>
      <w:r w:rsidR="0064247A" w:rsidRPr="00010247">
        <w:t xml:space="preserve">must be </w:t>
      </w:r>
      <w:r w:rsidR="008E7D38">
        <w:t>reformed</w:t>
      </w:r>
      <w:r w:rsidR="0064247A" w:rsidRPr="00010247">
        <w:t xml:space="preserve"> and </w:t>
      </w:r>
      <w:r w:rsidR="008E7D38">
        <w:t>amended</w:t>
      </w:r>
      <w:r w:rsidR="0064247A" w:rsidRPr="00010247">
        <w:t xml:space="preserve"> with supported decision-making frameworks</w:t>
      </w:r>
      <w:r w:rsidR="00D94E0C" w:rsidRPr="00010247">
        <w:t xml:space="preserve"> which affirm rights</w:t>
      </w:r>
      <w:r w:rsidR="00BF763B">
        <w:t xml:space="preserve"> and dignity.</w:t>
      </w:r>
    </w:p>
    <w:p w14:paraId="46989B17" w14:textId="425ECE60" w:rsidR="00C94DB0" w:rsidRDefault="00F13940" w:rsidP="00B12BFE">
      <w:pPr>
        <w:pStyle w:val="BodyText"/>
        <w:spacing w:line="480" w:lineRule="auto"/>
      </w:pPr>
      <w:r w:rsidRPr="00010247">
        <w:t xml:space="preserve">As noted above, </w:t>
      </w:r>
      <w:r w:rsidR="00A6659D" w:rsidRPr="00010247">
        <w:t>people</w:t>
      </w:r>
      <w:r w:rsidRPr="00010247">
        <w:t xml:space="preserve"> with </w:t>
      </w:r>
      <w:r w:rsidR="00A6659D" w:rsidRPr="00010247">
        <w:t>disability</w:t>
      </w:r>
      <w:r w:rsidRPr="00010247">
        <w:t xml:space="preserve"> have a </w:t>
      </w:r>
      <w:r w:rsidRPr="00416BCC">
        <w:rPr>
          <w:i/>
          <w:iCs/>
        </w:rPr>
        <w:t>righ</w:t>
      </w:r>
      <w:r w:rsidRPr="00010247">
        <w:t xml:space="preserve">t to </w:t>
      </w:r>
      <w:r w:rsidR="00A6659D" w:rsidRPr="00010247">
        <w:t>receive</w:t>
      </w:r>
      <w:r w:rsidRPr="00010247">
        <w:t xml:space="preserve"> support for decision making</w:t>
      </w:r>
      <w:r w:rsidR="00010247">
        <w:t>.</w:t>
      </w:r>
      <w:r w:rsidR="002C7AF6">
        <w:t xml:space="preserve"> </w:t>
      </w:r>
      <w:r w:rsidR="00DF01D3">
        <w:t xml:space="preserve">A </w:t>
      </w:r>
      <w:r w:rsidR="00780883">
        <w:t>significant</w:t>
      </w:r>
      <w:r w:rsidR="00DF01D3">
        <w:t xml:space="preserve"> barrier to the ad</w:t>
      </w:r>
      <w:r w:rsidR="00780883">
        <w:t xml:space="preserve">vancement </w:t>
      </w:r>
      <w:r w:rsidR="00DF01D3">
        <w:t xml:space="preserve">of </w:t>
      </w:r>
      <w:r w:rsidR="00217439">
        <w:t>SDM</w:t>
      </w:r>
      <w:r w:rsidR="00DF01D3">
        <w:t xml:space="preserve"> in </w:t>
      </w:r>
      <w:r w:rsidR="00780883">
        <w:t>Australia is</w:t>
      </w:r>
      <w:r w:rsidR="00DF01D3">
        <w:t xml:space="preserve"> the </w:t>
      </w:r>
      <w:r w:rsidR="00780883">
        <w:t>ongoing</w:t>
      </w:r>
      <w:r w:rsidR="00DF01D3">
        <w:t xml:space="preserve"> </w:t>
      </w:r>
      <w:r w:rsidR="00780883">
        <w:t>maintenance</w:t>
      </w:r>
      <w:r w:rsidR="00DF01D3">
        <w:t xml:space="preserve"> of an interpretative </w:t>
      </w:r>
      <w:r w:rsidR="00780883">
        <w:t>declaration</w:t>
      </w:r>
      <w:r w:rsidR="00DF01D3">
        <w:t xml:space="preserve"> on CRPD </w:t>
      </w:r>
      <w:r w:rsidR="00780883">
        <w:t>article</w:t>
      </w:r>
      <w:r w:rsidR="00DF01D3">
        <w:t xml:space="preserve"> 12 by the Australian </w:t>
      </w:r>
      <w:r w:rsidR="00780883">
        <w:t>Government</w:t>
      </w:r>
      <w:r w:rsidR="00416BCC">
        <w:t>,</w:t>
      </w:r>
      <w:r w:rsidR="00DF01D3">
        <w:t xml:space="preserve"> </w:t>
      </w:r>
      <w:r w:rsidR="00416BCC">
        <w:t>which posits</w:t>
      </w:r>
      <w:r w:rsidR="00780883">
        <w:t xml:space="preserve"> that CRPD article 12 allows for </w:t>
      </w:r>
      <w:r w:rsidR="00410BF4">
        <w:t xml:space="preserve">supported </w:t>
      </w:r>
      <w:r w:rsidR="00410BF4" w:rsidRPr="00410BF4">
        <w:rPr>
          <w:i/>
          <w:iCs/>
        </w:rPr>
        <w:t>or</w:t>
      </w:r>
      <w:r w:rsidR="00410BF4">
        <w:t xml:space="preserve"> </w:t>
      </w:r>
      <w:r w:rsidR="00780883">
        <w:t xml:space="preserve">substitute decision-making </w:t>
      </w:r>
      <w:r w:rsidR="007E4823">
        <w:t>arrangements</w:t>
      </w:r>
      <w:r w:rsidR="00780883">
        <w:t xml:space="preserve">, albeit </w:t>
      </w:r>
      <w:r w:rsidR="007378B0">
        <w:t xml:space="preserve">in that later case, </w:t>
      </w:r>
      <w:r w:rsidR="00780883">
        <w:t>as a last resort</w:t>
      </w:r>
      <w:r w:rsidR="00987C7A">
        <w:t xml:space="preserve"> and with </w:t>
      </w:r>
      <w:r w:rsidR="008F5431">
        <w:t>‘</w:t>
      </w:r>
      <w:r w:rsidR="00987C7A">
        <w:t>safeguards.</w:t>
      </w:r>
      <w:r w:rsidR="008F5431">
        <w:t>’</w:t>
      </w:r>
      <w:r w:rsidR="00EC2439" w:rsidRPr="001C4C1C">
        <w:rPr>
          <w:rStyle w:val="EndnoteReference"/>
          <w:b w:val="0"/>
          <w:bCs/>
        </w:rPr>
        <w:endnoteReference w:id="9"/>
      </w:r>
      <w:r w:rsidR="00780883" w:rsidRPr="001C4C1C">
        <w:rPr>
          <w:b/>
          <w:bCs/>
        </w:rPr>
        <w:t xml:space="preserve"> </w:t>
      </w:r>
    </w:p>
    <w:p w14:paraId="39B5BEAD" w14:textId="4E477D02" w:rsidR="00010247" w:rsidRDefault="00780883" w:rsidP="00B12BFE">
      <w:pPr>
        <w:pStyle w:val="BodyText"/>
        <w:spacing w:line="480" w:lineRule="auto"/>
      </w:pPr>
      <w:r>
        <w:t>As noted, the Committee has said this is not the case.</w:t>
      </w:r>
      <w:r w:rsidR="00516826">
        <w:t xml:space="preserve"> Article 12 requires the dismantling of substitute systems. </w:t>
      </w:r>
      <w:r>
        <w:t>The</w:t>
      </w:r>
      <w:r w:rsidR="00DF01D3">
        <w:t xml:space="preserve"> Committee has been critical of the continued existence of substitute decision</w:t>
      </w:r>
      <w:r w:rsidR="00217439">
        <w:t>-</w:t>
      </w:r>
      <w:r w:rsidR="00DF01D3">
        <w:t xml:space="preserve">making systems in </w:t>
      </w:r>
      <w:r>
        <w:t>Australia and</w:t>
      </w:r>
      <w:r w:rsidR="00DF01D3">
        <w:t xml:space="preserve"> has called on the Australian Government to abolish th</w:t>
      </w:r>
      <w:r>
        <w:t>ose</w:t>
      </w:r>
      <w:r w:rsidR="00DF01D3">
        <w:t xml:space="preserve"> and adopt a national</w:t>
      </w:r>
      <w:r w:rsidR="00C94DB0">
        <w:t>ly</w:t>
      </w:r>
      <w:r w:rsidR="00DF01D3">
        <w:t xml:space="preserve"> consistent supported decision-making framework.</w:t>
      </w:r>
      <w:r w:rsidR="00DF01D3" w:rsidRPr="00212F54">
        <w:rPr>
          <w:rStyle w:val="EndnoteReference"/>
          <w:rFonts w:eastAsia="Arial" w:cs="Arial"/>
          <w:b w:val="0"/>
          <w:bCs/>
        </w:rPr>
        <w:endnoteReference w:id="10"/>
      </w:r>
      <w:r w:rsidR="00217439">
        <w:t xml:space="preserve"> </w:t>
      </w:r>
      <w:r w:rsidR="00532BFB">
        <w:t>Disability Roya</w:t>
      </w:r>
      <w:r w:rsidR="00691A46">
        <w:t xml:space="preserve">l </w:t>
      </w:r>
      <w:r w:rsidR="00CB09DD">
        <w:t xml:space="preserve">Commission (DRC) </w:t>
      </w:r>
      <w:r w:rsidR="00691A46">
        <w:t>Commissioners Benne</w:t>
      </w:r>
      <w:r w:rsidR="00E74AC8">
        <w:t>t</w:t>
      </w:r>
      <w:r w:rsidR="00691A46">
        <w:t xml:space="preserve">t, </w:t>
      </w:r>
      <w:proofErr w:type="spellStart"/>
      <w:r w:rsidR="00691A46">
        <w:t>Galbally</w:t>
      </w:r>
      <w:proofErr w:type="spellEnd"/>
      <w:r w:rsidR="00691A46">
        <w:t xml:space="preserve">, Mason and McEwin recommended the </w:t>
      </w:r>
      <w:r w:rsidR="001F79AE">
        <w:t>Australian</w:t>
      </w:r>
      <w:r w:rsidR="00691A46">
        <w:t xml:space="preserve"> </w:t>
      </w:r>
      <w:r w:rsidR="001F79AE">
        <w:t>Government</w:t>
      </w:r>
      <w:r w:rsidR="00691A46">
        <w:t xml:space="preserve"> withdraw </w:t>
      </w:r>
      <w:r w:rsidR="001F79AE">
        <w:t xml:space="preserve">the interpretative declaration </w:t>
      </w:r>
      <w:r w:rsidR="0039658B">
        <w:t xml:space="preserve">to article 12 </w:t>
      </w:r>
      <w:r w:rsidR="001F79AE">
        <w:t>(</w:t>
      </w:r>
      <w:r w:rsidR="00CB09DD">
        <w:t>DRC</w:t>
      </w:r>
      <w:r w:rsidR="001F79AE">
        <w:t xml:space="preserve"> Recommendation 6.20). </w:t>
      </w:r>
      <w:r>
        <w:t xml:space="preserve">PWDA has </w:t>
      </w:r>
      <w:r w:rsidR="003F4F4E">
        <w:t xml:space="preserve">also </w:t>
      </w:r>
      <w:r w:rsidR="00BC3C02">
        <w:t xml:space="preserve">consistently </w:t>
      </w:r>
      <w:r>
        <w:t xml:space="preserve">called on the Australian Government to end </w:t>
      </w:r>
      <w:r w:rsidR="00E74AC8">
        <w:t>the</w:t>
      </w:r>
      <w:r>
        <w:t xml:space="preserve"> interpretative declaration.</w:t>
      </w:r>
      <w:r w:rsidR="001450EA" w:rsidRPr="00212F54">
        <w:rPr>
          <w:rStyle w:val="EndnoteReference"/>
          <w:rFonts w:eastAsia="Arial" w:cs="Arial"/>
          <w:b w:val="0"/>
          <w:bCs/>
        </w:rPr>
        <w:endnoteReference w:id="11"/>
      </w:r>
      <w:r w:rsidRPr="00212F54">
        <w:rPr>
          <w:b/>
          <w:bCs/>
        </w:rPr>
        <w:t xml:space="preserve"> </w:t>
      </w:r>
    </w:p>
    <w:p w14:paraId="687501E0" w14:textId="2607C597" w:rsidR="00010247" w:rsidRDefault="00C94DB0" w:rsidP="00B12BFE">
      <w:pPr>
        <w:pStyle w:val="BodyText"/>
        <w:spacing w:line="480" w:lineRule="auto"/>
      </w:pPr>
      <w:r>
        <w:t>For PWDA, the</w:t>
      </w:r>
      <w:r w:rsidR="00F13940" w:rsidRPr="00010247">
        <w:t xml:space="preserve"> will, preferences and right</w:t>
      </w:r>
      <w:r w:rsidR="00467904">
        <w:t>s</w:t>
      </w:r>
      <w:r w:rsidR="00F13940" w:rsidRPr="00010247">
        <w:t xml:space="preserve"> of the person with disability must always be central to any decision that must be made. In cases where it is not possible to determine will and preferences after supports have been provided, then a decision may be made </w:t>
      </w:r>
      <w:r w:rsidR="006E19F2">
        <w:t xml:space="preserve">by a </w:t>
      </w:r>
      <w:r w:rsidR="006E19F2" w:rsidRPr="00C94DB0">
        <w:rPr>
          <w:i/>
          <w:iCs/>
        </w:rPr>
        <w:lastRenderedPageBreak/>
        <w:t>representative</w:t>
      </w:r>
      <w:r w:rsidR="006E19F2">
        <w:t xml:space="preserve"> </w:t>
      </w:r>
      <w:r w:rsidR="00F13940" w:rsidRPr="00010247">
        <w:t xml:space="preserve">based on a best interpretation of will and preferences </w:t>
      </w:r>
      <w:r w:rsidR="00DB1AA9">
        <w:t>identified through a</w:t>
      </w:r>
      <w:r w:rsidR="005F3301">
        <w:t xml:space="preserve"> </w:t>
      </w:r>
      <w:r w:rsidR="007E1D12">
        <w:t>rigorous</w:t>
      </w:r>
      <w:r w:rsidR="005F3301">
        <w:t xml:space="preserve"> documented</w:t>
      </w:r>
      <w:r w:rsidR="00DB1AA9">
        <w:t xml:space="preserve"> examination of contexts. </w:t>
      </w:r>
      <w:r w:rsidR="0030711C">
        <w:t xml:space="preserve">This </w:t>
      </w:r>
      <w:r w:rsidR="00E86D77">
        <w:t xml:space="preserve">representative </w:t>
      </w:r>
      <w:r w:rsidR="0030711C">
        <w:t xml:space="preserve">decision </w:t>
      </w:r>
      <w:r w:rsidR="008351E3">
        <w:t xml:space="preserve">must be </w:t>
      </w:r>
      <w:r w:rsidR="00F13940" w:rsidRPr="00010247">
        <w:t>consistent with upholding the persons rights</w:t>
      </w:r>
      <w:r w:rsidR="00DC5355">
        <w:t xml:space="preserve"> and recognising them as an individual</w:t>
      </w:r>
      <w:r w:rsidR="00F13940" w:rsidRPr="00010247">
        <w:t>.</w:t>
      </w:r>
      <w:r w:rsidR="003A1DC1" w:rsidRPr="00212F54">
        <w:rPr>
          <w:rStyle w:val="EndnoteReference"/>
          <w:rFonts w:eastAsia="Arial" w:cs="Arial"/>
          <w:b w:val="0"/>
          <w:bCs/>
        </w:rPr>
        <w:endnoteReference w:id="12"/>
      </w:r>
    </w:p>
    <w:p w14:paraId="3FB2F68B" w14:textId="5B8683B4" w:rsidR="006851C7" w:rsidRDefault="00A6659D" w:rsidP="00B12BFE">
      <w:pPr>
        <w:pStyle w:val="BodyText"/>
        <w:spacing w:line="480" w:lineRule="auto"/>
      </w:pPr>
      <w:r w:rsidRPr="00010247">
        <w:t>This has been referred to broadly as the ‘</w:t>
      </w:r>
      <w:r w:rsidRPr="00847D94">
        <w:rPr>
          <w:b/>
          <w:bCs/>
        </w:rPr>
        <w:t>principled approach</w:t>
      </w:r>
      <w:r w:rsidRPr="00010247">
        <w:t xml:space="preserve">’ to </w:t>
      </w:r>
      <w:r w:rsidR="00217439">
        <w:t>SDM</w:t>
      </w:r>
      <w:r w:rsidRPr="00010247">
        <w:t xml:space="preserve"> which sees </w:t>
      </w:r>
      <w:r w:rsidR="00217439">
        <w:t>SDM</w:t>
      </w:r>
      <w:r w:rsidRPr="00010247">
        <w:t xml:space="preserve"> as a continuum of decision support, </w:t>
      </w:r>
      <w:r w:rsidR="00925E23" w:rsidRPr="00010247">
        <w:t>with</w:t>
      </w:r>
      <w:r w:rsidRPr="00010247">
        <w:t xml:space="preserve"> a person</w:t>
      </w:r>
      <w:r w:rsidR="00FB403C">
        <w:t>’</w:t>
      </w:r>
      <w:r w:rsidRPr="00010247">
        <w:t>s will, preferences and rights at the centre of all decisions.</w:t>
      </w:r>
      <w:r w:rsidR="00780883" w:rsidRPr="00212F54">
        <w:rPr>
          <w:rStyle w:val="EndnoteReference"/>
          <w:rFonts w:eastAsia="Arial" w:cs="Arial"/>
          <w:b w:val="0"/>
          <w:bCs/>
        </w:rPr>
        <w:endnoteReference w:id="13"/>
      </w:r>
      <w:r w:rsidRPr="00010247">
        <w:t xml:space="preserve"> </w:t>
      </w:r>
      <w:r w:rsidR="00925E23" w:rsidRPr="00010247">
        <w:t xml:space="preserve">It recognises that decision-making </w:t>
      </w:r>
      <w:r w:rsidR="008351E3">
        <w:t xml:space="preserve">ability </w:t>
      </w:r>
      <w:r w:rsidR="00925E23" w:rsidRPr="00010247">
        <w:t xml:space="preserve">can fluctuate over </w:t>
      </w:r>
      <w:r w:rsidR="00477B4B" w:rsidRPr="00010247">
        <w:t xml:space="preserve">time </w:t>
      </w:r>
      <w:r w:rsidR="00411844" w:rsidRPr="00010247">
        <w:t>and</w:t>
      </w:r>
      <w:r w:rsidR="00925E23" w:rsidRPr="00010247">
        <w:t xml:space="preserve"> be context specific. </w:t>
      </w:r>
      <w:r w:rsidR="00D20462">
        <w:t>The goal is to maximise autonomy</w:t>
      </w:r>
      <w:r w:rsidR="00883892">
        <w:t xml:space="preserve"> and respect dignity of risk</w:t>
      </w:r>
      <w:r w:rsidR="00D20462">
        <w:t>.</w:t>
      </w:r>
      <w:r w:rsidR="00C14148" w:rsidRPr="00C14148">
        <w:t xml:space="preserve"> </w:t>
      </w:r>
      <w:r w:rsidR="00C14148">
        <w:t xml:space="preserve">Giving direct effect to will and preferences may not extend to </w:t>
      </w:r>
      <w:r w:rsidR="00C14148" w:rsidRPr="00C94DB0">
        <w:rPr>
          <w:i/>
          <w:iCs/>
        </w:rPr>
        <w:t>all</w:t>
      </w:r>
      <w:r w:rsidR="00C14148">
        <w:t xml:space="preserve"> decisions</w:t>
      </w:r>
      <w:r w:rsidR="00D20462">
        <w:t xml:space="preserve"> </w:t>
      </w:r>
      <w:r w:rsidR="00C14148">
        <w:t>i</w:t>
      </w:r>
      <w:r w:rsidR="00DE2428">
        <w:t>n</w:t>
      </w:r>
      <w:r w:rsidR="00C14148">
        <w:t xml:space="preserve"> </w:t>
      </w:r>
      <w:r w:rsidR="008A7BEB">
        <w:t xml:space="preserve">limited </w:t>
      </w:r>
      <w:r w:rsidR="00033424">
        <w:t xml:space="preserve">situations </w:t>
      </w:r>
      <w:r w:rsidR="00F74538">
        <w:t>where</w:t>
      </w:r>
      <w:r w:rsidR="00411844">
        <w:t xml:space="preserve"> a</w:t>
      </w:r>
      <w:r w:rsidR="001E2C2D">
        <w:t xml:space="preserve"> consequence of a decision is </w:t>
      </w:r>
      <w:r w:rsidR="00F74538">
        <w:t>a real</w:t>
      </w:r>
      <w:r w:rsidR="00411844">
        <w:t xml:space="preserve"> risk of serious harm to a person or others</w:t>
      </w:r>
      <w:r w:rsidR="006E19F2">
        <w:t xml:space="preserve"> </w:t>
      </w:r>
      <w:r w:rsidR="00E97499">
        <w:t xml:space="preserve">and </w:t>
      </w:r>
      <w:r w:rsidR="001E2C2D">
        <w:t xml:space="preserve">this </w:t>
      </w:r>
      <w:r w:rsidR="00E97499">
        <w:t xml:space="preserve">may not be understood </w:t>
      </w:r>
      <w:r w:rsidR="00E97499" w:rsidRPr="00C263BB">
        <w:rPr>
          <w:i/>
          <w:iCs/>
        </w:rPr>
        <w:t>after</w:t>
      </w:r>
      <w:r w:rsidR="00E97499">
        <w:t xml:space="preserve"> receiving support</w:t>
      </w:r>
      <w:r w:rsidR="006E19F2">
        <w:t>.</w:t>
      </w:r>
      <w:r w:rsidR="00635910" w:rsidRPr="00212F54">
        <w:rPr>
          <w:rStyle w:val="EndnoteReference"/>
          <w:rFonts w:eastAsia="Arial" w:cs="Arial"/>
          <w:b w:val="0"/>
          <w:bCs/>
        </w:rPr>
        <w:endnoteReference w:id="14"/>
      </w:r>
      <w:r w:rsidR="008F7146" w:rsidRPr="00212F54">
        <w:rPr>
          <w:b/>
          <w:bCs/>
        </w:rPr>
        <w:t xml:space="preserve"> </w:t>
      </w:r>
      <w:r w:rsidR="00486781">
        <w:t>However, a</w:t>
      </w:r>
      <w:r w:rsidR="00C804AA">
        <w:t xml:space="preserve">ny decision </w:t>
      </w:r>
      <w:r w:rsidR="00DC7F26">
        <w:t xml:space="preserve">made by a representative must </w:t>
      </w:r>
      <w:r w:rsidR="00C804AA">
        <w:t xml:space="preserve">still be </w:t>
      </w:r>
      <w:r w:rsidR="00776883">
        <w:t xml:space="preserve">framed and </w:t>
      </w:r>
      <w:r w:rsidR="00C804AA">
        <w:t xml:space="preserve">consistent with upholding </w:t>
      </w:r>
      <w:r w:rsidR="005D02C9" w:rsidRPr="00C263BB">
        <w:rPr>
          <w:i/>
          <w:iCs/>
        </w:rPr>
        <w:t>rights</w:t>
      </w:r>
      <w:r w:rsidR="009F37ED">
        <w:t xml:space="preserve"> and promot</w:t>
      </w:r>
      <w:r w:rsidR="00BC30A6">
        <w:t>ing</w:t>
      </w:r>
      <w:r w:rsidR="009F37ED">
        <w:t xml:space="preserve"> ‘personal and social wellbeing.’</w:t>
      </w:r>
      <w:r w:rsidR="00F82910" w:rsidRPr="00212F54">
        <w:rPr>
          <w:rStyle w:val="EndnoteReference"/>
          <w:rFonts w:eastAsia="Arial" w:cs="Arial"/>
          <w:b w:val="0"/>
          <w:bCs/>
        </w:rPr>
        <w:endnoteReference w:id="15"/>
      </w:r>
      <w:r w:rsidR="00394B7D">
        <w:t xml:space="preserve"> </w:t>
      </w:r>
    </w:p>
    <w:p w14:paraId="45B01D92" w14:textId="7C9F30FB" w:rsidR="00217439" w:rsidRDefault="005871D7" w:rsidP="00B12BFE">
      <w:pPr>
        <w:pStyle w:val="BodyText"/>
        <w:spacing w:line="480" w:lineRule="auto"/>
      </w:pPr>
      <w:r>
        <w:t xml:space="preserve">There is </w:t>
      </w:r>
      <w:r w:rsidR="0025027C">
        <w:t>an</w:t>
      </w:r>
      <w:r>
        <w:t xml:space="preserve"> inherent tension in </w:t>
      </w:r>
      <w:r w:rsidR="00C94DB0">
        <w:t>th</w:t>
      </w:r>
      <w:r w:rsidR="000026F8">
        <w:t xml:space="preserve">e </w:t>
      </w:r>
      <w:r w:rsidR="00C804AA">
        <w:t xml:space="preserve">right to make </w:t>
      </w:r>
      <w:r w:rsidR="00BC26CF">
        <w:t>decisions</w:t>
      </w:r>
      <w:r w:rsidR="000026F8">
        <w:t xml:space="preserve"> and upholding the ‘dignity of risk’</w:t>
      </w:r>
      <w:r w:rsidR="00CA1D28">
        <w:t xml:space="preserve"> </w:t>
      </w:r>
      <w:r w:rsidR="00BC26CF">
        <w:t xml:space="preserve">versus a </w:t>
      </w:r>
      <w:r w:rsidR="000026F8">
        <w:t xml:space="preserve">situation where there is a real </w:t>
      </w:r>
      <w:r w:rsidR="00BC26CF">
        <w:t>risk of</w:t>
      </w:r>
      <w:r w:rsidR="00CA1D28">
        <w:t xml:space="preserve"> </w:t>
      </w:r>
      <w:r w:rsidR="00F36C78">
        <w:t>serious harm</w:t>
      </w:r>
      <w:r w:rsidR="0036284A">
        <w:t>.</w:t>
      </w:r>
      <w:r w:rsidR="00522D14">
        <w:t xml:space="preserve"> </w:t>
      </w:r>
      <w:r w:rsidR="00575332">
        <w:t>Developing</w:t>
      </w:r>
      <w:r w:rsidR="00AA4CBA">
        <w:t xml:space="preserve"> community</w:t>
      </w:r>
      <w:r w:rsidR="00246E8E">
        <w:t xml:space="preserve"> and supporter</w:t>
      </w:r>
      <w:r w:rsidR="00AA4CBA">
        <w:t xml:space="preserve"> capacity to </w:t>
      </w:r>
      <w:r w:rsidR="000026F8">
        <w:t>navigate</w:t>
      </w:r>
      <w:r w:rsidR="00E31C8E">
        <w:t xml:space="preserve"> and balance</w:t>
      </w:r>
      <w:r w:rsidR="00575332">
        <w:t xml:space="preserve"> th</w:t>
      </w:r>
      <w:r w:rsidR="00E31C8E">
        <w:t>at</w:t>
      </w:r>
      <w:r w:rsidR="00575332">
        <w:t xml:space="preserve"> tension in a consistent</w:t>
      </w:r>
      <w:r w:rsidR="000026F8">
        <w:t>,</w:t>
      </w:r>
      <w:r w:rsidR="00575332">
        <w:t xml:space="preserve"> rights affirming way </w:t>
      </w:r>
      <w:r w:rsidR="00C94DB0">
        <w:t xml:space="preserve">requires </w:t>
      </w:r>
      <w:r w:rsidR="005E0089">
        <w:t xml:space="preserve">independent, </w:t>
      </w:r>
      <w:r w:rsidR="00C94DB0">
        <w:t>sensitive</w:t>
      </w:r>
      <w:r w:rsidR="00D20462">
        <w:t>, respected,</w:t>
      </w:r>
      <w:r w:rsidR="00F81FE1">
        <w:t xml:space="preserve"> and</w:t>
      </w:r>
      <w:r w:rsidR="00D20462">
        <w:t xml:space="preserve"> </w:t>
      </w:r>
      <w:r w:rsidR="00C94DB0">
        <w:t>expert leadership</w:t>
      </w:r>
      <w:r w:rsidR="00575332">
        <w:t xml:space="preserve">. </w:t>
      </w:r>
      <w:r w:rsidR="00C94DB0">
        <w:t xml:space="preserve"> </w:t>
      </w:r>
      <w:r w:rsidR="00575332" w:rsidRPr="00B12BFE">
        <w:t>W</w:t>
      </w:r>
      <w:r w:rsidR="00C94DB0" w:rsidRPr="00B12BFE">
        <w:t xml:space="preserve">e </w:t>
      </w:r>
      <w:r w:rsidR="00DD0BD7" w:rsidRPr="00B12BFE">
        <w:t>state</w:t>
      </w:r>
      <w:r w:rsidR="00E31C8E" w:rsidRPr="00B12BFE">
        <w:t xml:space="preserve"> </w:t>
      </w:r>
      <w:r w:rsidR="00C94DB0" w:rsidRPr="00B12BFE">
        <w:t xml:space="preserve">below </w:t>
      </w:r>
      <w:r w:rsidR="00575332" w:rsidRPr="00B12BFE">
        <w:t xml:space="preserve">that such leadership </w:t>
      </w:r>
      <w:r w:rsidR="002913F3" w:rsidRPr="00B12BFE">
        <w:t>should</w:t>
      </w:r>
      <w:r w:rsidR="00C94DB0" w:rsidRPr="00B12BFE">
        <w:t xml:space="preserve"> be provided </w:t>
      </w:r>
      <w:r w:rsidR="00D26EEA" w:rsidRPr="00B12BFE">
        <w:t xml:space="preserve">through </w:t>
      </w:r>
      <w:r w:rsidR="00C94DB0" w:rsidRPr="00B12BFE">
        <w:t>the</w:t>
      </w:r>
      <w:r w:rsidR="00404AC5" w:rsidRPr="00B12BFE">
        <w:t xml:space="preserve"> </w:t>
      </w:r>
      <w:r w:rsidR="00C94DB0" w:rsidRPr="00B12BFE">
        <w:t>NSW Ageing and Disability Commission</w:t>
      </w:r>
      <w:r w:rsidR="004C390B" w:rsidRPr="00B12BFE">
        <w:t xml:space="preserve"> who </w:t>
      </w:r>
      <w:r w:rsidR="00F65BBC" w:rsidRPr="00B12BFE">
        <w:t>must</w:t>
      </w:r>
      <w:r w:rsidR="00FF2D68" w:rsidRPr="00B12BFE">
        <w:t xml:space="preserve"> ensure that </w:t>
      </w:r>
      <w:r w:rsidR="009A115A" w:rsidRPr="00B12BFE">
        <w:t>the</w:t>
      </w:r>
      <w:r w:rsidR="001632A3" w:rsidRPr="00B12BFE">
        <w:t xml:space="preserve"> direct</w:t>
      </w:r>
      <w:r w:rsidR="009A115A" w:rsidRPr="00B12BFE">
        <w:t xml:space="preserve"> lived experience </w:t>
      </w:r>
      <w:r w:rsidR="001075F8" w:rsidRPr="00B12BFE">
        <w:t xml:space="preserve">of people with disability </w:t>
      </w:r>
      <w:r w:rsidR="00CB0E3A" w:rsidRPr="00B12BFE">
        <w:t>is embedded in leadership and decision-making roles</w:t>
      </w:r>
      <w:r w:rsidR="003901D4">
        <w:t xml:space="preserve"> to promote SDM.</w:t>
      </w:r>
    </w:p>
    <w:p w14:paraId="0D6FD708" w14:textId="0374EBAF" w:rsidR="00010247" w:rsidRDefault="00A6659D" w:rsidP="00B12BFE">
      <w:pPr>
        <w:pStyle w:val="BodyText"/>
        <w:spacing w:line="480" w:lineRule="auto"/>
      </w:pPr>
      <w:r w:rsidRPr="00010247">
        <w:t xml:space="preserve">This </w:t>
      </w:r>
      <w:r w:rsidR="00925E23" w:rsidRPr="00AF6881">
        <w:rPr>
          <w:b/>
          <w:bCs/>
        </w:rPr>
        <w:t>principled</w:t>
      </w:r>
      <w:r w:rsidRPr="00AF6881">
        <w:rPr>
          <w:b/>
          <w:bCs/>
        </w:rPr>
        <w:t xml:space="preserve"> </w:t>
      </w:r>
      <w:r w:rsidR="00925E23" w:rsidRPr="00AF6881">
        <w:rPr>
          <w:b/>
          <w:bCs/>
        </w:rPr>
        <w:t>approach</w:t>
      </w:r>
      <w:r w:rsidR="00925E23" w:rsidRPr="00010247">
        <w:t xml:space="preserve"> </w:t>
      </w:r>
      <w:r w:rsidR="00BA455B">
        <w:t xml:space="preserve">to SDM </w:t>
      </w:r>
      <w:r w:rsidR="00925E23" w:rsidRPr="00010247">
        <w:t xml:space="preserve">was </w:t>
      </w:r>
      <w:r w:rsidR="00073176">
        <w:t>reviewed</w:t>
      </w:r>
      <w:r w:rsidR="00A7161A" w:rsidRPr="00010247">
        <w:t xml:space="preserve"> </w:t>
      </w:r>
      <w:r w:rsidR="00925E23" w:rsidRPr="00010247">
        <w:t xml:space="preserve">favourably by the </w:t>
      </w:r>
      <w:r w:rsidR="00CB09DD">
        <w:t>DRC</w:t>
      </w:r>
      <w:r w:rsidR="007C1F48">
        <w:t xml:space="preserve">. It </w:t>
      </w:r>
      <w:r w:rsidR="00217439">
        <w:t xml:space="preserve">informed its </w:t>
      </w:r>
      <w:r w:rsidR="00925E23" w:rsidRPr="00010247">
        <w:t xml:space="preserve">development of recommendations </w:t>
      </w:r>
      <w:r w:rsidR="007C7501">
        <w:t xml:space="preserve">to advance SDM and </w:t>
      </w:r>
      <w:r w:rsidR="00925E23" w:rsidRPr="00010247">
        <w:t xml:space="preserve">reform </w:t>
      </w:r>
      <w:r w:rsidR="008F21D2">
        <w:t xml:space="preserve">current </w:t>
      </w:r>
      <w:r w:rsidR="00925E23" w:rsidRPr="00010247">
        <w:t>substitute decision-making regimes</w:t>
      </w:r>
      <w:r w:rsidR="00D20462">
        <w:t xml:space="preserve"> </w:t>
      </w:r>
      <w:r w:rsidR="007C7501">
        <w:t>to better align such administrative frameworks with</w:t>
      </w:r>
      <w:r w:rsidR="00363092">
        <w:t xml:space="preserve"> the </w:t>
      </w:r>
      <w:r w:rsidR="00C52378">
        <w:t>CRPD</w:t>
      </w:r>
      <w:r w:rsidR="00363092">
        <w:t>.</w:t>
      </w:r>
      <w:r w:rsidR="00635910" w:rsidRPr="00212F54">
        <w:rPr>
          <w:rStyle w:val="EndnoteReference"/>
          <w:rFonts w:eastAsia="Arial" w:cs="Arial"/>
          <w:b w:val="0"/>
          <w:bCs/>
        </w:rPr>
        <w:endnoteReference w:id="16"/>
      </w:r>
      <w:r w:rsidR="000F22E7" w:rsidRPr="00212F54">
        <w:rPr>
          <w:b/>
          <w:bCs/>
        </w:rPr>
        <w:t xml:space="preserve"> </w:t>
      </w:r>
      <w:r w:rsidR="00010247" w:rsidRPr="00010247">
        <w:t xml:space="preserve">These recommendations build upon </w:t>
      </w:r>
      <w:r w:rsidR="00270DD9">
        <w:t>previous</w:t>
      </w:r>
      <w:r w:rsidR="0011631B">
        <w:t xml:space="preserve"> work</w:t>
      </w:r>
      <w:r w:rsidR="00270DD9">
        <w:t xml:space="preserve"> undertaken by the</w:t>
      </w:r>
      <w:r w:rsidR="00010247" w:rsidRPr="00010247">
        <w:t xml:space="preserve"> Australian Law Reform Commission</w:t>
      </w:r>
      <w:r w:rsidR="00CB09DD">
        <w:t xml:space="preserve"> (ALRC)</w:t>
      </w:r>
      <w:r w:rsidR="00D20462">
        <w:t xml:space="preserve"> to </w:t>
      </w:r>
      <w:r w:rsidR="00F14DBE">
        <w:t xml:space="preserve">develop and </w:t>
      </w:r>
      <w:r w:rsidR="00D20462">
        <w:t xml:space="preserve">advance national consistent supported decision-making </w:t>
      </w:r>
      <w:r w:rsidR="001920C7">
        <w:t>principles</w:t>
      </w:r>
      <w:r w:rsidR="00165E38">
        <w:t xml:space="preserve"> centred </w:t>
      </w:r>
      <w:r w:rsidR="00CD41D5">
        <w:t xml:space="preserve">on </w:t>
      </w:r>
      <w:r w:rsidR="00165E38">
        <w:t>‘will, preferences and rights</w:t>
      </w:r>
      <w:r w:rsidR="00270DD9">
        <w:t>.</w:t>
      </w:r>
      <w:r w:rsidR="00165E38">
        <w:t>’</w:t>
      </w:r>
      <w:r w:rsidR="009378E0" w:rsidRPr="00212F54">
        <w:rPr>
          <w:rStyle w:val="EndnoteReference"/>
          <w:rFonts w:eastAsia="Arial" w:cs="Arial"/>
          <w:b w:val="0"/>
          <w:bCs/>
        </w:rPr>
        <w:endnoteReference w:id="17"/>
      </w:r>
      <w:r w:rsidR="00D20462" w:rsidRPr="00212F54">
        <w:rPr>
          <w:b/>
          <w:bCs/>
        </w:rPr>
        <w:t xml:space="preserve"> </w:t>
      </w:r>
      <w:r w:rsidR="00010247" w:rsidRPr="00212F54">
        <w:rPr>
          <w:b/>
          <w:bCs/>
        </w:rPr>
        <w:t xml:space="preserve"> </w:t>
      </w:r>
    </w:p>
    <w:p w14:paraId="2E295D7A" w14:textId="43D5FE92" w:rsidR="00A6659D" w:rsidRPr="00010247" w:rsidRDefault="00010247" w:rsidP="00B12BFE">
      <w:pPr>
        <w:pStyle w:val="BodyText"/>
        <w:spacing w:line="480" w:lineRule="auto"/>
      </w:pPr>
      <w:r w:rsidRPr="00010247">
        <w:lastRenderedPageBreak/>
        <w:t xml:space="preserve">This principled approach is also consistent with the work of the NSW </w:t>
      </w:r>
      <w:r w:rsidR="00D20462">
        <w:t>Ageing and Disability Commission</w:t>
      </w:r>
      <w:r w:rsidRPr="00010247">
        <w:t>, for example in its work around</w:t>
      </w:r>
      <w:r w:rsidR="00D20462">
        <w:t xml:space="preserve"> reforming</w:t>
      </w:r>
      <w:r w:rsidRPr="00010247">
        <w:t xml:space="preserve"> enduring powers of attorney.</w:t>
      </w:r>
    </w:p>
    <w:p w14:paraId="22D142D0" w14:textId="6D968F55" w:rsidR="00010247" w:rsidRDefault="000F22E7" w:rsidP="00B12BFE">
      <w:pPr>
        <w:pStyle w:val="BodyText"/>
        <w:spacing w:line="480" w:lineRule="auto"/>
      </w:pPr>
      <w:r>
        <w:t xml:space="preserve">PWDA has called for a </w:t>
      </w:r>
      <w:r w:rsidRPr="00115C59">
        <w:rPr>
          <w:b/>
          <w:bCs/>
        </w:rPr>
        <w:t>national supported decision-making framework</w:t>
      </w:r>
      <w:r>
        <w:t xml:space="preserve"> </w:t>
      </w:r>
      <w:r w:rsidR="00072C75">
        <w:t>to give effect to</w:t>
      </w:r>
      <w:r w:rsidR="00C53E38">
        <w:t xml:space="preserve"> the rights articulated in</w:t>
      </w:r>
      <w:r>
        <w:t xml:space="preserve"> CRPD article 12.</w:t>
      </w:r>
      <w:r w:rsidRPr="00212F54">
        <w:rPr>
          <w:rStyle w:val="EndnoteReference"/>
          <w:rFonts w:eastAsia="Arial" w:cs="Arial"/>
          <w:b w:val="0"/>
          <w:bCs/>
        </w:rPr>
        <w:endnoteReference w:id="18"/>
      </w:r>
      <w:r>
        <w:t xml:space="preserve"> </w:t>
      </w:r>
      <w:r w:rsidR="00925E23" w:rsidRPr="00010247">
        <w:t xml:space="preserve">PWDA supports </w:t>
      </w:r>
      <w:r w:rsidR="00442C34">
        <w:t xml:space="preserve">in principle </w:t>
      </w:r>
      <w:r w:rsidR="00925E23" w:rsidRPr="00010247">
        <w:t xml:space="preserve">the implementation of DRC recommendations </w:t>
      </w:r>
      <w:r w:rsidR="00D94E0C" w:rsidRPr="00010247">
        <w:t>6.5, 6.6 (</w:t>
      </w:r>
      <w:r w:rsidR="00F14316">
        <w:t xml:space="preserve">national </w:t>
      </w:r>
      <w:r w:rsidR="003A1DC1">
        <w:t>s</w:t>
      </w:r>
      <w:r>
        <w:t xml:space="preserve">upported decision-making </w:t>
      </w:r>
      <w:r w:rsidR="00D94E0C" w:rsidRPr="00010247">
        <w:t>principles), 6.7 (</w:t>
      </w:r>
      <w:r w:rsidR="003A1DC1">
        <w:t>a presumption of d</w:t>
      </w:r>
      <w:r w:rsidR="00D94E0C" w:rsidRPr="00010247">
        <w:t>ecision making ability), 6.8</w:t>
      </w:r>
      <w:r w:rsidR="003A1DC1">
        <w:t xml:space="preserve"> (legislation to recognise formal supporters)</w:t>
      </w:r>
      <w:r w:rsidR="00D94E0C" w:rsidRPr="00010247">
        <w:t>, 6.9 (</w:t>
      </w:r>
      <w:r w:rsidR="003A1DC1">
        <w:t xml:space="preserve">the process to ensure </w:t>
      </w:r>
      <w:r w:rsidR="00D94E0C" w:rsidRPr="00010247">
        <w:t xml:space="preserve">representatives as a last resort), </w:t>
      </w:r>
      <w:r w:rsidR="00925E23" w:rsidRPr="00010247">
        <w:t xml:space="preserve">and </w:t>
      </w:r>
      <w:r w:rsidR="00D94E0C" w:rsidRPr="00010247">
        <w:t>6.10 (decision-making process</w:t>
      </w:r>
      <w:r w:rsidR="003A1DC1">
        <w:t xml:space="preserve"> to reflect will and preferences and develop decision-making ability</w:t>
      </w:r>
      <w:r w:rsidR="00D94E0C" w:rsidRPr="00010247">
        <w:t>)</w:t>
      </w:r>
      <w:r>
        <w:t xml:space="preserve"> as </w:t>
      </w:r>
      <w:r w:rsidR="00442C34">
        <w:t>a</w:t>
      </w:r>
      <w:r>
        <w:t xml:space="preserve"> basis for reforming guardianship</w:t>
      </w:r>
      <w:r w:rsidR="00442C34">
        <w:t xml:space="preserve">, </w:t>
      </w:r>
      <w:r w:rsidR="00CF182F">
        <w:t xml:space="preserve">financial </w:t>
      </w:r>
      <w:r>
        <w:t>administration</w:t>
      </w:r>
      <w:r w:rsidR="00442C34">
        <w:t xml:space="preserve">, </w:t>
      </w:r>
      <w:r w:rsidR="00CF182F">
        <w:t xml:space="preserve">and relevant </w:t>
      </w:r>
      <w:r w:rsidR="00442C34">
        <w:t xml:space="preserve">health, mental health and restrictive practices </w:t>
      </w:r>
      <w:r>
        <w:t>legislation in NSW.</w:t>
      </w:r>
    </w:p>
    <w:p w14:paraId="7E14045D" w14:textId="0D0BE999" w:rsidR="00010247" w:rsidRDefault="00925E23" w:rsidP="00B12BFE">
      <w:pPr>
        <w:pStyle w:val="BodyText"/>
        <w:spacing w:line="480" w:lineRule="auto"/>
      </w:pPr>
      <w:r w:rsidRPr="00010247">
        <w:t>PWDA is concerned that</w:t>
      </w:r>
      <w:r w:rsidR="007E1D12">
        <w:t xml:space="preserve"> there has been little movement in NSW on the </w:t>
      </w:r>
      <w:r w:rsidR="00F14316">
        <w:t>advance</w:t>
      </w:r>
      <w:r w:rsidR="007E1D12">
        <w:t xml:space="preserve">ment of </w:t>
      </w:r>
      <w:r w:rsidR="00F14316" w:rsidRPr="00C263BB">
        <w:rPr>
          <w:i/>
          <w:iCs/>
        </w:rPr>
        <w:t>legislative</w:t>
      </w:r>
      <w:r w:rsidR="00F14316">
        <w:t xml:space="preserve"> reform </w:t>
      </w:r>
      <w:r w:rsidR="009831E8">
        <w:t xml:space="preserve">across relevant settings </w:t>
      </w:r>
      <w:r w:rsidR="00F14316">
        <w:t xml:space="preserve">in line with the </w:t>
      </w:r>
      <w:r w:rsidR="00363A9F">
        <w:t>DRC</w:t>
      </w:r>
      <w:r w:rsidR="00F14316">
        <w:t xml:space="preserve"> recommendations</w:t>
      </w:r>
      <w:r w:rsidR="001C4BD6">
        <w:t xml:space="preserve"> (and indeed previous recommendations made by the </w:t>
      </w:r>
      <w:r w:rsidR="00CB09DD">
        <w:t>ALRC</w:t>
      </w:r>
      <w:r w:rsidR="001C4BD6">
        <w:t xml:space="preserve"> and NSW Law Reform Commission for example)</w:t>
      </w:r>
      <w:r w:rsidR="00F14316">
        <w:t>.</w:t>
      </w:r>
      <w:r w:rsidR="00F14316" w:rsidRPr="00212F54">
        <w:rPr>
          <w:rStyle w:val="EndnoteReference"/>
          <w:rFonts w:eastAsia="Arial" w:cs="Arial"/>
          <w:b w:val="0"/>
          <w:bCs/>
        </w:rPr>
        <w:endnoteReference w:id="19"/>
      </w:r>
      <w:r w:rsidR="00F14316">
        <w:t xml:space="preserve"> There is no roadmap for change. </w:t>
      </w:r>
      <w:r w:rsidR="00C5708A">
        <w:t xml:space="preserve">It remains that in NSW the law does not require a person to be provided with </w:t>
      </w:r>
      <w:r w:rsidR="001C4BD6">
        <w:t>support to</w:t>
      </w:r>
      <w:r w:rsidR="00C5708A">
        <w:t xml:space="preserve"> exercise legal capacity, and their ‘will and preferences’ do not </w:t>
      </w:r>
      <w:r w:rsidR="00B23D2F">
        <w:t xml:space="preserve">legally </w:t>
      </w:r>
      <w:r w:rsidR="00C5708A">
        <w:t>need to be accorded</w:t>
      </w:r>
      <w:r w:rsidR="00442C34">
        <w:t xml:space="preserve"> </w:t>
      </w:r>
      <w:r w:rsidR="00C5708A">
        <w:t>any special weight in a decision being made.</w:t>
      </w:r>
      <w:r w:rsidR="00C5708A" w:rsidRPr="00212F54">
        <w:rPr>
          <w:rStyle w:val="EndnoteReference"/>
          <w:rFonts w:eastAsia="Arial" w:cs="Arial"/>
          <w:b w:val="0"/>
          <w:bCs/>
        </w:rPr>
        <w:endnoteReference w:id="20"/>
      </w:r>
    </w:p>
    <w:p w14:paraId="3053C8C5" w14:textId="3D45D495" w:rsidR="00BD55D1" w:rsidRPr="00BD55D1" w:rsidRDefault="00010247" w:rsidP="00B12BFE">
      <w:pPr>
        <w:pStyle w:val="BodyText"/>
        <w:spacing w:line="480" w:lineRule="auto"/>
      </w:pPr>
      <w:r w:rsidRPr="00010247">
        <w:t xml:space="preserve">Relatedly, </w:t>
      </w:r>
      <w:r w:rsidR="009943EF" w:rsidRPr="00010247">
        <w:t xml:space="preserve">PWDA notes </w:t>
      </w:r>
      <w:r w:rsidR="00C5708A">
        <w:t xml:space="preserve">the concerns </w:t>
      </w:r>
      <w:r w:rsidR="001C4BD6">
        <w:t xml:space="preserve">of the emergence of a possible ‘disjunct’ between policy and law </w:t>
      </w:r>
      <w:r w:rsidR="00C5708A">
        <w:t>identified by Professor Cameron Stewart</w:t>
      </w:r>
      <w:r w:rsidR="001C4BD6">
        <w:t>.</w:t>
      </w:r>
      <w:r w:rsidR="00F43346" w:rsidRPr="00212F54">
        <w:rPr>
          <w:rStyle w:val="EndnoteReference"/>
          <w:rFonts w:eastAsia="Arial" w:cs="Arial"/>
          <w:b w:val="0"/>
          <w:bCs/>
        </w:rPr>
        <w:endnoteReference w:id="21"/>
      </w:r>
      <w:r w:rsidR="006D0BEB">
        <w:t xml:space="preserve"> T</w:t>
      </w:r>
      <w:r w:rsidR="009943EF" w:rsidRPr="00010247">
        <w:t xml:space="preserve">here are increasing </w:t>
      </w:r>
      <w:r w:rsidR="00BE355B">
        <w:t xml:space="preserve">positive </w:t>
      </w:r>
      <w:r w:rsidR="009943EF" w:rsidRPr="00010247">
        <w:t>examples of private corporations and government agencies</w:t>
      </w:r>
      <w:r w:rsidR="00A75DFA">
        <w:t xml:space="preserve">, including </w:t>
      </w:r>
      <w:r w:rsidR="00B6728F">
        <w:t>C</w:t>
      </w:r>
      <w:r w:rsidR="00A75DFA">
        <w:t>ourts and Tribunals</w:t>
      </w:r>
      <w:r w:rsidR="009943EF" w:rsidRPr="00010247">
        <w:t xml:space="preserve"> </w:t>
      </w:r>
      <w:r w:rsidR="00695585">
        <w:t>developing and ‘implementing’</w:t>
      </w:r>
      <w:r w:rsidR="009943EF" w:rsidRPr="00010247">
        <w:t xml:space="preserve"> </w:t>
      </w:r>
      <w:r w:rsidR="00AF12A1">
        <w:t>SDM</w:t>
      </w:r>
      <w:r w:rsidR="009943EF" w:rsidRPr="00010247">
        <w:t xml:space="preserve"> policies and procedures</w:t>
      </w:r>
      <w:r w:rsidR="00BE355B">
        <w:t xml:space="preserve"> acknowledging a person’s ‘will, preferences and rights’</w:t>
      </w:r>
      <w:r w:rsidR="009943EF" w:rsidRPr="00010247">
        <w:t xml:space="preserve"> </w:t>
      </w:r>
      <w:r w:rsidR="00DD02F4">
        <w:t xml:space="preserve">as important, </w:t>
      </w:r>
      <w:r w:rsidR="00A75DFA">
        <w:t xml:space="preserve">and </w:t>
      </w:r>
      <w:r w:rsidR="00BE355B">
        <w:t xml:space="preserve">seeking to </w:t>
      </w:r>
      <w:r w:rsidR="00A75DFA">
        <w:t>maximis</w:t>
      </w:r>
      <w:r w:rsidR="00BE355B">
        <w:t>e the</w:t>
      </w:r>
      <w:r w:rsidR="00A75DFA">
        <w:t xml:space="preserve"> participation</w:t>
      </w:r>
      <w:r w:rsidR="00BE355B">
        <w:t xml:space="preserve"> of a person with disability</w:t>
      </w:r>
      <w:r w:rsidR="00A75DFA">
        <w:t xml:space="preserve"> in processes</w:t>
      </w:r>
      <w:r w:rsidR="00DD02F4">
        <w:t>. However, as noted, t</w:t>
      </w:r>
      <w:r w:rsidR="009943EF" w:rsidRPr="00010247">
        <w:t>here remains no legal basis for</w:t>
      </w:r>
      <w:r w:rsidR="00695585">
        <w:t>,</w:t>
      </w:r>
      <w:r w:rsidR="009943EF" w:rsidRPr="00010247">
        <w:t xml:space="preserve"> and recognition of</w:t>
      </w:r>
      <w:r w:rsidR="00695585">
        <w:t>,</w:t>
      </w:r>
      <w:r w:rsidR="009943EF" w:rsidRPr="00010247">
        <w:t xml:space="preserve"> </w:t>
      </w:r>
      <w:r w:rsidR="00AF12A1">
        <w:t>SDM</w:t>
      </w:r>
      <w:r w:rsidR="009943EF" w:rsidRPr="00010247">
        <w:t xml:space="preserve"> </w:t>
      </w:r>
      <w:r w:rsidR="00695585">
        <w:t xml:space="preserve">and </w:t>
      </w:r>
      <w:r w:rsidR="00BE355B">
        <w:t xml:space="preserve">SDM </w:t>
      </w:r>
      <w:r w:rsidR="00695585">
        <w:t xml:space="preserve">supporters </w:t>
      </w:r>
      <w:r w:rsidR="009943EF" w:rsidRPr="00010247">
        <w:t xml:space="preserve">in NSW. </w:t>
      </w:r>
      <w:r w:rsidR="00695585">
        <w:t xml:space="preserve"> </w:t>
      </w:r>
      <w:r w:rsidR="001C4BD6">
        <w:t xml:space="preserve">Professor Stewart </w:t>
      </w:r>
      <w:r w:rsidR="009943EF" w:rsidRPr="00010247">
        <w:t>question</w:t>
      </w:r>
      <w:r w:rsidR="004807C5">
        <w:t>s</w:t>
      </w:r>
      <w:r w:rsidR="009943EF" w:rsidRPr="00010247">
        <w:t xml:space="preserve"> whether someone acting in accordance with CRPD </w:t>
      </w:r>
      <w:r w:rsidR="00695585" w:rsidRPr="00010247">
        <w:t>compl</w:t>
      </w:r>
      <w:r w:rsidR="00695585">
        <w:t xml:space="preserve">iant </w:t>
      </w:r>
      <w:r w:rsidR="009943EF" w:rsidRPr="00010247">
        <w:t xml:space="preserve">policies and </w:t>
      </w:r>
      <w:r w:rsidR="009943EF" w:rsidRPr="00010247">
        <w:lastRenderedPageBreak/>
        <w:t>procedures may in fact not be complying with the law</w:t>
      </w:r>
      <w:r w:rsidR="00695585">
        <w:t xml:space="preserve"> as it relates to the exercise of their decision making.</w:t>
      </w:r>
      <w:r w:rsidR="00B72F85">
        <w:t xml:space="preserve"> Agencies</w:t>
      </w:r>
      <w:r w:rsidR="00B6728F">
        <w:t xml:space="preserve">, including </w:t>
      </w:r>
      <w:r w:rsidR="00BB2E4A">
        <w:t xml:space="preserve">Public Trustees and Guardians, </w:t>
      </w:r>
      <w:r w:rsidR="00B6728F">
        <w:t>Courts and Tribunals</w:t>
      </w:r>
      <w:r w:rsidR="00B72F85">
        <w:t xml:space="preserve"> recognise the value of SDM and need </w:t>
      </w:r>
      <w:r w:rsidR="00103DD7">
        <w:t>the legislative</w:t>
      </w:r>
      <w:r w:rsidR="00120B3A">
        <w:t>,</w:t>
      </w:r>
      <w:r w:rsidR="00103DD7">
        <w:t xml:space="preserve"> financial</w:t>
      </w:r>
      <w:r w:rsidR="00B72F85">
        <w:t xml:space="preserve"> </w:t>
      </w:r>
      <w:r w:rsidR="00120B3A">
        <w:t xml:space="preserve">and professional </w:t>
      </w:r>
      <w:r w:rsidR="00B72F85">
        <w:t>support to get it right. Consistency between law and policy is urgently needed.</w:t>
      </w:r>
    </w:p>
    <w:p w14:paraId="31EFD66C" w14:textId="2994BE67" w:rsidR="00FD6C06" w:rsidRDefault="00FD6C06" w:rsidP="00A154C0">
      <w:pPr>
        <w:pStyle w:val="Heading3"/>
        <w:spacing w:line="480" w:lineRule="auto"/>
        <w:rPr>
          <w:rFonts w:eastAsia="Arial"/>
        </w:rPr>
      </w:pPr>
      <w:r>
        <w:rPr>
          <w:rFonts w:eastAsia="Arial"/>
        </w:rPr>
        <w:t xml:space="preserve">The </w:t>
      </w:r>
      <w:r w:rsidR="00577EFC">
        <w:rPr>
          <w:rFonts w:eastAsia="Arial"/>
        </w:rPr>
        <w:t>role of the Ageing and Disability Commission</w:t>
      </w:r>
    </w:p>
    <w:p w14:paraId="67885CDA" w14:textId="434728AB" w:rsidR="00331E49" w:rsidRDefault="00331E49" w:rsidP="00B12BFE">
      <w:pPr>
        <w:pStyle w:val="BodyText"/>
        <w:spacing w:line="480" w:lineRule="auto"/>
      </w:pPr>
      <w:r>
        <w:t xml:space="preserve">The NSW Ageing and Disability Commission </w:t>
      </w:r>
      <w:r w:rsidR="00B72F85">
        <w:t xml:space="preserve">(ADC) </w:t>
      </w:r>
      <w:r>
        <w:t xml:space="preserve">plays a vital role in </w:t>
      </w:r>
      <w:r w:rsidR="00A7658B">
        <w:t xml:space="preserve">promoting, </w:t>
      </w:r>
      <w:r>
        <w:t xml:space="preserve">supporting and protecting </w:t>
      </w:r>
      <w:r w:rsidR="00A7658B">
        <w:t xml:space="preserve">the rights of </w:t>
      </w:r>
      <w:r>
        <w:t xml:space="preserve">some of the most vulnerable members of the community. </w:t>
      </w:r>
      <w:r w:rsidR="005E0089">
        <w:t xml:space="preserve">It is a crucial </w:t>
      </w:r>
      <w:r w:rsidR="00FD30EA">
        <w:t>hub</w:t>
      </w:r>
      <w:r w:rsidR="005E0089">
        <w:t xml:space="preserve"> of </w:t>
      </w:r>
      <w:r w:rsidR="00271A99">
        <w:t xml:space="preserve">resources </w:t>
      </w:r>
      <w:r w:rsidR="005E0089">
        <w:t xml:space="preserve">and advice for </w:t>
      </w:r>
      <w:r w:rsidR="00B72F85">
        <w:t xml:space="preserve">government, </w:t>
      </w:r>
      <w:r w:rsidR="005E0089">
        <w:t>professionals, individuals, families and carers,</w:t>
      </w:r>
      <w:r w:rsidR="00103DD7">
        <w:t xml:space="preserve"> supporters,</w:t>
      </w:r>
      <w:r w:rsidR="005E0089">
        <w:t xml:space="preserve"> and service providers.</w:t>
      </w:r>
      <w:r w:rsidR="00D62744">
        <w:t xml:space="preserve"> It benefits from being seen by many in the </w:t>
      </w:r>
      <w:r w:rsidR="00904D06">
        <w:t xml:space="preserve">disability </w:t>
      </w:r>
      <w:r w:rsidR="00D62744">
        <w:t>community as independent</w:t>
      </w:r>
      <w:r w:rsidR="003F0D88">
        <w:t xml:space="preserve">. </w:t>
      </w:r>
    </w:p>
    <w:p w14:paraId="02534A7A" w14:textId="1256344F" w:rsidR="00331E49" w:rsidRDefault="00AE0F6A" w:rsidP="00B12BFE">
      <w:pPr>
        <w:pStyle w:val="BodyText"/>
        <w:spacing w:line="480" w:lineRule="auto"/>
      </w:pPr>
      <w:r w:rsidRPr="00A54DAB">
        <w:t xml:space="preserve">The </w:t>
      </w:r>
      <w:r w:rsidR="00B72F85">
        <w:t>ADC</w:t>
      </w:r>
      <w:r w:rsidRPr="00A54DAB">
        <w:t xml:space="preserve"> has identified that </w:t>
      </w:r>
      <w:r w:rsidR="00AF12A1">
        <w:t>SDM</w:t>
      </w:r>
      <w:r w:rsidRPr="00A54DAB">
        <w:t xml:space="preserve"> for adults with disability and older people who need support is a priority for them.</w:t>
      </w:r>
      <w:r w:rsidR="00F43346" w:rsidRPr="00212F54">
        <w:rPr>
          <w:rStyle w:val="EndnoteReference"/>
          <w:rFonts w:eastAsia="Arial" w:cs="Arial"/>
          <w:b w:val="0"/>
          <w:bCs/>
        </w:rPr>
        <w:endnoteReference w:id="22"/>
      </w:r>
      <w:r w:rsidR="003B73D6">
        <w:t xml:space="preserve"> Recent research notes that ‘[r]</w:t>
      </w:r>
      <w:proofErr w:type="spellStart"/>
      <w:r w:rsidR="003B73D6" w:rsidRPr="003B73D6">
        <w:t>espect</w:t>
      </w:r>
      <w:proofErr w:type="spellEnd"/>
      <w:r w:rsidR="003B73D6" w:rsidRPr="003B73D6">
        <w:t xml:space="preserve"> for the autonomy of older people and adults with disability to make decisions about their own lives is fundamental at the ADC</w:t>
      </w:r>
      <w:r w:rsidR="003B73D6">
        <w:t>.’</w:t>
      </w:r>
      <w:r w:rsidR="003B73D6" w:rsidRPr="00212F54">
        <w:rPr>
          <w:rStyle w:val="EndnoteReference"/>
          <w:rFonts w:eastAsia="Arial" w:cs="Arial"/>
          <w:b w:val="0"/>
          <w:bCs/>
        </w:rPr>
        <w:endnoteReference w:id="23"/>
      </w:r>
    </w:p>
    <w:p w14:paraId="001675B0" w14:textId="3B093186" w:rsidR="00DA44EF" w:rsidRDefault="00D03AB3" w:rsidP="00B12BFE">
      <w:pPr>
        <w:pStyle w:val="BodyText"/>
        <w:spacing w:line="480" w:lineRule="auto"/>
      </w:pPr>
      <w:r w:rsidRPr="00A54DAB">
        <w:t>The ADC recognises that</w:t>
      </w:r>
      <w:r w:rsidR="00072E87">
        <w:t xml:space="preserve"> </w:t>
      </w:r>
      <w:r w:rsidR="00AF12A1">
        <w:t>SDM</w:t>
      </w:r>
      <w:r w:rsidR="00072E87">
        <w:t xml:space="preserve"> promotes autonomy</w:t>
      </w:r>
      <w:r w:rsidR="00AF12A1">
        <w:t xml:space="preserve"> and decision-making </w:t>
      </w:r>
      <w:r w:rsidR="00103DD7">
        <w:t>ability and</w:t>
      </w:r>
      <w:r w:rsidR="00072E87">
        <w:t xml:space="preserve"> is thus</w:t>
      </w:r>
      <w:r w:rsidRPr="00A54DAB">
        <w:t xml:space="preserve"> an important </w:t>
      </w:r>
      <w:r w:rsidR="00072E87">
        <w:t>safeguarding tool.</w:t>
      </w:r>
      <w:r w:rsidRPr="00A54DAB">
        <w:t xml:space="preserve"> They have identified that the risk of abuse and neglect can increase during the transition from childhood to adulthood</w:t>
      </w:r>
      <w:r w:rsidR="00072E87">
        <w:t xml:space="preserve"> for example</w:t>
      </w:r>
      <w:r w:rsidRPr="00A54DAB">
        <w:t>, with transition planning with young adults to enable greater autonomy, choice, and control, with appropriate support by safeguards</w:t>
      </w:r>
      <w:r w:rsidR="00072E87">
        <w:t xml:space="preserve"> often inadequate</w:t>
      </w:r>
      <w:r w:rsidRPr="00A54DAB">
        <w:t>.</w:t>
      </w:r>
      <w:r w:rsidR="00D90669" w:rsidRPr="00212F54">
        <w:rPr>
          <w:rStyle w:val="EndnoteReference"/>
          <w:rFonts w:eastAsia="Arial" w:cs="Arial"/>
          <w:b w:val="0"/>
          <w:bCs/>
        </w:rPr>
        <w:endnoteReference w:id="24"/>
      </w:r>
      <w:r w:rsidR="00D90669" w:rsidRPr="00A54DAB">
        <w:t xml:space="preserve"> </w:t>
      </w:r>
      <w:r w:rsidR="00CB09DD">
        <w:t>SDM</w:t>
      </w:r>
      <w:r w:rsidRPr="00A54DAB">
        <w:t xml:space="preserve"> is one tool that</w:t>
      </w:r>
      <w:r w:rsidR="00AF12A1">
        <w:t xml:space="preserve"> can</w:t>
      </w:r>
      <w:r w:rsidRPr="00A54DAB">
        <w:t>, when provided, assist a young person to better understand and express their will, preferences and</w:t>
      </w:r>
      <w:r w:rsidR="00A54DAB" w:rsidRPr="00A54DAB">
        <w:t xml:space="preserve"> rights. In providing opportunities for self</w:t>
      </w:r>
      <w:r w:rsidR="00DA44EF">
        <w:t>-</w:t>
      </w:r>
      <w:r w:rsidR="00A54DAB" w:rsidRPr="00A54DAB">
        <w:t>determination</w:t>
      </w:r>
      <w:r w:rsidR="00DA44EF">
        <w:t xml:space="preserve">, </w:t>
      </w:r>
      <w:r w:rsidR="00AF12A1">
        <w:t>SDM</w:t>
      </w:r>
      <w:r w:rsidR="00DA44EF">
        <w:t xml:space="preserve"> </w:t>
      </w:r>
      <w:r w:rsidR="00A54DAB" w:rsidRPr="00A54DAB">
        <w:t>can assist in mitigating incidents of abuse and neglect</w:t>
      </w:r>
      <w:r w:rsidR="00DA44EF">
        <w:t xml:space="preserve"> </w:t>
      </w:r>
      <w:r w:rsidR="00E16DFA">
        <w:t>of people</w:t>
      </w:r>
      <w:r w:rsidR="00DA44EF">
        <w:t xml:space="preserve"> with disability as they transition into adulthood and </w:t>
      </w:r>
      <w:r w:rsidR="00103DD7">
        <w:t>continue</w:t>
      </w:r>
      <w:r w:rsidR="00DA44EF">
        <w:t xml:space="preserve"> their life path.</w:t>
      </w:r>
    </w:p>
    <w:p w14:paraId="7052085B" w14:textId="27250DC9" w:rsidR="008B6BE8" w:rsidRDefault="00DA44EF" w:rsidP="00B12BFE">
      <w:pPr>
        <w:pStyle w:val="BodyText"/>
        <w:spacing w:line="480" w:lineRule="auto"/>
      </w:pPr>
      <w:r>
        <w:lastRenderedPageBreak/>
        <w:t>The</w:t>
      </w:r>
      <w:r w:rsidR="00AC29E3">
        <w:t xml:space="preserve"> unique</w:t>
      </w:r>
      <w:r>
        <w:t xml:space="preserve"> experience of the ADC in applying rights</w:t>
      </w:r>
      <w:r w:rsidR="00FC5BD4">
        <w:t>-</w:t>
      </w:r>
      <w:r>
        <w:t xml:space="preserve">based </w:t>
      </w:r>
      <w:r w:rsidR="00FC5BD4">
        <w:t xml:space="preserve">solutions to </w:t>
      </w:r>
      <w:r w:rsidR="00C40D3B">
        <w:t xml:space="preserve">addressing and </w:t>
      </w:r>
      <w:r w:rsidR="00FC5BD4">
        <w:t xml:space="preserve">preventing abuse, neglect and violence towards people with disability and older people is </w:t>
      </w:r>
      <w:r w:rsidR="005D6F74">
        <w:t>acknowledged</w:t>
      </w:r>
      <w:r w:rsidR="00EF7DEF">
        <w:t xml:space="preserve">. </w:t>
      </w:r>
      <w:r w:rsidR="00AC29E3">
        <w:t>Recent research</w:t>
      </w:r>
      <w:r w:rsidR="00FC5BD4">
        <w:t xml:space="preserve"> </w:t>
      </w:r>
      <w:r w:rsidR="005D6F74">
        <w:t>notes</w:t>
      </w:r>
      <w:r w:rsidR="00FC5BD4">
        <w:t xml:space="preserve"> their recognition of the tension inherent in </w:t>
      </w:r>
      <w:r w:rsidR="003419D7">
        <w:t xml:space="preserve">a right to </w:t>
      </w:r>
      <w:r w:rsidR="00FC5BD4">
        <w:t>autonomy</w:t>
      </w:r>
      <w:r w:rsidR="003419D7">
        <w:t>,</w:t>
      </w:r>
      <w:r w:rsidR="00FC5BD4">
        <w:t xml:space="preserve"> and </w:t>
      </w:r>
      <w:r w:rsidR="003419D7">
        <w:t xml:space="preserve">a person’s </w:t>
      </w:r>
      <w:r w:rsidR="00FC5BD4">
        <w:t>decision-making ability.</w:t>
      </w:r>
      <w:r w:rsidR="008B6BE8" w:rsidRPr="00212F54">
        <w:rPr>
          <w:rStyle w:val="EndnoteReference"/>
          <w:rFonts w:eastAsia="Arial" w:cs="Arial"/>
          <w:b w:val="0"/>
          <w:bCs/>
        </w:rPr>
        <w:endnoteReference w:id="25"/>
      </w:r>
      <w:r w:rsidR="00FC5BD4">
        <w:t xml:space="preserve"> </w:t>
      </w:r>
      <w:r w:rsidR="00322458">
        <w:t>This research identifies</w:t>
      </w:r>
      <w:r w:rsidR="00C40D3B">
        <w:t xml:space="preserve"> that the ADC has particular skills and experience in navigating cases where a person appears to be making decisions detrimental to their own wellbeing.</w:t>
      </w:r>
      <w:r w:rsidR="002C6867" w:rsidRPr="00212F54">
        <w:rPr>
          <w:rStyle w:val="EndnoteReference"/>
          <w:b w:val="0"/>
          <w:bCs/>
        </w:rPr>
        <w:endnoteReference w:id="26"/>
      </w:r>
      <w:r w:rsidR="00C40D3B">
        <w:t xml:space="preserve"> The ADC is recognised as bringing a ‘sensitive and careful’ approach to, for example, balancing a person’s right to autonomy</w:t>
      </w:r>
      <w:r w:rsidR="002C6867">
        <w:t xml:space="preserve"> and making their own decisions, with the right to live free from abuse.</w:t>
      </w:r>
      <w:r w:rsidR="002C6867" w:rsidRPr="00212F54">
        <w:rPr>
          <w:rStyle w:val="EndnoteReference"/>
          <w:b w:val="0"/>
          <w:bCs/>
        </w:rPr>
        <w:endnoteReference w:id="27"/>
      </w:r>
    </w:p>
    <w:p w14:paraId="2AFFFFBA" w14:textId="47092D52" w:rsidR="00130497" w:rsidRDefault="006D28A5" w:rsidP="00B12BFE">
      <w:pPr>
        <w:pStyle w:val="BodyText"/>
        <w:spacing w:line="480" w:lineRule="auto"/>
      </w:pPr>
      <w:r>
        <w:t>The evidence is clear – SDM</w:t>
      </w:r>
      <w:r w:rsidR="00B72F85">
        <w:t xml:space="preserve"> empowers and</w:t>
      </w:r>
      <w:r>
        <w:t xml:space="preserve"> changes lives. It </w:t>
      </w:r>
      <w:r w:rsidR="004C5E0A">
        <w:t xml:space="preserve">builds identity, </w:t>
      </w:r>
      <w:r w:rsidR="00E87AEF">
        <w:t xml:space="preserve">trust, </w:t>
      </w:r>
      <w:r w:rsidR="004C5E0A">
        <w:t xml:space="preserve">gives confidence, </w:t>
      </w:r>
      <w:r w:rsidR="006E2A35">
        <w:t xml:space="preserve">and </w:t>
      </w:r>
      <w:r>
        <w:t xml:space="preserve">promotes </w:t>
      </w:r>
      <w:r w:rsidR="006E2A35">
        <w:t>inclusive</w:t>
      </w:r>
      <w:r>
        <w:t xml:space="preserve"> communit</w:t>
      </w:r>
      <w:r w:rsidR="006E2A35">
        <w:t>ies</w:t>
      </w:r>
      <w:r>
        <w:t xml:space="preserve">. </w:t>
      </w:r>
      <w:r w:rsidR="00331E49" w:rsidRPr="00A54DAB">
        <w:t xml:space="preserve">NSW needs a strong trusted source to provide </w:t>
      </w:r>
      <w:r w:rsidR="00DF1AFE">
        <w:t xml:space="preserve">specific </w:t>
      </w:r>
      <w:r w:rsidR="00331E49" w:rsidRPr="00A54DAB">
        <w:t xml:space="preserve">leadership </w:t>
      </w:r>
      <w:r w:rsidR="00497878">
        <w:t xml:space="preserve">and capacity building </w:t>
      </w:r>
      <w:r w:rsidR="00331E49" w:rsidRPr="00A54DAB">
        <w:t>on embedding supported decision-making throughout NSW policy, practice and</w:t>
      </w:r>
      <w:r w:rsidR="00331E49">
        <w:t xml:space="preserve"> legislative frameworks</w:t>
      </w:r>
      <w:r w:rsidR="00331E49" w:rsidRPr="00A54DAB">
        <w:t xml:space="preserve">. </w:t>
      </w:r>
      <w:r w:rsidR="002A6951">
        <w:t xml:space="preserve">The </w:t>
      </w:r>
      <w:r w:rsidR="006E2294">
        <w:t>ADC</w:t>
      </w:r>
      <w:r w:rsidR="00331E49">
        <w:t xml:space="preserve"> </w:t>
      </w:r>
      <w:r w:rsidR="00331E49" w:rsidRPr="00A54DAB">
        <w:t xml:space="preserve">is well placed to </w:t>
      </w:r>
      <w:r w:rsidR="00563A8B">
        <w:t>bring</w:t>
      </w:r>
      <w:r w:rsidR="006D3C39">
        <w:t xml:space="preserve"> </w:t>
      </w:r>
      <w:r w:rsidR="004E4AC0">
        <w:t>community</w:t>
      </w:r>
      <w:r w:rsidR="004D0FED">
        <w:t xml:space="preserve"> and sector</w:t>
      </w:r>
      <w:r w:rsidR="004E4AC0">
        <w:t xml:space="preserve"> stakeholders </w:t>
      </w:r>
      <w:r w:rsidR="006E2294">
        <w:t xml:space="preserve">together </w:t>
      </w:r>
      <w:r w:rsidR="004E4AC0">
        <w:t>in a co-design</w:t>
      </w:r>
      <w:r w:rsidR="00057255">
        <w:t xml:space="preserve"> process</w:t>
      </w:r>
      <w:r w:rsidR="007A3105">
        <w:t xml:space="preserve"> </w:t>
      </w:r>
      <w:r w:rsidR="00A154C0">
        <w:t xml:space="preserve">to </w:t>
      </w:r>
      <w:r w:rsidR="008F059E">
        <w:t xml:space="preserve">embed the lived experience of people with disability in </w:t>
      </w:r>
      <w:r w:rsidR="00986809">
        <w:t>change</w:t>
      </w:r>
      <w:r w:rsidR="00117BB2">
        <w:t>.</w:t>
      </w:r>
      <w:r w:rsidR="00331E49" w:rsidRPr="00A54DAB">
        <w:t xml:space="preserve"> </w:t>
      </w:r>
    </w:p>
    <w:p w14:paraId="7BDDB6BF" w14:textId="7FEC9D1D" w:rsidR="00765CE1" w:rsidRDefault="00DF1AFE" w:rsidP="00A154C0">
      <w:pPr>
        <w:pStyle w:val="BodyText"/>
        <w:spacing w:line="480" w:lineRule="auto"/>
      </w:pPr>
      <w:r>
        <w:t xml:space="preserve">Unfortunately, </w:t>
      </w:r>
      <w:r w:rsidR="00986809">
        <w:t xml:space="preserve">the ADC </w:t>
      </w:r>
      <w:r w:rsidR="000D0CE3">
        <w:t>reports ongoing</w:t>
      </w:r>
      <w:r w:rsidR="005C7A90">
        <w:t xml:space="preserve"> </w:t>
      </w:r>
      <w:r w:rsidR="000D0CE3">
        <w:t>budgetary constraints</w:t>
      </w:r>
      <w:r w:rsidR="005C4DA9">
        <w:t xml:space="preserve"> (though we note and acknowledge a small funding boost in 2025)</w:t>
      </w:r>
      <w:r w:rsidR="00E37015">
        <w:t>,</w:t>
      </w:r>
      <w:r w:rsidR="00772D84">
        <w:t xml:space="preserve"> and </w:t>
      </w:r>
      <w:r w:rsidR="000D0CE3">
        <w:t xml:space="preserve">we note a </w:t>
      </w:r>
      <w:r w:rsidR="00772D84">
        <w:t xml:space="preserve">potential ambiguity in </w:t>
      </w:r>
      <w:r w:rsidR="00642A08">
        <w:t xml:space="preserve">the </w:t>
      </w:r>
      <w:r w:rsidR="00772D84">
        <w:t>statutory functions</w:t>
      </w:r>
      <w:r w:rsidR="00642A08">
        <w:t xml:space="preserve"> of the Commissioner</w:t>
      </w:r>
      <w:r w:rsidR="00772D84">
        <w:t xml:space="preserve"> relating to advancing SDM</w:t>
      </w:r>
      <w:r w:rsidR="00BC4C3D">
        <w:t xml:space="preserve"> in NSW</w:t>
      </w:r>
      <w:r w:rsidR="00753CAC">
        <w:t xml:space="preserve">. </w:t>
      </w:r>
      <w:r w:rsidR="00E46560">
        <w:t>Both concerns should be reviewed by the</w:t>
      </w:r>
      <w:r w:rsidR="00ED2D16">
        <w:t xml:space="preserve"> NSW Parliament </w:t>
      </w:r>
      <w:r w:rsidR="00EF3149">
        <w:t xml:space="preserve">Committee on </w:t>
      </w:r>
      <w:r w:rsidR="00ED2D16">
        <w:t>Ageing and Disability for further action.</w:t>
      </w:r>
      <w:r w:rsidR="009D4403">
        <w:t xml:space="preserve"> </w:t>
      </w:r>
      <w:r w:rsidR="00603C89">
        <w:t>These concerns provide the basis for our recommendations below.</w:t>
      </w:r>
    </w:p>
    <w:p w14:paraId="009A35E7" w14:textId="77777777" w:rsidR="00AA6AAE" w:rsidRDefault="00AA6AAE" w:rsidP="00A154C0">
      <w:pPr>
        <w:pStyle w:val="BodyText"/>
        <w:spacing w:line="480" w:lineRule="auto"/>
      </w:pPr>
    </w:p>
    <w:p w14:paraId="7FA08624" w14:textId="77777777" w:rsidR="00AA6AAE" w:rsidRDefault="00AA6AAE" w:rsidP="00A154C0">
      <w:pPr>
        <w:pStyle w:val="BodyText"/>
        <w:spacing w:line="480" w:lineRule="auto"/>
      </w:pPr>
    </w:p>
    <w:p w14:paraId="68CFF277" w14:textId="598E4942" w:rsidR="00710DB5" w:rsidRDefault="00710DB5" w:rsidP="00B12BFE">
      <w:pPr>
        <w:pStyle w:val="Heading3"/>
        <w:rPr>
          <w:rFonts w:eastAsia="Arial"/>
        </w:rPr>
      </w:pPr>
      <w:r>
        <w:lastRenderedPageBreak/>
        <w:t>PWDA recommendations</w:t>
      </w:r>
    </w:p>
    <w:p w14:paraId="68D0B6BB" w14:textId="2C14DB8C" w:rsidR="00710DB5" w:rsidRDefault="00710DB5" w:rsidP="00B12BFE">
      <w:pPr>
        <w:pStyle w:val="Heading5"/>
        <w:pBdr>
          <w:top w:val="single" w:sz="4" w:space="1" w:color="auto"/>
          <w:left w:val="single" w:sz="4" w:space="4" w:color="auto"/>
          <w:bottom w:val="single" w:sz="4" w:space="1" w:color="auto"/>
          <w:right w:val="single" w:sz="4" w:space="4" w:color="auto"/>
        </w:pBdr>
        <w:rPr>
          <w:rFonts w:eastAsia="Arial"/>
        </w:rPr>
      </w:pPr>
      <w:r>
        <w:t>Recommendation 1</w:t>
      </w:r>
    </w:p>
    <w:p w14:paraId="1F445827" w14:textId="69940860" w:rsidR="007767A1" w:rsidRDefault="00710DB5" w:rsidP="00B12BFE">
      <w:pPr>
        <w:pStyle w:val="BodyText"/>
        <w:pBdr>
          <w:top w:val="single" w:sz="4" w:space="1" w:color="auto"/>
          <w:left w:val="single" w:sz="4" w:space="4" w:color="auto"/>
          <w:bottom w:val="single" w:sz="4" w:space="1" w:color="auto"/>
          <w:right w:val="single" w:sz="4" w:space="4" w:color="auto"/>
        </w:pBdr>
        <w:spacing w:line="480" w:lineRule="auto"/>
      </w:pPr>
      <w:r>
        <w:t>T</w:t>
      </w:r>
      <w:r w:rsidR="00662280">
        <w:t xml:space="preserve">he </w:t>
      </w:r>
      <w:r w:rsidR="00E66DCC">
        <w:t>objects and principles</w:t>
      </w:r>
      <w:r w:rsidR="00D942D1">
        <w:t xml:space="preserve"> of the </w:t>
      </w:r>
      <w:r w:rsidR="004F60C4" w:rsidRPr="00C263BB">
        <w:rPr>
          <w:i/>
          <w:iCs/>
        </w:rPr>
        <w:t>Ageing and Disability Commissioner Act 2019</w:t>
      </w:r>
      <w:r w:rsidR="004F60C4">
        <w:t xml:space="preserve"> (NSW) </w:t>
      </w:r>
      <w:r w:rsidR="00FD30EA">
        <w:t xml:space="preserve">(the </w:t>
      </w:r>
      <w:r w:rsidR="00FD30EA" w:rsidRPr="00FD30EA">
        <w:rPr>
          <w:i/>
          <w:iCs/>
        </w:rPr>
        <w:t>Act</w:t>
      </w:r>
      <w:r w:rsidR="00FD30EA">
        <w:t xml:space="preserve">) </w:t>
      </w:r>
      <w:r w:rsidR="00D942D1">
        <w:t xml:space="preserve">identified in section 4 of that </w:t>
      </w:r>
      <w:r w:rsidR="00D942D1" w:rsidRPr="00B12BFE">
        <w:rPr>
          <w:i/>
          <w:iCs/>
        </w:rPr>
        <w:t>Act</w:t>
      </w:r>
      <w:r w:rsidR="00D942D1">
        <w:t xml:space="preserve">, </w:t>
      </w:r>
      <w:r w:rsidR="00DC6FFA">
        <w:t>and</w:t>
      </w:r>
      <w:r w:rsidR="00D942D1">
        <w:t xml:space="preserve"> the</w:t>
      </w:r>
      <w:r w:rsidR="00DC6FFA">
        <w:t xml:space="preserve"> </w:t>
      </w:r>
      <w:r w:rsidR="00980472">
        <w:t>f</w:t>
      </w:r>
      <w:r w:rsidR="009613C4">
        <w:t>unctions of the</w:t>
      </w:r>
      <w:r w:rsidR="004727E7">
        <w:t xml:space="preserve"> NSW</w:t>
      </w:r>
      <w:r w:rsidR="009613C4">
        <w:t xml:space="preserve"> </w:t>
      </w:r>
      <w:r w:rsidR="00980472">
        <w:t xml:space="preserve">Ageing and Disability Commissioner </w:t>
      </w:r>
      <w:r w:rsidR="007A2950">
        <w:t xml:space="preserve">(Commissioner) </w:t>
      </w:r>
      <w:r w:rsidR="00980472">
        <w:t xml:space="preserve">under Part </w:t>
      </w:r>
      <w:r w:rsidR="00DC6FFA">
        <w:t xml:space="preserve">3 of that </w:t>
      </w:r>
      <w:r w:rsidR="00DC6FFA" w:rsidRPr="00B12BFE">
        <w:rPr>
          <w:i/>
          <w:iCs/>
        </w:rPr>
        <w:t>Act</w:t>
      </w:r>
      <w:r w:rsidR="00052F31">
        <w:t>,</w:t>
      </w:r>
      <w:r w:rsidR="00DC6FFA">
        <w:t xml:space="preserve"> </w:t>
      </w:r>
      <w:r w:rsidR="004450B3">
        <w:t xml:space="preserve">should be </w:t>
      </w:r>
      <w:r w:rsidR="00375EB6">
        <w:t>reviewed</w:t>
      </w:r>
      <w:r w:rsidR="00334EBE">
        <w:t xml:space="preserve"> by the </w:t>
      </w:r>
      <w:r w:rsidR="00334EBE" w:rsidRPr="00334EBE">
        <w:t>NSW Parliament Committee on Ageing and Disability</w:t>
      </w:r>
      <w:r>
        <w:t>,</w:t>
      </w:r>
      <w:r w:rsidR="00375EB6">
        <w:t xml:space="preserve"> </w:t>
      </w:r>
      <w:r w:rsidR="007623EF">
        <w:t>to determine</w:t>
      </w:r>
      <w:r w:rsidR="00FC20FA">
        <w:t xml:space="preserve"> whether the </w:t>
      </w:r>
      <w:r w:rsidR="00FC20FA" w:rsidRPr="00FC20FA">
        <w:rPr>
          <w:i/>
          <w:iCs/>
        </w:rPr>
        <w:t>Act</w:t>
      </w:r>
      <w:r w:rsidR="00FC20FA">
        <w:t xml:space="preserve"> needs to be </w:t>
      </w:r>
      <w:r w:rsidR="004450B3">
        <w:t xml:space="preserve">amended </w:t>
      </w:r>
      <w:r w:rsidR="007E049F">
        <w:t xml:space="preserve">to ensure the </w:t>
      </w:r>
      <w:r w:rsidR="007A2950">
        <w:t>functions of the Commissioner</w:t>
      </w:r>
      <w:r w:rsidR="00FC20FA">
        <w:t xml:space="preserve"> extend </w:t>
      </w:r>
      <w:r w:rsidR="00F040D8">
        <w:t>to</w:t>
      </w:r>
      <w:r w:rsidR="00DB3D8D">
        <w:t xml:space="preserve"> </w:t>
      </w:r>
      <w:r w:rsidR="001A3F89">
        <w:t>lead</w:t>
      </w:r>
      <w:r w:rsidR="00FC20FA">
        <w:t>ing</w:t>
      </w:r>
      <w:r w:rsidR="001A3F89">
        <w:t xml:space="preserve"> the</w:t>
      </w:r>
      <w:r w:rsidR="00DB3D8D">
        <w:t xml:space="preserve"> </w:t>
      </w:r>
      <w:r w:rsidR="001A3F89">
        <w:t xml:space="preserve">development </w:t>
      </w:r>
      <w:r w:rsidR="007244AE">
        <w:t xml:space="preserve">and implementation </w:t>
      </w:r>
      <w:r w:rsidR="00573678">
        <w:t xml:space="preserve">of </w:t>
      </w:r>
      <w:r w:rsidR="00A154C0">
        <w:t>a</w:t>
      </w:r>
      <w:r w:rsidR="007A2950">
        <w:t xml:space="preserve"> </w:t>
      </w:r>
      <w:r w:rsidR="00DB3D8D">
        <w:t xml:space="preserve">NSW </w:t>
      </w:r>
      <w:r w:rsidR="00DC6FFA">
        <w:t>Supported decision-making</w:t>
      </w:r>
      <w:r w:rsidR="00DB3D8D">
        <w:t xml:space="preserve"> </w:t>
      </w:r>
      <w:r w:rsidR="00F040D8">
        <w:t>framework</w:t>
      </w:r>
      <w:r w:rsidR="000F5C78">
        <w:t>.</w:t>
      </w:r>
      <w:r w:rsidR="00FD30EA">
        <w:t xml:space="preserve"> The </w:t>
      </w:r>
      <w:r w:rsidR="00FD30EA" w:rsidRPr="00FD30EA">
        <w:rPr>
          <w:i/>
          <w:iCs/>
        </w:rPr>
        <w:t>Act</w:t>
      </w:r>
      <w:r w:rsidR="00FD30EA">
        <w:t xml:space="preserve"> should be amended to provide for the function if needed.</w:t>
      </w:r>
    </w:p>
    <w:p w14:paraId="4AFE942E" w14:textId="77777777" w:rsidR="002E2B3C" w:rsidRDefault="002E2B3C" w:rsidP="00A410B6">
      <w:pPr>
        <w:pStyle w:val="Heading5"/>
      </w:pPr>
    </w:p>
    <w:p w14:paraId="00B8716A" w14:textId="049E6112" w:rsidR="00A410B6" w:rsidRDefault="00A410B6" w:rsidP="00B12BFE">
      <w:pPr>
        <w:pStyle w:val="Heading5"/>
        <w:pBdr>
          <w:top w:val="single" w:sz="4" w:space="1" w:color="auto"/>
          <w:left w:val="single" w:sz="4" w:space="4" w:color="auto"/>
          <w:bottom w:val="single" w:sz="4" w:space="1" w:color="auto"/>
          <w:right w:val="single" w:sz="4" w:space="4" w:color="auto"/>
        </w:pBdr>
      </w:pPr>
      <w:r>
        <w:t>Recommendation 2</w:t>
      </w:r>
    </w:p>
    <w:p w14:paraId="36E458C7" w14:textId="31E448B1" w:rsidR="00732B20" w:rsidRDefault="00A410B6" w:rsidP="00B12BFE">
      <w:pPr>
        <w:pStyle w:val="BodyText"/>
        <w:pBdr>
          <w:top w:val="single" w:sz="4" w:space="1" w:color="auto"/>
          <w:left w:val="single" w:sz="4" w:space="4" w:color="auto"/>
          <w:bottom w:val="single" w:sz="4" w:space="1" w:color="auto"/>
          <w:right w:val="single" w:sz="4" w:space="4" w:color="auto"/>
        </w:pBdr>
        <w:spacing w:line="480" w:lineRule="auto"/>
      </w:pPr>
      <w:r>
        <w:t>The NSW Ageing and Disability Commission</w:t>
      </w:r>
      <w:r w:rsidR="007A2950">
        <w:t xml:space="preserve"> (ADC)</w:t>
      </w:r>
      <w:r w:rsidR="00DF1AFE">
        <w:t xml:space="preserve"> must </w:t>
      </w:r>
      <w:r w:rsidR="0045062B">
        <w:t>be appropriately resourced</w:t>
      </w:r>
      <w:r w:rsidR="00DF1AFE">
        <w:t xml:space="preserve"> to undertake </w:t>
      </w:r>
      <w:r w:rsidR="005A343C">
        <w:t>the development of an NSW Supported decision-making best practice framework and support its implementation</w:t>
      </w:r>
      <w:r w:rsidR="0080717C">
        <w:t xml:space="preserve">. Resourcing </w:t>
      </w:r>
      <w:r w:rsidR="006A646B">
        <w:t xml:space="preserve">must be provided in addition to current resourcing for the </w:t>
      </w:r>
      <w:r w:rsidR="007A2950">
        <w:t>ADC</w:t>
      </w:r>
      <w:r w:rsidR="00BE7390">
        <w:t xml:space="preserve"> and</w:t>
      </w:r>
      <w:r w:rsidR="00C716B4">
        <w:t xml:space="preserve"> considered </w:t>
      </w:r>
      <w:r w:rsidR="00D57510">
        <w:t xml:space="preserve">separate from other funding applications to support the </w:t>
      </w:r>
      <w:r w:rsidR="007A2950">
        <w:t xml:space="preserve">ADC </w:t>
      </w:r>
      <w:r w:rsidR="00D57510">
        <w:t>in undertaking its existing statutory duties.</w:t>
      </w:r>
    </w:p>
    <w:p w14:paraId="6FB8559F" w14:textId="77777777" w:rsidR="006629CC" w:rsidRDefault="006629CC" w:rsidP="006629CC">
      <w:pPr>
        <w:pStyle w:val="Heading5"/>
      </w:pPr>
    </w:p>
    <w:p w14:paraId="15E8604F" w14:textId="549192C4" w:rsidR="002E2B3C" w:rsidRDefault="00126535" w:rsidP="00B12BFE">
      <w:pPr>
        <w:pStyle w:val="Heading5"/>
        <w:pBdr>
          <w:top w:val="single" w:sz="4" w:space="1" w:color="auto"/>
          <w:left w:val="single" w:sz="4" w:space="4" w:color="auto"/>
          <w:bottom w:val="single" w:sz="4" w:space="1" w:color="auto"/>
          <w:right w:val="single" w:sz="4" w:space="4" w:color="auto"/>
        </w:pBdr>
      </w:pPr>
      <w:r>
        <w:t>Recommendation 3</w:t>
      </w:r>
    </w:p>
    <w:p w14:paraId="6EE1BF71" w14:textId="139E6E6F" w:rsidR="00126535" w:rsidRDefault="00126535" w:rsidP="00B12BFE">
      <w:pPr>
        <w:pStyle w:val="BodyText"/>
        <w:pBdr>
          <w:top w:val="single" w:sz="4" w:space="1" w:color="auto"/>
          <w:left w:val="single" w:sz="4" w:space="4" w:color="auto"/>
          <w:bottom w:val="single" w:sz="4" w:space="1" w:color="auto"/>
          <w:right w:val="single" w:sz="4" w:space="4" w:color="auto"/>
        </w:pBdr>
        <w:spacing w:line="480" w:lineRule="auto"/>
      </w:pPr>
      <w:r>
        <w:t xml:space="preserve">The NSW Ageing and Disability Commission </w:t>
      </w:r>
      <w:r w:rsidR="00C941D6">
        <w:t>must ensure that</w:t>
      </w:r>
      <w:r w:rsidR="00D96D9C">
        <w:t xml:space="preserve">, </w:t>
      </w:r>
      <w:r w:rsidR="006629CC">
        <w:t>in all projects and activities</w:t>
      </w:r>
      <w:r w:rsidR="000645CD">
        <w:t xml:space="preserve"> related to advancing supported decision-making in NSW,</w:t>
      </w:r>
      <w:r w:rsidR="00C941D6">
        <w:t xml:space="preserve"> the direct lived experience of </w:t>
      </w:r>
      <w:r w:rsidR="008F6F6A">
        <w:t>people with disability</w:t>
      </w:r>
      <w:r w:rsidR="0058009D">
        <w:t xml:space="preserve"> including older people with cognitive impairment</w:t>
      </w:r>
      <w:r w:rsidR="008F6F6A">
        <w:t xml:space="preserve"> is embedded in </w:t>
      </w:r>
      <w:r w:rsidR="006629CC">
        <w:t xml:space="preserve">key </w:t>
      </w:r>
      <w:r w:rsidR="0058009D">
        <w:t>leadership</w:t>
      </w:r>
      <w:r w:rsidR="008F6F6A">
        <w:t xml:space="preserve"> and decision-making roles</w:t>
      </w:r>
      <w:r w:rsidR="006629CC">
        <w:t xml:space="preserve"> and processes</w:t>
      </w:r>
      <w:r w:rsidR="00D96D9C">
        <w:t>.</w:t>
      </w:r>
    </w:p>
    <w:p w14:paraId="617C1988" w14:textId="77777777" w:rsidR="00765CE1" w:rsidRDefault="00765CE1" w:rsidP="00A154C0">
      <w:pPr>
        <w:pStyle w:val="BodyText"/>
        <w:spacing w:line="480" w:lineRule="auto"/>
      </w:pPr>
    </w:p>
    <w:p w14:paraId="5BEBF39B" w14:textId="1B40093E" w:rsidR="00297D9E" w:rsidRPr="00B12BFE" w:rsidRDefault="00D438EA" w:rsidP="00A154C0">
      <w:pPr>
        <w:pStyle w:val="BodyText"/>
        <w:spacing w:line="480" w:lineRule="auto"/>
      </w:pPr>
      <w:r>
        <w:lastRenderedPageBreak/>
        <w:t xml:space="preserve">People with Disability Australia </w:t>
      </w:r>
      <w:r w:rsidR="00BE7390">
        <w:t>looks forward</w:t>
      </w:r>
      <w:r>
        <w:t xml:space="preserve"> to work</w:t>
      </w:r>
      <w:r w:rsidR="00BE7390">
        <w:t>ing</w:t>
      </w:r>
      <w:r>
        <w:t xml:space="preserve"> with the NSW Ageing and Disability Commission</w:t>
      </w:r>
      <w:r w:rsidR="00765CE1">
        <w:t xml:space="preserve">, </w:t>
      </w:r>
      <w:r w:rsidR="00732B20">
        <w:t>the NSW Government</w:t>
      </w:r>
      <w:r w:rsidR="00852625">
        <w:t>, and other stakeholders,</w:t>
      </w:r>
      <w:r w:rsidR="00732B20">
        <w:t xml:space="preserve"> </w:t>
      </w:r>
      <w:r>
        <w:t>to progress supported decision-making</w:t>
      </w:r>
      <w:r w:rsidR="00121484">
        <w:t xml:space="preserve"> </w:t>
      </w:r>
      <w:r w:rsidR="00E37015">
        <w:t xml:space="preserve">for people with disability </w:t>
      </w:r>
      <w:r w:rsidR="00986A6B">
        <w:t>and older people i</w:t>
      </w:r>
      <w:r w:rsidR="00121484">
        <w:t>n NSW.</w:t>
      </w:r>
    </w:p>
    <w:p w14:paraId="06BE7E68" w14:textId="3AFE8EFB" w:rsidR="00B572C7" w:rsidRPr="00C7330B" w:rsidRDefault="003F294E" w:rsidP="00A154C0">
      <w:pPr>
        <w:pStyle w:val="BodyText"/>
        <w:spacing w:line="480" w:lineRule="auto"/>
        <w:rPr>
          <w:color w:val="000000"/>
          <w:lang w:val="en-US"/>
        </w:rPr>
      </w:pPr>
      <w:r w:rsidRPr="003F294E">
        <w:rPr>
          <w:rFonts w:asciiTheme="majorHAnsi" w:eastAsiaTheme="majorEastAsia" w:hAnsiTheme="majorHAnsi" w:cstheme="majorHAnsi"/>
          <w:lang w:val="en-US"/>
        </w:rPr>
        <w:t xml:space="preserve">If you have any questions about this </w:t>
      </w:r>
      <w:r w:rsidR="00D90669">
        <w:rPr>
          <w:rFonts w:asciiTheme="majorHAnsi" w:eastAsiaTheme="majorEastAsia" w:hAnsiTheme="majorHAnsi" w:cstheme="majorHAnsi"/>
          <w:lang w:val="en-US"/>
        </w:rPr>
        <w:t>submission</w:t>
      </w:r>
      <w:r w:rsidR="001D1E16" w:rsidRPr="003F294E">
        <w:rPr>
          <w:rFonts w:asciiTheme="majorHAnsi" w:eastAsiaTheme="majorEastAsia" w:hAnsiTheme="majorHAnsi" w:cstheme="majorHAnsi"/>
          <w:lang w:val="en-US"/>
        </w:rPr>
        <w:t>,</w:t>
      </w:r>
      <w:r w:rsidRPr="003F294E">
        <w:rPr>
          <w:rFonts w:asciiTheme="majorHAnsi" w:eastAsiaTheme="majorEastAsia" w:hAnsiTheme="majorHAnsi" w:cstheme="majorHAnsi"/>
          <w:lang w:val="en-US"/>
        </w:rPr>
        <w:t xml:space="preserve"> please contact </w:t>
      </w:r>
      <w:r w:rsidR="00D90669">
        <w:rPr>
          <w:color w:val="000000"/>
          <w:lang w:val="en-US"/>
        </w:rPr>
        <w:t>at first instance</w:t>
      </w:r>
      <w:r w:rsidR="00D90669">
        <w:rPr>
          <w:rFonts w:asciiTheme="majorHAnsi" w:hAnsiTheme="majorHAnsi" w:cstheme="majorHAnsi"/>
          <w:lang w:val="en-US"/>
        </w:rPr>
        <w:t xml:space="preserve"> </w:t>
      </w:r>
      <w:proofErr w:type="spellStart"/>
      <w:r w:rsidR="00D90669">
        <w:rPr>
          <w:rFonts w:asciiTheme="majorHAnsi" w:hAnsiTheme="majorHAnsi" w:cstheme="majorHAnsi"/>
          <w:lang w:val="en-US"/>
        </w:rPr>
        <w:t>Mr</w:t>
      </w:r>
      <w:proofErr w:type="spellEnd"/>
      <w:r w:rsidR="00D90669">
        <w:rPr>
          <w:rFonts w:asciiTheme="majorHAnsi" w:hAnsiTheme="majorHAnsi" w:cstheme="majorHAnsi"/>
          <w:lang w:val="en-US"/>
        </w:rPr>
        <w:t xml:space="preserve"> Julian Laurens, Senior Policy </w:t>
      </w:r>
      <w:r w:rsidR="00C708B4">
        <w:rPr>
          <w:rFonts w:asciiTheme="majorHAnsi" w:hAnsiTheme="majorHAnsi" w:cstheme="majorHAnsi"/>
          <w:lang w:val="en-US"/>
        </w:rPr>
        <w:t>O</w:t>
      </w:r>
      <w:r w:rsidR="00D90669">
        <w:rPr>
          <w:rFonts w:asciiTheme="majorHAnsi" w:hAnsiTheme="majorHAnsi" w:cstheme="majorHAnsi"/>
          <w:lang w:val="en-US"/>
        </w:rPr>
        <w:t>fficer</w:t>
      </w:r>
      <w:r w:rsidR="00444933">
        <w:rPr>
          <w:color w:val="000000"/>
          <w:lang w:val="en-US"/>
        </w:rPr>
        <w:t xml:space="preserve"> on</w:t>
      </w:r>
      <w:bookmarkEnd w:id="2"/>
      <w:r w:rsidR="00D90669">
        <w:rPr>
          <w:color w:val="000000"/>
          <w:lang w:val="en-US"/>
        </w:rPr>
        <w:t xml:space="preserve"> </w:t>
      </w:r>
      <w:hyperlink r:id="rId20" w:history="1">
        <w:r w:rsidR="00D90669" w:rsidRPr="00C263BB">
          <w:rPr>
            <w:rStyle w:val="Hyperlink"/>
            <w:rFonts w:ascii="Arial" w:hAnsi="Arial" w:cs="Arial"/>
            <w:b w:val="0"/>
            <w:bCs/>
            <w:lang w:val="en-US"/>
          </w:rPr>
          <w:t>julianl@pwd.org.au</w:t>
        </w:r>
      </w:hyperlink>
      <w:r w:rsidR="004C1D94" w:rsidRPr="00C263BB">
        <w:rPr>
          <w:b/>
          <w:bCs/>
        </w:rPr>
        <w:t>.</w:t>
      </w:r>
      <w:r w:rsidR="00D90669">
        <w:rPr>
          <w:color w:val="000000"/>
          <w:lang w:val="en-US"/>
        </w:rPr>
        <w:t xml:space="preserve"> </w:t>
      </w:r>
    </w:p>
    <w:p w14:paraId="6656F78F" w14:textId="266834CE" w:rsidR="00653AA1" w:rsidRPr="00A37DEA" w:rsidRDefault="00A7766F" w:rsidP="00A154C0">
      <w:pPr>
        <w:pStyle w:val="BodyText"/>
        <w:spacing w:line="480" w:lineRule="auto"/>
      </w:pPr>
      <w:r w:rsidRPr="00A37DEA">
        <w:t>Yours s</w:t>
      </w:r>
      <w:r w:rsidR="00653AA1" w:rsidRPr="00A37DEA">
        <w:t>incerely</w:t>
      </w:r>
    </w:p>
    <w:p w14:paraId="3164117A" w14:textId="6D4C8E28" w:rsidR="00241328" w:rsidRDefault="001D1E16" w:rsidP="00A154C0">
      <w:pPr>
        <w:pStyle w:val="BodyText"/>
        <w:spacing w:after="600" w:line="480" w:lineRule="auto"/>
        <w:rPr>
          <w:highlight w:val="yellow"/>
        </w:rPr>
      </w:pPr>
      <w:r w:rsidRPr="001D1E16">
        <w:rPr>
          <w:noProof/>
        </w:rPr>
        <w:drawing>
          <wp:inline distT="0" distB="0" distL="0" distR="0" wp14:anchorId="34CAACD8" wp14:editId="13DA5A18">
            <wp:extent cx="1271408" cy="480060"/>
            <wp:effectExtent l="0" t="0" r="5080" b="0"/>
            <wp:docPr id="1673168334" name="Picture 1" descr="Megan spindler-smit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168334" name="Picture 1" descr="Megan spindler-smith signature"/>
                    <pic:cNvPicPr/>
                  </pic:nvPicPr>
                  <pic:blipFill>
                    <a:blip r:embed="rId21"/>
                    <a:stretch>
                      <a:fillRect/>
                    </a:stretch>
                  </pic:blipFill>
                  <pic:spPr>
                    <a:xfrm>
                      <a:off x="0" y="0"/>
                      <a:ext cx="1271408" cy="480060"/>
                    </a:xfrm>
                    <a:prstGeom prst="rect">
                      <a:avLst/>
                    </a:prstGeom>
                  </pic:spPr>
                </pic:pic>
              </a:graphicData>
            </a:graphic>
          </wp:inline>
        </w:drawing>
      </w:r>
    </w:p>
    <w:p w14:paraId="66FF37B4" w14:textId="553D998D" w:rsidR="00CB2E90" w:rsidRPr="008948F1" w:rsidRDefault="00B572C7" w:rsidP="00A154C0">
      <w:pPr>
        <w:pStyle w:val="AddressBlockdate"/>
        <w:spacing w:line="480" w:lineRule="auto"/>
      </w:pPr>
      <w:r>
        <w:t>Megan Spindler-Smith</w:t>
      </w:r>
    </w:p>
    <w:p w14:paraId="6808F20B" w14:textId="1DE01460" w:rsidR="00A7766F" w:rsidRPr="008948F1" w:rsidRDefault="00B572C7" w:rsidP="00A154C0">
      <w:pPr>
        <w:pStyle w:val="AddressBlockdate"/>
        <w:spacing w:line="480" w:lineRule="auto"/>
      </w:pPr>
      <w:r>
        <w:t>Acting CEO</w:t>
      </w:r>
    </w:p>
    <w:p w14:paraId="52034915" w14:textId="2F9EE802" w:rsidR="002818CE" w:rsidRDefault="00A7766F" w:rsidP="00A154C0">
      <w:pPr>
        <w:pStyle w:val="AddressBlockdate"/>
        <w:spacing w:line="480" w:lineRule="auto"/>
      </w:pPr>
      <w:r w:rsidRPr="008948F1">
        <w:t xml:space="preserve">People </w:t>
      </w:r>
      <w:r w:rsidR="00F01942">
        <w:t>w</w:t>
      </w:r>
      <w:r w:rsidRPr="008948F1">
        <w:t>ith Disability Australia</w:t>
      </w:r>
    </w:p>
    <w:p w14:paraId="4BC5FA5D" w14:textId="77777777" w:rsidR="00852625" w:rsidRPr="00560251" w:rsidRDefault="00852625" w:rsidP="00A154C0">
      <w:pPr>
        <w:pStyle w:val="AddressBlockdate"/>
        <w:spacing w:line="480" w:lineRule="auto"/>
      </w:pPr>
    </w:p>
    <w:sectPr w:rsidR="00852625" w:rsidRPr="00560251" w:rsidSect="00B25C49">
      <w:footnotePr>
        <w:numFmt w:val="chicago"/>
      </w:footnotePr>
      <w:endnotePr>
        <w:numFmt w:val="decimal"/>
      </w:endnotePr>
      <w:type w:val="continuous"/>
      <w:pgSz w:w="11906" w:h="16838" w:code="9"/>
      <w:pgMar w:top="1135" w:right="1134" w:bottom="1418"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153A4" w14:textId="77777777" w:rsidR="00131DD9" w:rsidRDefault="00131DD9" w:rsidP="00F1283C">
      <w:pPr>
        <w:spacing w:after="0" w:line="240" w:lineRule="auto"/>
      </w:pPr>
      <w:r>
        <w:separator/>
      </w:r>
    </w:p>
  </w:endnote>
  <w:endnote w:type="continuationSeparator" w:id="0">
    <w:p w14:paraId="390C5C1A" w14:textId="77777777" w:rsidR="00131DD9" w:rsidRDefault="00131DD9" w:rsidP="00F1283C">
      <w:pPr>
        <w:spacing w:after="0" w:line="240" w:lineRule="auto"/>
      </w:pPr>
      <w:r>
        <w:continuationSeparator/>
      </w:r>
    </w:p>
  </w:endnote>
  <w:endnote w:id="1">
    <w:p w14:paraId="4B09514B" w14:textId="476B208A" w:rsidR="00E23FFD" w:rsidRDefault="00E23FFD" w:rsidP="00B12BFE">
      <w:pPr>
        <w:pStyle w:val="BodyText"/>
      </w:pPr>
      <w:r>
        <w:rPr>
          <w:rStyle w:val="EndnoteReference"/>
        </w:rPr>
        <w:endnoteRef/>
      </w:r>
      <w:r>
        <w:t xml:space="preserve"> Royal Commission into Violence, Abuse, Neglect and Exploitation of People with Disability (2023). </w:t>
      </w:r>
      <w:hyperlink r:id="rId1" w:history="1">
        <w:r w:rsidRPr="0081439B">
          <w:rPr>
            <w:rStyle w:val="Hyperlink"/>
            <w:i/>
            <w:iCs/>
          </w:rPr>
          <w:t>Final Report,</w:t>
        </w:r>
        <w:r w:rsidR="00416BCC" w:rsidRPr="0081439B">
          <w:rPr>
            <w:rStyle w:val="Hyperlink"/>
            <w:i/>
            <w:iCs/>
          </w:rPr>
          <w:t xml:space="preserve"> Volume 6, Enabling autonomy and access</w:t>
        </w:r>
        <w:r w:rsidR="00416BCC" w:rsidRPr="0081439B">
          <w:rPr>
            <w:rStyle w:val="Hyperlink"/>
          </w:rPr>
          <w:t>,</w:t>
        </w:r>
        <w:r w:rsidR="00FD67CC" w:rsidRPr="0081439B">
          <w:rPr>
            <w:rStyle w:val="Hyperlink"/>
          </w:rPr>
          <w:t xml:space="preserve"> </w:t>
        </w:r>
        <w:r w:rsidR="00416BCC" w:rsidRPr="0081439B">
          <w:rPr>
            <w:rStyle w:val="Hyperlink"/>
          </w:rPr>
          <w:t>121</w:t>
        </w:r>
        <w:r w:rsidR="00067DB2" w:rsidRPr="0081439B">
          <w:rPr>
            <w:rStyle w:val="Hyperlink"/>
          </w:rPr>
          <w:t xml:space="preserve"> (</w:t>
        </w:r>
        <w:r w:rsidR="0000590B" w:rsidRPr="0081439B">
          <w:rPr>
            <w:rStyle w:val="Hyperlink"/>
          </w:rPr>
          <w:t>‘</w:t>
        </w:r>
        <w:r w:rsidR="00067DB2" w:rsidRPr="0081439B">
          <w:rPr>
            <w:rStyle w:val="Hyperlink"/>
            <w:i/>
            <w:iCs/>
          </w:rPr>
          <w:t>Enabling autonomy</w:t>
        </w:r>
        <w:r w:rsidR="00FC6D1C" w:rsidRPr="0081439B">
          <w:rPr>
            <w:rStyle w:val="Hyperlink"/>
            <w:i/>
            <w:iCs/>
          </w:rPr>
          <w:t xml:space="preserve"> and access</w:t>
        </w:r>
        <w:r w:rsidR="00067DB2" w:rsidRPr="0081439B">
          <w:rPr>
            <w:rStyle w:val="Hyperlink"/>
          </w:rPr>
          <w:t>’</w:t>
        </w:r>
      </w:hyperlink>
      <w:r w:rsidR="0000590B">
        <w:t>)</w:t>
      </w:r>
      <w:r w:rsidR="00B40BEF">
        <w:t>.</w:t>
      </w:r>
      <w:r w:rsidR="00416BCC">
        <w:t xml:space="preserve"> </w:t>
      </w:r>
    </w:p>
  </w:endnote>
  <w:endnote w:id="2">
    <w:p w14:paraId="42797663" w14:textId="11485493" w:rsidR="00D53DC2" w:rsidRDefault="00D53DC2" w:rsidP="00B12BFE">
      <w:pPr>
        <w:pStyle w:val="BodyText"/>
      </w:pPr>
      <w:r>
        <w:rPr>
          <w:rStyle w:val="EndnoteReference"/>
        </w:rPr>
        <w:endnoteRef/>
      </w:r>
      <w:r>
        <w:t xml:space="preserve"> </w:t>
      </w:r>
      <w:r w:rsidR="0087183A">
        <w:t>I</w:t>
      </w:r>
      <w:r w:rsidR="0069487C">
        <w:t>bid</w:t>
      </w:r>
      <w:r w:rsidR="00FD67CC">
        <w:t xml:space="preserve"> </w:t>
      </w:r>
      <w:r>
        <w:t xml:space="preserve">120. </w:t>
      </w:r>
      <w:hyperlink r:id="rId2" w:history="1"/>
    </w:p>
  </w:endnote>
  <w:endnote w:id="3">
    <w:p w14:paraId="1AFADE57" w14:textId="0A86263A" w:rsidR="00352159" w:rsidRDefault="00352159" w:rsidP="00B12BFE">
      <w:pPr>
        <w:pStyle w:val="BodyText"/>
      </w:pPr>
      <w:r>
        <w:rPr>
          <w:rStyle w:val="EndnoteReference"/>
        </w:rPr>
        <w:endnoteRef/>
      </w:r>
      <w:r>
        <w:t xml:space="preserve"> Bigby, C., Carney, T., Then, S-N., Wiesel, I., Sinclair, C., Douglas, J., &amp; Duffy, J</w:t>
      </w:r>
      <w:r w:rsidR="00467904">
        <w:t xml:space="preserve"> </w:t>
      </w:r>
      <w:r>
        <w:t xml:space="preserve">(2023). </w:t>
      </w:r>
      <w:r w:rsidRPr="0082586E">
        <w:rPr>
          <w:i/>
          <w:iCs/>
        </w:rPr>
        <w:t>Diversity, dignity, equity and best practice: a framework for supported decision-making</w:t>
      </w:r>
      <w:r>
        <w:t>. Royal Commission into Violence, Abuse, Neglect and Exploitation of People with Disability</w:t>
      </w:r>
      <w:r w:rsidR="000169AC">
        <w:t xml:space="preserve"> </w:t>
      </w:r>
      <w:r w:rsidR="000F2256">
        <w:t>(‘</w:t>
      </w:r>
      <w:r w:rsidR="000F2256" w:rsidRPr="000169AC">
        <w:rPr>
          <w:i/>
          <w:iCs/>
        </w:rPr>
        <w:t>Diversity</w:t>
      </w:r>
      <w:r w:rsidR="008953E7">
        <w:rPr>
          <w:i/>
          <w:iCs/>
        </w:rPr>
        <w:t>,</w:t>
      </w:r>
      <w:r w:rsidR="0000590B">
        <w:rPr>
          <w:i/>
          <w:iCs/>
        </w:rPr>
        <w:t xml:space="preserve"> </w:t>
      </w:r>
      <w:r w:rsidR="00FC6D1C" w:rsidRPr="000169AC">
        <w:rPr>
          <w:i/>
          <w:iCs/>
        </w:rPr>
        <w:t>dignity</w:t>
      </w:r>
      <w:r w:rsidR="008953E7">
        <w:rPr>
          <w:i/>
          <w:iCs/>
        </w:rPr>
        <w:t>,</w:t>
      </w:r>
      <w:r w:rsidR="00FC6D1C">
        <w:rPr>
          <w:i/>
          <w:iCs/>
        </w:rPr>
        <w:t xml:space="preserve"> equity</w:t>
      </w:r>
      <w:r w:rsidR="000169AC">
        <w:t xml:space="preserve">’). </w:t>
      </w:r>
    </w:p>
  </w:endnote>
  <w:endnote w:id="4">
    <w:p w14:paraId="34F9A575" w14:textId="5B69CDCA" w:rsidR="00352159" w:rsidRPr="00467904" w:rsidRDefault="00352159" w:rsidP="00B12BFE">
      <w:pPr>
        <w:pStyle w:val="BodyText"/>
        <w:rPr>
          <w:b/>
          <w:bCs/>
        </w:rPr>
      </w:pPr>
      <w:r>
        <w:rPr>
          <w:rStyle w:val="EndnoteReference"/>
        </w:rPr>
        <w:endnoteRef/>
      </w:r>
      <w:r>
        <w:t xml:space="preserve"> </w:t>
      </w:r>
      <w:r w:rsidRPr="00D90669">
        <w:rPr>
          <w:rFonts w:ascii="Arial" w:hAnsi="Arial" w:cs="Arial"/>
          <w:shd w:val="clear" w:color="auto" w:fill="FFFFFF"/>
        </w:rPr>
        <w:t xml:space="preserve">Robinson, S., Fisher, K. R., Laurens, J., Fisher, A., Forte, S., Reschke, K., &amp; </w:t>
      </w:r>
      <w:proofErr w:type="spellStart"/>
      <w:r w:rsidRPr="00D90669">
        <w:rPr>
          <w:rFonts w:ascii="Arial" w:hAnsi="Arial" w:cs="Arial"/>
          <w:shd w:val="clear" w:color="auto" w:fill="FFFFFF"/>
        </w:rPr>
        <w:t>Kayess</w:t>
      </w:r>
      <w:proofErr w:type="spellEnd"/>
      <w:r w:rsidRPr="00D90669">
        <w:rPr>
          <w:rFonts w:ascii="Arial" w:hAnsi="Arial" w:cs="Arial"/>
          <w:shd w:val="clear" w:color="auto" w:fill="FFFFFF"/>
        </w:rPr>
        <w:t>, R (2025). Supported Decision-Making Rights in Behaviour Support Policies. </w:t>
      </w:r>
      <w:r w:rsidRPr="00D90669">
        <w:rPr>
          <w:rFonts w:ascii="Arial" w:hAnsi="Arial" w:cs="Arial"/>
          <w:i/>
          <w:iCs/>
          <w:shd w:val="clear" w:color="auto" w:fill="FFFFFF"/>
        </w:rPr>
        <w:t>Australian Journal of Social Issues</w:t>
      </w:r>
      <w:r w:rsidRPr="00D90669">
        <w:rPr>
          <w:rFonts w:ascii="Arial" w:hAnsi="Arial" w:cs="Arial"/>
          <w:shd w:val="clear" w:color="auto" w:fill="FFFFFF"/>
        </w:rPr>
        <w:t>.</w:t>
      </w:r>
      <w:r w:rsidR="006E19F2" w:rsidRPr="00D90669">
        <w:rPr>
          <w:rFonts w:ascii="Arial" w:hAnsi="Arial" w:cs="Arial"/>
          <w:shd w:val="clear" w:color="auto" w:fill="FFFFFF"/>
        </w:rPr>
        <w:t xml:space="preserve"> 0:1-14</w:t>
      </w:r>
      <w:r w:rsidR="006E19F2">
        <w:rPr>
          <w:rFonts w:ascii="Arial" w:hAnsi="Arial" w:cs="Arial"/>
          <w:color w:val="666666"/>
          <w:shd w:val="clear" w:color="auto" w:fill="FFFFFF"/>
        </w:rPr>
        <w:t xml:space="preserve"> </w:t>
      </w:r>
      <w:r w:rsidR="00B40BEF">
        <w:rPr>
          <w:rFonts w:ascii="Arial" w:hAnsi="Arial" w:cs="Arial"/>
          <w:color w:val="666666"/>
          <w:shd w:val="clear" w:color="auto" w:fill="FFFFFF"/>
        </w:rPr>
        <w:t>(‘</w:t>
      </w:r>
      <w:r w:rsidR="00B40BEF" w:rsidRPr="00B40BEF">
        <w:rPr>
          <w:rFonts w:ascii="Arial" w:hAnsi="Arial" w:cs="Arial"/>
          <w:i/>
          <w:iCs/>
          <w:shd w:val="clear" w:color="auto" w:fill="FFFFFF"/>
        </w:rPr>
        <w:t>Supported Decision-Making Rights’</w:t>
      </w:r>
      <w:r w:rsidR="00B40BEF">
        <w:rPr>
          <w:rFonts w:ascii="Arial" w:hAnsi="Arial" w:cs="Arial"/>
          <w:shd w:val="clear" w:color="auto" w:fill="FFFFFF"/>
        </w:rPr>
        <w:t>).</w:t>
      </w:r>
      <w:r w:rsidR="00B40BEF" w:rsidRPr="00D90669">
        <w:rPr>
          <w:rFonts w:ascii="Arial" w:hAnsi="Arial" w:cs="Arial"/>
          <w:shd w:val="clear" w:color="auto" w:fill="FFFFFF"/>
        </w:rPr>
        <w:t xml:space="preserve"> </w:t>
      </w:r>
      <w:hyperlink r:id="rId3" w:history="1">
        <w:r w:rsidR="00B40BEF" w:rsidRPr="00B40BEF">
          <w:rPr>
            <w:rStyle w:val="Hyperlink"/>
            <w:rFonts w:ascii="Arial" w:hAnsi="Arial" w:cs="Arial"/>
            <w:b w:val="0"/>
            <w:shd w:val="clear" w:color="auto" w:fill="FFFFFF"/>
          </w:rPr>
          <w:t>https://onlinelibrary.wiley.com/doi/pdf/10.1002/ajs4.70070</w:t>
        </w:r>
      </w:hyperlink>
      <w:r w:rsidR="006E19F2">
        <w:rPr>
          <w:rFonts w:ascii="Arial" w:hAnsi="Arial" w:cs="Arial"/>
          <w:color w:val="666666"/>
          <w:shd w:val="clear" w:color="auto" w:fill="FFFFFF"/>
        </w:rPr>
        <w:t xml:space="preserve"> </w:t>
      </w:r>
    </w:p>
  </w:endnote>
  <w:endnote w:id="5">
    <w:p w14:paraId="63A55182" w14:textId="5AB21F04" w:rsidR="007B1B65" w:rsidRDefault="007B1B65" w:rsidP="00B12BFE">
      <w:pPr>
        <w:pStyle w:val="BodyText"/>
      </w:pPr>
      <w:r>
        <w:rPr>
          <w:rStyle w:val="EndnoteReference"/>
        </w:rPr>
        <w:endnoteRef/>
      </w:r>
      <w:r>
        <w:t xml:space="preserve"> </w:t>
      </w:r>
      <w:r w:rsidR="000169AC" w:rsidRPr="00067DB2">
        <w:rPr>
          <w:i/>
          <w:iCs/>
        </w:rPr>
        <w:t>Diversity</w:t>
      </w:r>
      <w:r w:rsidR="0050361E">
        <w:rPr>
          <w:i/>
          <w:iCs/>
        </w:rPr>
        <w:t>,</w:t>
      </w:r>
      <w:r w:rsidR="00A36E0D">
        <w:rPr>
          <w:i/>
          <w:iCs/>
        </w:rPr>
        <w:t xml:space="preserve"> </w:t>
      </w:r>
      <w:r w:rsidR="000169AC" w:rsidRPr="00067DB2">
        <w:rPr>
          <w:i/>
          <w:iCs/>
        </w:rPr>
        <w:t>dignity</w:t>
      </w:r>
      <w:r w:rsidR="0050361E">
        <w:rPr>
          <w:i/>
          <w:iCs/>
        </w:rPr>
        <w:t xml:space="preserve">, </w:t>
      </w:r>
      <w:r w:rsidR="00FC6D1C">
        <w:rPr>
          <w:i/>
          <w:iCs/>
        </w:rPr>
        <w:t>equity</w:t>
      </w:r>
      <w:r w:rsidR="00067DB2">
        <w:t>, (n</w:t>
      </w:r>
      <w:r w:rsidR="00E754A6">
        <w:t xml:space="preserve"> </w:t>
      </w:r>
      <w:r w:rsidR="00067DB2">
        <w:t xml:space="preserve">3) </w:t>
      </w:r>
      <w:r w:rsidR="00101F60">
        <w:t>30.</w:t>
      </w:r>
      <w:r>
        <w:t xml:space="preserve"> </w:t>
      </w:r>
      <w:hyperlink r:id="rId4" w:history="1">
        <w:r w:rsidRPr="00352159">
          <w:rPr>
            <w:rStyle w:val="Hyperlink"/>
            <w:b w:val="0"/>
            <w:bCs/>
          </w:rPr>
          <w:t>https://disability.royalcommission.gov.au/policy-and-research/research-program</w:t>
        </w:r>
      </w:hyperlink>
    </w:p>
  </w:endnote>
  <w:endnote w:id="6">
    <w:p w14:paraId="4DF3568B" w14:textId="1A1CB0A5" w:rsidR="00467904" w:rsidRDefault="00467904" w:rsidP="00B12BFE">
      <w:pPr>
        <w:pStyle w:val="BodyText"/>
      </w:pPr>
      <w:r>
        <w:rPr>
          <w:rStyle w:val="EndnoteReference"/>
        </w:rPr>
        <w:endnoteRef/>
      </w:r>
      <w:r>
        <w:t xml:space="preserve"> United Nations Committee on the Rights of Persons with Disabilities (2014). </w:t>
      </w:r>
      <w:r w:rsidRPr="001A67B3">
        <w:rPr>
          <w:i/>
          <w:iCs/>
        </w:rPr>
        <w:t>General comment No. 1</w:t>
      </w:r>
      <w:r w:rsidR="001A67B3" w:rsidRPr="001A67B3">
        <w:rPr>
          <w:i/>
          <w:iCs/>
        </w:rPr>
        <w:t xml:space="preserve">. </w:t>
      </w:r>
      <w:r w:rsidRPr="001A67B3">
        <w:rPr>
          <w:i/>
          <w:iCs/>
        </w:rPr>
        <w:t>Article 12: Equal recognition before the law</w:t>
      </w:r>
      <w:r>
        <w:t>. UN CRPD/C.GC/1 (11 April 2014).</w:t>
      </w:r>
      <w:r w:rsidRPr="00467904">
        <w:t xml:space="preserve"> </w:t>
      </w:r>
      <w:hyperlink r:id="rId5" w:history="1">
        <w:r w:rsidRPr="00467904">
          <w:rPr>
            <w:rStyle w:val="Hyperlink"/>
            <w:b w:val="0"/>
            <w:bCs/>
          </w:rPr>
          <w:t>https://www.ohchr.org/en/documents/general-comments-and-recommendations/general-comment-no-1-article-12-equal-recognition-1</w:t>
        </w:r>
      </w:hyperlink>
      <w:r>
        <w:t xml:space="preserve"> </w:t>
      </w:r>
    </w:p>
  </w:endnote>
  <w:endnote w:id="7">
    <w:p w14:paraId="4042514B" w14:textId="2C88FC2C" w:rsidR="00FD2D2E" w:rsidRDefault="00FD2D2E" w:rsidP="00B12BFE">
      <w:pPr>
        <w:pStyle w:val="BodyText"/>
      </w:pPr>
      <w:r>
        <w:rPr>
          <w:rStyle w:val="EndnoteReference"/>
        </w:rPr>
        <w:endnoteRef/>
      </w:r>
      <w:r>
        <w:t xml:space="preserve"> </w:t>
      </w:r>
      <w:r w:rsidR="0000590B" w:rsidRPr="0000590B">
        <w:rPr>
          <w:i/>
          <w:iCs/>
        </w:rPr>
        <w:t>Enabling autonomy</w:t>
      </w:r>
      <w:r w:rsidR="00FC6D1C">
        <w:rPr>
          <w:i/>
          <w:iCs/>
        </w:rPr>
        <w:t xml:space="preserve"> and access</w:t>
      </w:r>
      <w:r w:rsidR="0000590B">
        <w:t xml:space="preserve">, (n 1) </w:t>
      </w:r>
      <w:r w:rsidR="00A36E2E">
        <w:t>14</w:t>
      </w:r>
      <w:r w:rsidR="00984C69">
        <w:t>3-146</w:t>
      </w:r>
      <w:r w:rsidR="00A36E2E">
        <w:t xml:space="preserve">. </w:t>
      </w:r>
    </w:p>
  </w:endnote>
  <w:endnote w:id="8">
    <w:p w14:paraId="47BF3AB8" w14:textId="51FA88AF" w:rsidR="00285BD6" w:rsidRDefault="00285BD6" w:rsidP="00B12BFE">
      <w:pPr>
        <w:pStyle w:val="BodyText"/>
      </w:pPr>
      <w:r>
        <w:rPr>
          <w:rStyle w:val="EndnoteReference"/>
        </w:rPr>
        <w:endnoteRef/>
      </w:r>
      <w:r>
        <w:t xml:space="preserve"> </w:t>
      </w:r>
      <w:r w:rsidR="00E864FD">
        <w:t xml:space="preserve">See e.g., </w:t>
      </w:r>
      <w:r w:rsidR="0000590B" w:rsidRPr="0000590B">
        <w:rPr>
          <w:i/>
          <w:iCs/>
        </w:rPr>
        <w:t>Enabling autonomy</w:t>
      </w:r>
      <w:r w:rsidR="00FC6D1C">
        <w:rPr>
          <w:i/>
          <w:iCs/>
        </w:rPr>
        <w:t xml:space="preserve"> and access</w:t>
      </w:r>
      <w:r w:rsidR="0000590B">
        <w:t xml:space="preserve">, (n 1) </w:t>
      </w:r>
      <w:r w:rsidR="00691223">
        <w:t xml:space="preserve">115, </w:t>
      </w:r>
      <w:r>
        <w:t>143</w:t>
      </w:r>
      <w:r w:rsidR="00E864FD">
        <w:t>-146.</w:t>
      </w:r>
      <w:r w:rsidR="00E864FD" w:rsidRPr="0000590B">
        <w:rPr>
          <w:b/>
        </w:rPr>
        <w:t xml:space="preserve"> </w:t>
      </w:r>
    </w:p>
  </w:endnote>
  <w:endnote w:id="9">
    <w:p w14:paraId="15EDD45B" w14:textId="03AA4B70" w:rsidR="00EC2439" w:rsidRDefault="00EC2439" w:rsidP="00B614D6">
      <w:pPr>
        <w:pStyle w:val="EndnoteText"/>
        <w:spacing w:line="360" w:lineRule="auto"/>
      </w:pPr>
      <w:r>
        <w:rPr>
          <w:rStyle w:val="EndnoteReference"/>
        </w:rPr>
        <w:endnoteRef/>
      </w:r>
      <w:r>
        <w:t xml:space="preserve"> </w:t>
      </w:r>
      <w:proofErr w:type="spellStart"/>
      <w:r w:rsidR="006B0279">
        <w:t>Kayess</w:t>
      </w:r>
      <w:proofErr w:type="spellEnd"/>
      <w:r w:rsidR="006B0279">
        <w:t>, R</w:t>
      </w:r>
      <w:r w:rsidR="001A67B3">
        <w:t>.,</w:t>
      </w:r>
      <w:r w:rsidR="006B0279">
        <w:t xml:space="preserve"> &amp; Sands, T</w:t>
      </w:r>
      <w:r w:rsidR="001E3FDB">
        <w:t xml:space="preserve"> (2020) </w:t>
      </w:r>
      <w:r w:rsidR="001E3FDB" w:rsidRPr="00B614D6">
        <w:rPr>
          <w:i/>
          <w:iCs/>
        </w:rPr>
        <w:t>Convention on the Rights of Persons with Disabilities</w:t>
      </w:r>
      <w:r w:rsidR="0082586E" w:rsidRPr="00B614D6">
        <w:rPr>
          <w:i/>
          <w:iCs/>
        </w:rPr>
        <w:t>: Shining a light on Social Transformation</w:t>
      </w:r>
      <w:r w:rsidR="0082586E">
        <w:t>. Sydney: UNSW Social Policy Research Centre.</w:t>
      </w:r>
      <w:r w:rsidR="00AD6B83">
        <w:t xml:space="preserve"> </w:t>
      </w:r>
      <w:hyperlink r:id="rId6" w:history="1">
        <w:r w:rsidR="00276312" w:rsidRPr="00276312">
          <w:rPr>
            <w:rStyle w:val="Hyperlink"/>
            <w:b w:val="0"/>
            <w:bCs/>
          </w:rPr>
          <w:t>https://disability.royalcommission.gov.au/publications/convention-rights-persons-disabilities-shining-light-social-transformation</w:t>
        </w:r>
      </w:hyperlink>
      <w:r w:rsidR="00276312">
        <w:t xml:space="preserve"> </w:t>
      </w:r>
      <w:r w:rsidR="00AD6B83">
        <w:t xml:space="preserve"> </w:t>
      </w:r>
    </w:p>
  </w:endnote>
  <w:endnote w:id="10">
    <w:p w14:paraId="01393C19" w14:textId="7E5CCDF7" w:rsidR="00DF01D3" w:rsidRPr="00635910" w:rsidRDefault="00DF01D3" w:rsidP="00B12BFE">
      <w:pPr>
        <w:pStyle w:val="BodyText"/>
      </w:pPr>
      <w:r>
        <w:rPr>
          <w:rStyle w:val="EndnoteReference"/>
        </w:rPr>
        <w:endnoteRef/>
      </w:r>
      <w:r>
        <w:t xml:space="preserve"> See</w:t>
      </w:r>
      <w:r w:rsidR="00B40BEF">
        <w:rPr>
          <w:rFonts w:ascii="Arial" w:hAnsi="Arial" w:cs="Arial"/>
          <w:shd w:val="clear" w:color="auto" w:fill="FFFFFF"/>
        </w:rPr>
        <w:t xml:space="preserve"> </w:t>
      </w:r>
      <w:r w:rsidR="00B40BEF" w:rsidRPr="00B40BEF">
        <w:rPr>
          <w:rFonts w:ascii="Arial" w:hAnsi="Arial" w:cs="Arial"/>
          <w:i/>
          <w:iCs/>
          <w:shd w:val="clear" w:color="auto" w:fill="FFFFFF"/>
        </w:rPr>
        <w:t>Supported Decision-Making Rights</w:t>
      </w:r>
      <w:r w:rsidR="00FC6D1C">
        <w:rPr>
          <w:rFonts w:ascii="Arial" w:hAnsi="Arial" w:cs="Arial"/>
          <w:i/>
          <w:iCs/>
          <w:shd w:val="clear" w:color="auto" w:fill="FFFFFF"/>
        </w:rPr>
        <w:t>,</w:t>
      </w:r>
      <w:r w:rsidR="00B40BEF">
        <w:rPr>
          <w:rFonts w:ascii="Arial" w:hAnsi="Arial" w:cs="Arial"/>
          <w:i/>
          <w:iCs/>
          <w:shd w:val="clear" w:color="auto" w:fill="FFFFFF"/>
        </w:rPr>
        <w:t xml:space="preserve"> </w:t>
      </w:r>
      <w:r w:rsidR="00B40BEF" w:rsidRPr="00B40BEF">
        <w:rPr>
          <w:rFonts w:ascii="Arial" w:hAnsi="Arial" w:cs="Arial"/>
          <w:shd w:val="clear" w:color="auto" w:fill="FFFFFF"/>
        </w:rPr>
        <w:t>(n 4)</w:t>
      </w:r>
      <w:r w:rsidR="00B40BEF">
        <w:rPr>
          <w:rFonts w:ascii="Arial" w:hAnsi="Arial" w:cs="Arial"/>
          <w:shd w:val="clear" w:color="auto" w:fill="FFFFFF"/>
        </w:rPr>
        <w:t xml:space="preserve"> </w:t>
      </w:r>
      <w:r w:rsidRPr="00D90669">
        <w:rPr>
          <w:rFonts w:ascii="Arial" w:hAnsi="Arial" w:cs="Arial"/>
          <w:shd w:val="clear" w:color="auto" w:fill="FFFFFF"/>
        </w:rPr>
        <w:t>3.</w:t>
      </w:r>
      <w:r w:rsidR="00635910" w:rsidRPr="00D90669">
        <w:rPr>
          <w:rFonts w:ascii="Arial" w:hAnsi="Arial" w:cs="Arial"/>
          <w:shd w:val="clear" w:color="auto" w:fill="FFFFFF"/>
        </w:rPr>
        <w:t xml:space="preserve"> </w:t>
      </w:r>
    </w:p>
  </w:endnote>
  <w:endnote w:id="11">
    <w:p w14:paraId="6B826341" w14:textId="03627BC6" w:rsidR="001450EA" w:rsidRDefault="001450EA" w:rsidP="00B12BFE">
      <w:pPr>
        <w:pStyle w:val="BodyText"/>
      </w:pPr>
      <w:r>
        <w:rPr>
          <w:rStyle w:val="EndnoteReference"/>
        </w:rPr>
        <w:endnoteRef/>
      </w:r>
      <w:r>
        <w:t xml:space="preserve"> People with Disability Australia (2024). </w:t>
      </w:r>
      <w:r w:rsidRPr="0077398C">
        <w:rPr>
          <w:i/>
          <w:iCs/>
        </w:rPr>
        <w:t>Response to the Disability Royal Commission Final Report</w:t>
      </w:r>
      <w:r>
        <w:t xml:space="preserve"> (January 2024)</w:t>
      </w:r>
      <w:r w:rsidR="003A1DC1">
        <w:t>, 30</w:t>
      </w:r>
      <w:r w:rsidR="00B40BEF">
        <w:t xml:space="preserve"> (‘</w:t>
      </w:r>
      <w:r w:rsidR="00A36E0D" w:rsidRPr="00B40BEF">
        <w:rPr>
          <w:i/>
          <w:iCs/>
        </w:rPr>
        <w:t>Response</w:t>
      </w:r>
      <w:r w:rsidR="00A36E0D">
        <w:rPr>
          <w:i/>
          <w:iCs/>
        </w:rPr>
        <w:t xml:space="preserve"> to the Disability Royal Commission’</w:t>
      </w:r>
      <w:r w:rsidR="00B40BEF">
        <w:t>)</w:t>
      </w:r>
      <w:r w:rsidR="003A1DC1">
        <w:t>.</w:t>
      </w:r>
      <w:r>
        <w:t xml:space="preserve"> </w:t>
      </w:r>
      <w:hyperlink r:id="rId7" w:history="1">
        <w:r w:rsidRPr="001450EA">
          <w:rPr>
            <w:rStyle w:val="Hyperlink"/>
            <w:b w:val="0"/>
            <w:bCs/>
          </w:rPr>
          <w:t>https://pwd.org.au/wp-content/uploads/2024/02/PWDA-Response-to-the-DRC-Final-Report_Feb-2024.pdf</w:t>
        </w:r>
      </w:hyperlink>
      <w:r>
        <w:t xml:space="preserve"> </w:t>
      </w:r>
    </w:p>
  </w:endnote>
  <w:endnote w:id="12">
    <w:p w14:paraId="0DB24B1F" w14:textId="5AD7EE0C" w:rsidR="003A1DC1" w:rsidRDefault="003A1DC1" w:rsidP="00B12BFE">
      <w:pPr>
        <w:pStyle w:val="BodyText"/>
      </w:pPr>
      <w:r>
        <w:rPr>
          <w:rStyle w:val="EndnoteReference"/>
        </w:rPr>
        <w:endnoteRef/>
      </w:r>
      <w:r>
        <w:t xml:space="preserve"> </w:t>
      </w:r>
      <w:r w:rsidR="00B40BEF">
        <w:t>Ibid</w:t>
      </w:r>
      <w:r>
        <w:t xml:space="preserve"> 31. </w:t>
      </w:r>
    </w:p>
  </w:endnote>
  <w:endnote w:id="13">
    <w:p w14:paraId="7546BA17" w14:textId="2B4C735B" w:rsidR="00780883" w:rsidRDefault="00780883" w:rsidP="00B12BFE">
      <w:pPr>
        <w:pStyle w:val="BodyText"/>
      </w:pPr>
      <w:r>
        <w:rPr>
          <w:rStyle w:val="EndnoteReference"/>
        </w:rPr>
        <w:endnoteRef/>
      </w:r>
      <w:r>
        <w:t xml:space="preserve"> Then, S- N., Duffy, </w:t>
      </w:r>
      <w:r w:rsidR="006E19F2">
        <w:t xml:space="preserve">J., </w:t>
      </w:r>
      <w:r>
        <w:t>Bigby,</w:t>
      </w:r>
      <w:r w:rsidR="006E19F2">
        <w:t xml:space="preserve"> C.,</w:t>
      </w:r>
      <w:r>
        <w:t xml:space="preserve"> et al. (2024). Delivering Decision Making Support to People </w:t>
      </w:r>
      <w:r w:rsidR="006E19F2">
        <w:t>w</w:t>
      </w:r>
      <w:r>
        <w:t xml:space="preserve">ith Cognitive Disability – What More Has Been Learned </w:t>
      </w:r>
      <w:r w:rsidR="006E19F2">
        <w:t>f</w:t>
      </w:r>
      <w:r>
        <w:t xml:space="preserve">rom Pilot Programmes in Australia and Internationally From 2016 to 2021? </w:t>
      </w:r>
      <w:r w:rsidRPr="00780883">
        <w:rPr>
          <w:i/>
          <w:iCs/>
        </w:rPr>
        <w:t>Australian Journal of Social Issues</w:t>
      </w:r>
      <w:r>
        <w:t xml:space="preserve"> 59: 532–553.</w:t>
      </w:r>
    </w:p>
  </w:endnote>
  <w:endnote w:id="14">
    <w:p w14:paraId="79F3A0A7" w14:textId="347F28FF" w:rsidR="00635910" w:rsidRDefault="00635910" w:rsidP="00B12BFE">
      <w:pPr>
        <w:pStyle w:val="BodyText"/>
      </w:pPr>
      <w:r>
        <w:rPr>
          <w:rStyle w:val="EndnoteReference"/>
        </w:rPr>
        <w:endnoteRef/>
      </w:r>
      <w:r>
        <w:t xml:space="preserve">  </w:t>
      </w:r>
      <w:r w:rsidR="00B40BEF" w:rsidRPr="00067DB2">
        <w:rPr>
          <w:i/>
          <w:iCs/>
        </w:rPr>
        <w:t>Diversity</w:t>
      </w:r>
      <w:r w:rsidR="00F14731">
        <w:rPr>
          <w:i/>
          <w:iCs/>
        </w:rPr>
        <w:t>,</w:t>
      </w:r>
      <w:r w:rsidR="00B40BEF">
        <w:rPr>
          <w:i/>
          <w:iCs/>
        </w:rPr>
        <w:t xml:space="preserve"> </w:t>
      </w:r>
      <w:r w:rsidR="00B40BEF" w:rsidRPr="00067DB2">
        <w:rPr>
          <w:i/>
          <w:iCs/>
        </w:rPr>
        <w:t>dignity</w:t>
      </w:r>
      <w:r w:rsidR="00F14731">
        <w:rPr>
          <w:i/>
          <w:iCs/>
        </w:rPr>
        <w:t>,</w:t>
      </w:r>
      <w:r w:rsidR="00533AEB">
        <w:rPr>
          <w:i/>
          <w:iCs/>
        </w:rPr>
        <w:t xml:space="preserve"> equity</w:t>
      </w:r>
      <w:r w:rsidR="00B40BEF">
        <w:t>, (n</w:t>
      </w:r>
      <w:r w:rsidR="00CA507C">
        <w:t xml:space="preserve"> </w:t>
      </w:r>
      <w:r w:rsidR="00B40BEF">
        <w:t>3)</w:t>
      </w:r>
      <w:r w:rsidR="00CA507C">
        <w:t>.</w:t>
      </w:r>
    </w:p>
  </w:endnote>
  <w:endnote w:id="15">
    <w:p w14:paraId="4741C71D" w14:textId="38A3B333" w:rsidR="00F82910" w:rsidRDefault="00F82910" w:rsidP="00B12BFE">
      <w:pPr>
        <w:pStyle w:val="BodyText"/>
      </w:pPr>
      <w:r>
        <w:rPr>
          <w:rStyle w:val="EndnoteReference"/>
        </w:rPr>
        <w:endnoteRef/>
      </w:r>
      <w:r>
        <w:t xml:space="preserve"> </w:t>
      </w:r>
      <w:r w:rsidR="00B40BEF" w:rsidRPr="0000590B">
        <w:rPr>
          <w:i/>
          <w:iCs/>
        </w:rPr>
        <w:t>Enabling autonomy</w:t>
      </w:r>
      <w:r w:rsidR="00533AEB">
        <w:rPr>
          <w:i/>
          <w:iCs/>
        </w:rPr>
        <w:t xml:space="preserve"> and access</w:t>
      </w:r>
      <w:r w:rsidR="00B40BEF">
        <w:t xml:space="preserve">, (n 1) </w:t>
      </w:r>
      <w:r>
        <w:t>123.</w:t>
      </w:r>
      <w:r w:rsidR="00B40BEF">
        <w:t xml:space="preserve"> </w:t>
      </w:r>
    </w:p>
  </w:endnote>
  <w:endnote w:id="16">
    <w:p w14:paraId="45D3DB80" w14:textId="3171E2D9" w:rsidR="00635910" w:rsidRDefault="00635910" w:rsidP="00B12BFE">
      <w:pPr>
        <w:pStyle w:val="BodyText"/>
      </w:pPr>
      <w:r>
        <w:rPr>
          <w:rStyle w:val="EndnoteReference"/>
        </w:rPr>
        <w:endnoteRef/>
      </w:r>
      <w:r w:rsidR="006625FB">
        <w:t xml:space="preserve"> </w:t>
      </w:r>
      <w:r>
        <w:t xml:space="preserve">Royal Commission into Violence, Abuse, Neglect and Exploitation of People with Disability (2023). </w:t>
      </w:r>
      <w:r w:rsidRPr="00CA507C">
        <w:rPr>
          <w:i/>
          <w:iCs/>
        </w:rPr>
        <w:t>Final Report</w:t>
      </w:r>
      <w:r w:rsidR="00CA507C">
        <w:rPr>
          <w:i/>
          <w:iCs/>
        </w:rPr>
        <w:t>. E</w:t>
      </w:r>
      <w:r w:rsidRPr="00CA507C">
        <w:rPr>
          <w:i/>
          <w:iCs/>
        </w:rPr>
        <w:t>xecutive summary</w:t>
      </w:r>
      <w:r>
        <w:t xml:space="preserve">, 70-71. </w:t>
      </w:r>
      <w:hyperlink r:id="rId8" w:history="1">
        <w:r w:rsidR="007670F3">
          <w:rPr>
            <w:rStyle w:val="Hyperlink"/>
            <w:b w:val="0"/>
          </w:rPr>
          <w:t xml:space="preserve">Disability Royal Commission Final Report. Executive summary, 70-71. </w:t>
        </w:r>
      </w:hyperlink>
      <w:r w:rsidR="006625FB">
        <w:t xml:space="preserve">;  </w:t>
      </w:r>
      <w:r w:rsidR="00B40BEF" w:rsidRPr="0000590B">
        <w:rPr>
          <w:i/>
          <w:iCs/>
        </w:rPr>
        <w:t>Enabling autonomy</w:t>
      </w:r>
      <w:r w:rsidR="00B40BEF">
        <w:t xml:space="preserve">, (n 1) </w:t>
      </w:r>
      <w:r w:rsidR="006625FB">
        <w:t xml:space="preserve">122. </w:t>
      </w:r>
      <w:hyperlink r:id="rId9" w:history="1">
        <w:r w:rsidR="00961F96">
          <w:rPr>
            <w:rStyle w:val="Hyperlink"/>
            <w:b w:val="0"/>
          </w:rPr>
          <w:t>Disability Royal Commission Final Report. Executive summary</w:t>
        </w:r>
      </w:hyperlink>
    </w:p>
  </w:endnote>
  <w:endnote w:id="17">
    <w:p w14:paraId="7D2FC13C" w14:textId="04AED68A" w:rsidR="009378E0" w:rsidRDefault="009378E0" w:rsidP="00B12BFE">
      <w:pPr>
        <w:pStyle w:val="BodyText"/>
      </w:pPr>
      <w:r>
        <w:rPr>
          <w:rStyle w:val="EndnoteReference"/>
        </w:rPr>
        <w:endnoteRef/>
      </w:r>
      <w:r>
        <w:t xml:space="preserve"> Australian Law Reform Commission (2014) </w:t>
      </w:r>
      <w:r w:rsidRPr="00CA507C">
        <w:rPr>
          <w:i/>
          <w:iCs/>
        </w:rPr>
        <w:t>Equality, Capacity and Disability in Commonwealth Laws</w:t>
      </w:r>
      <w:r>
        <w:t xml:space="preserve">. Final Report. ALRC Report 124 (August 2014). </w:t>
      </w:r>
      <w:hyperlink r:id="rId10" w:history="1">
        <w:r w:rsidR="00D2401C" w:rsidRPr="00C263BB">
          <w:rPr>
            <w:rStyle w:val="Hyperlink"/>
            <w:b w:val="0"/>
            <w:bCs/>
          </w:rPr>
          <w:t>https://www.alrc.gov.au/wp-content/uploads/2019/08/alrc_124_whole_pdf_file.pdf</w:t>
        </w:r>
      </w:hyperlink>
      <w:r w:rsidR="00D2401C" w:rsidRPr="00C263BB">
        <w:rPr>
          <w:b/>
          <w:bCs/>
        </w:rPr>
        <w:t xml:space="preserve"> </w:t>
      </w:r>
      <w:r w:rsidR="00B74C40">
        <w:t xml:space="preserve"> </w:t>
      </w:r>
    </w:p>
  </w:endnote>
  <w:endnote w:id="18">
    <w:p w14:paraId="65D84D9C" w14:textId="036C41F7" w:rsidR="000F22E7" w:rsidRDefault="000F22E7" w:rsidP="00B12BFE">
      <w:pPr>
        <w:pStyle w:val="BodyText"/>
      </w:pPr>
      <w:r>
        <w:rPr>
          <w:rStyle w:val="EndnoteReference"/>
        </w:rPr>
        <w:endnoteRef/>
      </w:r>
      <w:r>
        <w:t xml:space="preserve"> </w:t>
      </w:r>
      <w:r w:rsidR="00B40BEF" w:rsidRPr="00B40BEF">
        <w:rPr>
          <w:i/>
          <w:iCs/>
        </w:rPr>
        <w:t>Response</w:t>
      </w:r>
      <w:r w:rsidR="007667B5">
        <w:rPr>
          <w:i/>
          <w:iCs/>
        </w:rPr>
        <w:t xml:space="preserve"> to the Disability Royal Commission</w:t>
      </w:r>
      <w:r w:rsidR="00B40BEF">
        <w:t>, (n</w:t>
      </w:r>
      <w:r w:rsidR="00276312">
        <w:t xml:space="preserve"> 11</w:t>
      </w:r>
      <w:r w:rsidR="00B40BEF">
        <w:t>).</w:t>
      </w:r>
      <w:r>
        <w:t xml:space="preserve"> </w:t>
      </w:r>
    </w:p>
  </w:endnote>
  <w:endnote w:id="19">
    <w:p w14:paraId="6F6C9D9F" w14:textId="6C361D34" w:rsidR="00F14316" w:rsidRDefault="00F14316" w:rsidP="00B12BFE">
      <w:pPr>
        <w:pStyle w:val="BodyText"/>
      </w:pPr>
      <w:r>
        <w:rPr>
          <w:rStyle w:val="EndnoteReference"/>
        </w:rPr>
        <w:endnoteRef/>
      </w:r>
      <w:r w:rsidR="00695585">
        <w:t xml:space="preserve"> </w:t>
      </w:r>
      <w:r w:rsidR="00D26CBE">
        <w:t xml:space="preserve">Australian Governments: </w:t>
      </w:r>
      <w:r w:rsidR="00695585">
        <w:t>Disability Royal Commission Progress Report 2025 (Nov/Dec 2025)</w:t>
      </w:r>
      <w:r>
        <w:t xml:space="preserve"> </w:t>
      </w:r>
      <w:hyperlink r:id="rId11" w:history="1">
        <w:r w:rsidRPr="00695585">
          <w:rPr>
            <w:rStyle w:val="Hyperlink"/>
            <w:b w:val="0"/>
            <w:bCs/>
          </w:rPr>
          <w:t>https://www.health.gov.au/resources/publications/disability-royal-commission-progress-report-2025/volume-6-enabling-autonomy-and-access</w:t>
        </w:r>
      </w:hyperlink>
      <w:r>
        <w:t xml:space="preserve"> </w:t>
      </w:r>
    </w:p>
  </w:endnote>
  <w:endnote w:id="20">
    <w:p w14:paraId="46DC16E3" w14:textId="44654903" w:rsidR="00C5708A" w:rsidRDefault="00C5708A" w:rsidP="00B12BFE">
      <w:pPr>
        <w:pStyle w:val="BodyText"/>
      </w:pPr>
      <w:r>
        <w:rPr>
          <w:rStyle w:val="EndnoteReference"/>
        </w:rPr>
        <w:endnoteRef/>
      </w:r>
      <w:r>
        <w:t xml:space="preserve"> Stewart, S. (2025) </w:t>
      </w:r>
      <w:r w:rsidRPr="001A67B3">
        <w:rPr>
          <w:i/>
          <w:iCs/>
        </w:rPr>
        <w:t>Supported decision-making for people living with dementia in NSW</w:t>
      </w:r>
      <w:r w:rsidR="001C4BD6">
        <w:t>. Research paper: 2025-26. Parliamentary Research Service, Parliament of New South Wales.</w:t>
      </w:r>
      <w:r w:rsidR="00F43346">
        <w:t xml:space="preserve"> </w:t>
      </w:r>
      <w:hyperlink r:id="rId12" w:history="1">
        <w:r w:rsidR="00F43346" w:rsidRPr="00F43346">
          <w:rPr>
            <w:rStyle w:val="Hyperlink"/>
            <w:b w:val="0"/>
            <w:bCs/>
          </w:rPr>
          <w:t>https://www.parliament.nsw.gov.au/researchpapers/Documents/Supported-decision-making-for-people-living-with-dementia-in-NSW.pdf</w:t>
        </w:r>
      </w:hyperlink>
      <w:r w:rsidR="00F43346">
        <w:t xml:space="preserve"> </w:t>
      </w:r>
    </w:p>
  </w:endnote>
  <w:endnote w:id="21">
    <w:p w14:paraId="740EAE80" w14:textId="127122E2" w:rsidR="00F43346" w:rsidRDefault="00F43346" w:rsidP="00B12BFE">
      <w:pPr>
        <w:pStyle w:val="BodyText"/>
      </w:pPr>
      <w:r>
        <w:rPr>
          <w:rStyle w:val="EndnoteReference"/>
        </w:rPr>
        <w:endnoteRef/>
      </w:r>
      <w:r>
        <w:t xml:space="preserve"> </w:t>
      </w:r>
      <w:r w:rsidR="00B40BEF">
        <w:t>Ibid</w:t>
      </w:r>
      <w:r>
        <w:t xml:space="preserve"> 33. </w:t>
      </w:r>
    </w:p>
  </w:endnote>
  <w:endnote w:id="22">
    <w:p w14:paraId="2B0C80AE" w14:textId="27E52AB3" w:rsidR="00F43346" w:rsidRDefault="00F43346" w:rsidP="00B12BFE">
      <w:pPr>
        <w:pStyle w:val="BodyText"/>
      </w:pPr>
      <w:r>
        <w:rPr>
          <w:rStyle w:val="EndnoteReference"/>
        </w:rPr>
        <w:endnoteRef/>
      </w:r>
      <w:r>
        <w:t xml:space="preserve"> NSW Ageing and Disability Commission (2022). </w:t>
      </w:r>
      <w:r w:rsidRPr="00A1113D">
        <w:rPr>
          <w:i/>
          <w:iCs/>
        </w:rPr>
        <w:t>Annual Report 2021-22</w:t>
      </w:r>
      <w:r>
        <w:t xml:space="preserve">, 61. </w:t>
      </w:r>
      <w:hyperlink r:id="rId13" w:history="1">
        <w:r w:rsidRPr="00F43346">
          <w:rPr>
            <w:rStyle w:val="Hyperlink"/>
            <w:b w:val="0"/>
            <w:bCs/>
          </w:rPr>
          <w:t>https://ageingdisabilitycommission.nsw.gov.au/documents/2021_22_NSW_ADC_Annual_Report.pdf</w:t>
        </w:r>
      </w:hyperlink>
      <w:r>
        <w:t xml:space="preserve">; </w:t>
      </w:r>
      <w:r w:rsidRPr="00F43346">
        <w:t xml:space="preserve">NSW Ageing and Disability Commission (2022). </w:t>
      </w:r>
      <w:r w:rsidRPr="00A1113D">
        <w:rPr>
          <w:i/>
          <w:iCs/>
        </w:rPr>
        <w:t>Annual Report 2022-23</w:t>
      </w:r>
      <w:r w:rsidRPr="00F43346">
        <w:t xml:space="preserve">, </w:t>
      </w:r>
      <w:r>
        <w:t>27</w:t>
      </w:r>
      <w:r w:rsidRPr="00F43346">
        <w:t>.</w:t>
      </w:r>
      <w:r>
        <w:t xml:space="preserve"> </w:t>
      </w:r>
      <w:hyperlink r:id="rId14" w:history="1">
        <w:r w:rsidRPr="00F43346">
          <w:rPr>
            <w:rStyle w:val="Hyperlink"/>
            <w:b w:val="0"/>
            <w:bCs/>
          </w:rPr>
          <w:t>https://ageingdisabilitycommission.nsw.gov.au/documents/submissions/NSW_Ageing_and_Disability_Commission_2022_2023_Annual_Report.pdf</w:t>
        </w:r>
      </w:hyperlink>
      <w:r>
        <w:t xml:space="preserve"> </w:t>
      </w:r>
    </w:p>
  </w:endnote>
  <w:endnote w:id="23">
    <w:p w14:paraId="4118789C" w14:textId="1CD39C1A" w:rsidR="003B73D6" w:rsidRDefault="003B73D6" w:rsidP="00B12BFE">
      <w:pPr>
        <w:pStyle w:val="BodyText"/>
      </w:pPr>
      <w:r>
        <w:rPr>
          <w:rStyle w:val="EndnoteReference"/>
        </w:rPr>
        <w:endnoteRef/>
      </w:r>
      <w:r>
        <w:t xml:space="preserve"> Blaxland, M., Thompson, C., Broady, T., Katz, I., &amp; Zhang, Q (2025). </w:t>
      </w:r>
      <w:r w:rsidRPr="00276312">
        <w:rPr>
          <w:i/>
          <w:iCs/>
        </w:rPr>
        <w:t>Neglect among Adults with Disability and Older People in New South Wales</w:t>
      </w:r>
      <w:r>
        <w:t>. Sydney: UNSW Social Policy Research Centre / Centre for Social Research in Health, 65</w:t>
      </w:r>
      <w:r w:rsidR="00B40BEF">
        <w:t xml:space="preserve"> (‘</w:t>
      </w:r>
      <w:r w:rsidR="00B40BEF" w:rsidRPr="004A52A6">
        <w:rPr>
          <w:i/>
          <w:iCs/>
        </w:rPr>
        <w:t>Neglect</w:t>
      </w:r>
      <w:r w:rsidR="00CF11B3">
        <w:t xml:space="preserve"> </w:t>
      </w:r>
      <w:r w:rsidR="00CF11B3" w:rsidRPr="00B12BFE">
        <w:rPr>
          <w:i/>
          <w:iCs/>
        </w:rPr>
        <w:t>among adults’</w:t>
      </w:r>
      <w:r w:rsidR="004A52A6">
        <w:t>).</w:t>
      </w:r>
      <w:r>
        <w:t xml:space="preserve"> DOI: </w:t>
      </w:r>
      <w:hyperlink r:id="rId15" w:history="1">
        <w:r w:rsidRPr="003B73D6">
          <w:rPr>
            <w:rStyle w:val="Hyperlink"/>
            <w:b w:val="0"/>
            <w:bCs/>
          </w:rPr>
          <w:t>http://doi.org/10.26190/unsworks/31553</w:t>
        </w:r>
      </w:hyperlink>
      <w:r>
        <w:t xml:space="preserve"> </w:t>
      </w:r>
    </w:p>
  </w:endnote>
  <w:endnote w:id="24">
    <w:p w14:paraId="262DCAE0" w14:textId="14010CDF" w:rsidR="00D90669" w:rsidRDefault="00D90669" w:rsidP="00B12BFE">
      <w:pPr>
        <w:pStyle w:val="BodyText"/>
      </w:pPr>
      <w:r>
        <w:rPr>
          <w:rStyle w:val="EndnoteReference"/>
        </w:rPr>
        <w:endnoteRef/>
      </w:r>
      <w:r>
        <w:t xml:space="preserve"> NSW Ageing and Disability Commission (2022). </w:t>
      </w:r>
      <w:r w:rsidRPr="00A1113D">
        <w:rPr>
          <w:i/>
          <w:iCs/>
        </w:rPr>
        <w:t>Annual Report 2021-22</w:t>
      </w:r>
      <w:r>
        <w:t xml:space="preserve">, 48. </w:t>
      </w:r>
      <w:hyperlink r:id="rId16" w:history="1">
        <w:r w:rsidRPr="00F43346">
          <w:rPr>
            <w:rStyle w:val="Hyperlink"/>
            <w:b w:val="0"/>
            <w:bCs/>
          </w:rPr>
          <w:t>https://ageingdisabilitycommission.nsw.gov.au/documents/2021_22_NSW_ADC_Annual_Report.pdf</w:t>
        </w:r>
      </w:hyperlink>
    </w:p>
  </w:endnote>
  <w:endnote w:id="25">
    <w:p w14:paraId="1D69B1C7" w14:textId="3D108D53" w:rsidR="008B6BE8" w:rsidRDefault="008B6BE8" w:rsidP="00B12BFE">
      <w:pPr>
        <w:pStyle w:val="BodyText"/>
      </w:pPr>
      <w:r>
        <w:rPr>
          <w:rStyle w:val="EndnoteReference"/>
        </w:rPr>
        <w:endnoteRef/>
      </w:r>
      <w:r>
        <w:t xml:space="preserve"> </w:t>
      </w:r>
      <w:r w:rsidR="004A52A6" w:rsidRPr="00B12BFE">
        <w:rPr>
          <w:i/>
          <w:iCs/>
        </w:rPr>
        <w:t>Neglect</w:t>
      </w:r>
      <w:r w:rsidR="003C2876" w:rsidRPr="00B12BFE">
        <w:rPr>
          <w:i/>
          <w:iCs/>
        </w:rPr>
        <w:t xml:space="preserve"> among adults</w:t>
      </w:r>
      <w:r w:rsidR="004A52A6">
        <w:t>, (n 2</w:t>
      </w:r>
      <w:r w:rsidR="00276312">
        <w:t>3</w:t>
      </w:r>
      <w:r w:rsidR="004A52A6">
        <w:t xml:space="preserve">) </w:t>
      </w:r>
      <w:r>
        <w:t>65.</w:t>
      </w:r>
      <w:r w:rsidR="004A52A6">
        <w:t xml:space="preserve"> </w:t>
      </w:r>
    </w:p>
  </w:endnote>
  <w:endnote w:id="26">
    <w:p w14:paraId="28737267" w14:textId="0CE10527" w:rsidR="002C6867" w:rsidRDefault="002C6867" w:rsidP="00B12BFE">
      <w:pPr>
        <w:pStyle w:val="BodyText"/>
      </w:pPr>
      <w:r>
        <w:rPr>
          <w:rStyle w:val="EndnoteReference"/>
        </w:rPr>
        <w:endnoteRef/>
      </w:r>
      <w:r>
        <w:t xml:space="preserve"> </w:t>
      </w:r>
      <w:r w:rsidR="004A52A6">
        <w:t>Ibid</w:t>
      </w:r>
      <w:r>
        <w:t xml:space="preserve"> 63. </w:t>
      </w:r>
    </w:p>
  </w:endnote>
  <w:endnote w:id="27">
    <w:p w14:paraId="4FC4CE89" w14:textId="1E078FE6" w:rsidR="002C6867" w:rsidRDefault="002C6867" w:rsidP="00B12BFE">
      <w:pPr>
        <w:pStyle w:val="BodyText"/>
      </w:pPr>
      <w:r>
        <w:rPr>
          <w:rStyle w:val="EndnoteReference"/>
        </w:rPr>
        <w:endnoteRef/>
      </w:r>
      <w:r>
        <w:t xml:space="preserve"> </w:t>
      </w:r>
      <w:r w:rsidR="00D26CBE">
        <w:t xml:space="preserve">Ibid </w:t>
      </w:r>
      <w:r>
        <w:t>65</w:t>
      </w:r>
      <w:r w:rsidR="00D26CBE">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G Rounded">
    <w:altName w:val="Calibri"/>
    <w:panose1 w:val="020B0500000000000000"/>
    <w:charset w:val="00"/>
    <w:family w:val="swiss"/>
    <w:pitch w:val="variable"/>
    <w:sig w:usb0="00000003" w:usb1="00000000" w:usb2="00000000" w:usb3="00000000" w:csb0="00000001" w:csb1="00000000"/>
  </w:font>
  <w:font w:name="VAGblake">
    <w:altName w:val="Calibri"/>
    <w:panose1 w:val="00000000000000000000"/>
    <w:charset w:val="00"/>
    <w:family w:val="modern"/>
    <w:notTrueType/>
    <w:pitch w:val="variable"/>
    <w:sig w:usb0="800000AF" w:usb1="40000048" w:usb2="00000000" w:usb3="00000000" w:csb0="00000001" w:csb1="00000000"/>
  </w:font>
  <w:font w:name="MinionPro-Regular">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607531"/>
      <w:docPartObj>
        <w:docPartGallery w:val="Page Numbers (Bottom of Page)"/>
        <w:docPartUnique/>
      </w:docPartObj>
    </w:sdtPr>
    <w:sdtEndPr>
      <w:rPr>
        <w:noProof/>
      </w:rPr>
    </w:sdtEndPr>
    <w:sdtContent>
      <w:p w14:paraId="6396011D" w14:textId="77777777" w:rsidR="00D2193E" w:rsidRPr="0088658F" w:rsidRDefault="00D2193E" w:rsidP="00D2193E">
        <w:pPr>
          <w:pStyle w:val="Footer"/>
          <w:jc w:val="center"/>
          <w:rPr>
            <w:noProof/>
            <w:color w:val="005496" w:themeColor="accent1"/>
          </w:rPr>
        </w:pPr>
        <w:r w:rsidRPr="0088658F">
          <w:rPr>
            <w:color w:val="005496" w:themeColor="accent1"/>
          </w:rPr>
          <w:fldChar w:fldCharType="begin"/>
        </w:r>
        <w:r w:rsidRPr="0088658F">
          <w:rPr>
            <w:color w:val="005496" w:themeColor="accent1"/>
          </w:rPr>
          <w:instrText xml:space="preserve"> PAGE   \* MERGEFORMAT </w:instrText>
        </w:r>
        <w:r w:rsidRPr="0088658F">
          <w:rPr>
            <w:color w:val="005496" w:themeColor="accent1"/>
          </w:rPr>
          <w:fldChar w:fldCharType="separate"/>
        </w:r>
        <w:r w:rsidRPr="0088658F">
          <w:rPr>
            <w:noProof/>
            <w:color w:val="005496" w:themeColor="accent1"/>
          </w:rPr>
          <w:t>2</w:t>
        </w:r>
        <w:r w:rsidRPr="0088658F">
          <w:rPr>
            <w:noProof/>
            <w:color w:val="005496" w:themeColor="accent1"/>
          </w:rPr>
          <w:fldChar w:fldCharType="end"/>
        </w:r>
      </w:p>
      <w:p w14:paraId="0CB5A6AE" w14:textId="77777777" w:rsidR="00665E6E" w:rsidRDefault="00000000" w:rsidP="00D2193E">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78C8" w14:textId="77777777" w:rsidR="00ED4A4E" w:rsidRPr="00ED4A4E" w:rsidRDefault="00EA7300" w:rsidP="00ED4A4E">
    <w:pPr>
      <w:pStyle w:val="Footer"/>
      <w:ind w:right="-143"/>
      <w:jc w:val="right"/>
      <w:rPr>
        <w:b/>
        <w:bCs/>
      </w:rPr>
    </w:pPr>
    <w:r>
      <w:rPr>
        <w:noProof/>
      </w:rPr>
      <w:drawing>
        <wp:anchor distT="0" distB="0" distL="114300" distR="114300" simplePos="0" relativeHeight="251661312" behindDoc="1" locked="0" layoutInCell="1" allowOverlap="1" wp14:anchorId="3B9E8619" wp14:editId="4B8B5335">
          <wp:simplePos x="0" y="0"/>
          <wp:positionH relativeFrom="page">
            <wp:posOffset>6152111</wp:posOffset>
          </wp:positionH>
          <wp:positionV relativeFrom="paragraph">
            <wp:posOffset>-592282</wp:posOffset>
          </wp:positionV>
          <wp:extent cx="1395442" cy="1246159"/>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98652" cy="1249025"/>
                  </a:xfrm>
                  <a:prstGeom prst="rect">
                    <a:avLst/>
                  </a:prstGeom>
                </pic:spPr>
              </pic:pic>
            </a:graphicData>
          </a:graphic>
          <wp14:sizeRelH relativeFrom="page">
            <wp14:pctWidth>0</wp14:pctWidth>
          </wp14:sizeRelH>
          <wp14:sizeRelV relativeFrom="page">
            <wp14:pctHeight>0</wp14:pctHeight>
          </wp14:sizeRelV>
        </wp:anchor>
      </w:drawing>
    </w:r>
    <w:sdt>
      <w:sdtPr>
        <w:id w:val="-1025715486"/>
        <w:docPartObj>
          <w:docPartGallery w:val="Page Numbers (Bottom of Page)"/>
          <w:docPartUnique/>
        </w:docPartObj>
      </w:sdtPr>
      <w:sdtEndPr>
        <w:rPr>
          <w:noProof/>
        </w:rPr>
      </w:sdtEndPr>
      <w:sdtContent>
        <w:r w:rsidR="00ED4A4E" w:rsidRPr="00ED4A4E">
          <w:rPr>
            <w:rFonts w:asciiTheme="minorHAnsi" w:hAnsiTheme="minorHAnsi" w:cstheme="minorHAnsi"/>
            <w:b/>
            <w:bCs/>
            <w:color w:val="005496" w:themeColor="text2"/>
          </w:rPr>
          <w:fldChar w:fldCharType="begin"/>
        </w:r>
        <w:r w:rsidR="00ED4A4E" w:rsidRPr="00ED4A4E">
          <w:rPr>
            <w:rFonts w:asciiTheme="minorHAnsi" w:hAnsiTheme="minorHAnsi" w:cstheme="minorHAnsi"/>
            <w:b/>
            <w:bCs/>
            <w:color w:val="005496" w:themeColor="text2"/>
          </w:rPr>
          <w:instrText xml:space="preserve"> PAGE   \* MERGEFORMAT </w:instrText>
        </w:r>
        <w:r w:rsidR="00ED4A4E" w:rsidRPr="00ED4A4E">
          <w:rPr>
            <w:rFonts w:asciiTheme="minorHAnsi" w:hAnsiTheme="minorHAnsi" w:cstheme="minorHAnsi"/>
            <w:b/>
            <w:bCs/>
            <w:color w:val="005496" w:themeColor="text2"/>
          </w:rPr>
          <w:fldChar w:fldCharType="separate"/>
        </w:r>
        <w:r w:rsidR="00ED4A4E" w:rsidRPr="00ED4A4E">
          <w:rPr>
            <w:rFonts w:asciiTheme="minorHAnsi" w:hAnsiTheme="minorHAnsi" w:cstheme="minorHAnsi"/>
            <w:b/>
            <w:bCs/>
            <w:noProof/>
            <w:color w:val="005496" w:themeColor="text2"/>
          </w:rPr>
          <w:t>2</w:t>
        </w:r>
        <w:r w:rsidR="00ED4A4E" w:rsidRPr="00ED4A4E">
          <w:rPr>
            <w:rFonts w:asciiTheme="minorHAnsi" w:hAnsiTheme="minorHAnsi" w:cstheme="minorHAnsi"/>
            <w:b/>
            <w:bCs/>
            <w:noProof/>
            <w:color w:val="005496" w:themeColor="text2"/>
          </w:rPr>
          <w:fldChar w:fldCharType="end"/>
        </w:r>
        <w:r w:rsidR="00ED4A4E" w:rsidRPr="00ED4A4E">
          <w:rPr>
            <w:rFonts w:asciiTheme="minorHAnsi" w:hAnsiTheme="minorHAnsi" w:cstheme="minorHAnsi"/>
            <w:b/>
            <w:bCs/>
            <w:noProof/>
          </w:rPr>
          <w:tab/>
        </w:r>
      </w:sdtContent>
    </w:sdt>
  </w:p>
  <w:p w14:paraId="712178A7" w14:textId="77777777" w:rsidR="00F11608" w:rsidRPr="004B15FD" w:rsidRDefault="00F11608" w:rsidP="004B15FD">
    <w:pPr>
      <w:pStyle w:val="Footer"/>
      <w:ind w:right="-143"/>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D07B" w14:textId="77777777" w:rsidR="00131DD9" w:rsidRDefault="00131DD9" w:rsidP="00F1283C">
      <w:pPr>
        <w:spacing w:after="0" w:line="240" w:lineRule="auto"/>
      </w:pPr>
      <w:bookmarkStart w:id="0" w:name="_Hlk80104043"/>
      <w:bookmarkEnd w:id="0"/>
      <w:r>
        <w:separator/>
      </w:r>
    </w:p>
  </w:footnote>
  <w:footnote w:type="continuationSeparator" w:id="0">
    <w:p w14:paraId="36AA4162" w14:textId="77777777" w:rsidR="00131DD9" w:rsidRDefault="00131DD9" w:rsidP="00F1283C">
      <w:pPr>
        <w:spacing w:after="0" w:line="240" w:lineRule="auto"/>
      </w:pPr>
      <w:r>
        <w:continuationSeparator/>
      </w:r>
    </w:p>
  </w:footnote>
  <w:footnote w:id="1">
    <w:p w14:paraId="59439238" w14:textId="72665E51" w:rsidR="00BF1D41" w:rsidRDefault="00BF1D41">
      <w:pPr>
        <w:pStyle w:val="FootnoteText"/>
      </w:pPr>
      <w:r>
        <w:rPr>
          <w:rStyle w:val="FootnoteReference"/>
        </w:rPr>
        <w:footnoteRef/>
      </w:r>
      <w:r>
        <w:t xml:space="preserve"> PWDA </w:t>
      </w:r>
      <w:r w:rsidR="00C370EC">
        <w:t>believes rights to autonomy and legal capacity also exist for young people with disability under 18</w:t>
      </w:r>
      <w:r w:rsidR="00EF6261">
        <w:t xml:space="preserve"> (in line with </w:t>
      </w:r>
      <w:r w:rsidR="009D0485">
        <w:t xml:space="preserve">Australian </w:t>
      </w:r>
      <w:r w:rsidR="00EF6261">
        <w:t xml:space="preserve">domestic legal understandings for all young people under 18, including </w:t>
      </w:r>
      <w:r w:rsidR="00684F75">
        <w:t>relevant application of evolving capacity considerations</w:t>
      </w:r>
      <w:r w:rsidR="00EF6261">
        <w:t>)</w:t>
      </w:r>
      <w:r w:rsidR="003A6FF1">
        <w:t xml:space="preserve">. This includes </w:t>
      </w:r>
      <w:r w:rsidR="00C370EC">
        <w:t>a right to supported decision</w:t>
      </w:r>
      <w:r w:rsidR="009026E5">
        <w:t>-</w:t>
      </w:r>
      <w:r w:rsidR="00C370EC">
        <w:t>making</w:t>
      </w:r>
      <w:r w:rsidR="003A6FF1">
        <w:t xml:space="preserve"> for</w:t>
      </w:r>
      <w:r w:rsidR="009D0485">
        <w:t xml:space="preserve"> children and</w:t>
      </w:r>
      <w:r w:rsidR="003A6FF1">
        <w:t xml:space="preserve"> young people</w:t>
      </w:r>
      <w:r w:rsidR="009D0485">
        <w:t xml:space="preserve"> with disability</w:t>
      </w:r>
      <w:r w:rsidR="00C370EC">
        <w:t>. Indeed, pro</w:t>
      </w:r>
      <w:r w:rsidR="00BC5C69">
        <w:t>viding</w:t>
      </w:r>
      <w:r w:rsidR="00C370EC">
        <w:t xml:space="preserve"> supported decision</w:t>
      </w:r>
      <w:r w:rsidR="001377DE">
        <w:t>-</w:t>
      </w:r>
      <w:r w:rsidR="00C370EC">
        <w:t>making at an early age</w:t>
      </w:r>
      <w:r w:rsidR="001B76D4">
        <w:t xml:space="preserve"> </w:t>
      </w:r>
      <w:r w:rsidR="00BC5C69">
        <w:t xml:space="preserve">consistently </w:t>
      </w:r>
      <w:r w:rsidR="001B76D4">
        <w:t xml:space="preserve">with the evolving capacity of the </w:t>
      </w:r>
      <w:r w:rsidR="00BC5C69">
        <w:t>child,</w:t>
      </w:r>
      <w:r w:rsidR="00C370EC">
        <w:t xml:space="preserve"> </w:t>
      </w:r>
      <w:r w:rsidR="00504BB4">
        <w:t>helps build decision making ability in that child, supporting them into adult</w:t>
      </w:r>
      <w:r w:rsidR="00BC5C69">
        <w:t>hood</w:t>
      </w:r>
      <w:r w:rsidR="00504BB4">
        <w:t>.</w:t>
      </w:r>
      <w:r w:rsidR="00BC5C69">
        <w:t xml:space="preserve"> This letter uses the language of adults, consistent with the term of reference. </w:t>
      </w:r>
    </w:p>
  </w:footnote>
  <w:footnote w:id="2">
    <w:p w14:paraId="493B4695" w14:textId="77777777" w:rsidR="009D0485" w:rsidRDefault="009D0485" w:rsidP="009D0485">
      <w:pPr>
        <w:pStyle w:val="FootnoteText"/>
      </w:pPr>
      <w:r>
        <w:rPr>
          <w:rStyle w:val="FootnoteReference"/>
        </w:rPr>
        <w:footnoteRef/>
      </w:r>
      <w:r>
        <w:t xml:space="preserve"> In this letter while acknowledging older people with cognitive impairment, we focus on the human rights instrument that relate specifically to people with disability, the CRPD. In this context an older person with a cognitive impairment has a disability. The CRPD incorporates rights from previous instruments including the </w:t>
      </w:r>
      <w:r w:rsidRPr="00C263BB">
        <w:rPr>
          <w:i/>
          <w:iCs/>
        </w:rPr>
        <w:t>International Covenant on Civil and Political Rights</w:t>
      </w:r>
      <w:r>
        <w:t xml:space="preserve"> and the </w:t>
      </w:r>
      <w:r w:rsidRPr="00C263BB">
        <w:rPr>
          <w:i/>
          <w:iCs/>
        </w:rPr>
        <w:t>International Covenant on Economic, Social and Cultural Rights</w:t>
      </w:r>
      <w:r>
        <w:t xml:space="preserve"> which do apply to all people, including older people with and without cognitive impairment.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AE0E" w14:textId="77777777" w:rsidR="00665E6E" w:rsidRDefault="00665E6E" w:rsidP="0035331A">
    <w:pPr>
      <w:pStyle w:val="Header"/>
    </w:pPr>
    <w:r>
      <w:rPr>
        <w:noProof/>
        <w:lang w:eastAsia="en-AU"/>
      </w:rPr>
      <w:drawing>
        <wp:anchor distT="0" distB="0" distL="114300" distR="114300" simplePos="0" relativeHeight="251660288" behindDoc="0" locked="1" layoutInCell="1" allowOverlap="1" wp14:anchorId="510E9E46" wp14:editId="38DAC403">
          <wp:simplePos x="0" y="0"/>
          <wp:positionH relativeFrom="page">
            <wp:posOffset>6566535</wp:posOffset>
          </wp:positionH>
          <wp:positionV relativeFrom="page">
            <wp:posOffset>9683115</wp:posOffset>
          </wp:positionV>
          <wp:extent cx="702945" cy="746760"/>
          <wp:effectExtent l="0" t="0" r="1905"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2945" cy="7467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A33F" w14:textId="77777777" w:rsidR="00162100" w:rsidRPr="00162100" w:rsidRDefault="0057465D" w:rsidP="0035331A">
    <w:pPr>
      <w:pStyle w:val="Header"/>
      <w:rPr>
        <w:sz w:val="10"/>
        <w:szCs w:val="10"/>
      </w:rPr>
    </w:pPr>
    <w:r>
      <w:ptab w:relativeTo="margin" w:alignment="right" w:leader="none"/>
    </w:r>
  </w:p>
  <w:p w14:paraId="1B91778A" w14:textId="77777777" w:rsidR="009122C2" w:rsidRPr="0035331A" w:rsidRDefault="009122C2" w:rsidP="0035331A">
    <w:pPr>
      <w:pStyle w:val="Head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E2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28FB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CCA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B228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3EF1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BE9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A67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B41C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CC90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C0FD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21F17"/>
    <w:multiLevelType w:val="multilevel"/>
    <w:tmpl w:val="C0063F0E"/>
    <w:name w:val="PWDA_Numbered"/>
    <w:styleLink w:val="PWDANumbered"/>
    <w:lvl w:ilvl="0">
      <w:start w:val="1"/>
      <w:numFmt w:val="decimal"/>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1" w15:restartNumberingAfterBreak="0">
    <w:nsid w:val="136B26DF"/>
    <w:multiLevelType w:val="hybridMultilevel"/>
    <w:tmpl w:val="A1AE03B6"/>
    <w:lvl w:ilvl="0" w:tplc="FBF2F60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7694B1F"/>
    <w:multiLevelType w:val="hybridMultilevel"/>
    <w:tmpl w:val="604EF3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873497"/>
    <w:multiLevelType w:val="multilevel"/>
    <w:tmpl w:val="26A2851A"/>
    <w:name w:val="PWDA_Bullets2"/>
    <w:numStyleLink w:val="PWDABullets"/>
  </w:abstractNum>
  <w:abstractNum w:abstractNumId="14" w15:restartNumberingAfterBreak="0">
    <w:nsid w:val="242F6613"/>
    <w:multiLevelType w:val="hybridMultilevel"/>
    <w:tmpl w:val="5E960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C26EDE"/>
    <w:multiLevelType w:val="multilevel"/>
    <w:tmpl w:val="26A2851A"/>
    <w:name w:val="PWDA_Bullets"/>
    <w:styleLink w:val="PWDABullets"/>
    <w:lvl w:ilvl="0">
      <w:start w:val="1"/>
      <w:numFmt w:val="bullet"/>
      <w:lvlText w:val=""/>
      <w:lvlJc w:val="left"/>
      <w:pPr>
        <w:ind w:left="454" w:hanging="454"/>
      </w:pPr>
      <w:rPr>
        <w:rFonts w:ascii="Symbol" w:hAnsi="Symbol" w:hint="default"/>
        <w:color w:val="005496" w:themeColor="accent1"/>
      </w:rPr>
    </w:lvl>
    <w:lvl w:ilvl="1">
      <w:start w:val="1"/>
      <w:numFmt w:val="bullet"/>
      <w:lvlText w:val=""/>
      <w:lvlJc w:val="left"/>
      <w:pPr>
        <w:ind w:left="908" w:hanging="454"/>
      </w:pPr>
      <w:rPr>
        <w:rFonts w:ascii="Symbol" w:hAnsi="Symbol" w:hint="default"/>
        <w:color w:val="005496" w:themeColor="accent1"/>
      </w:rPr>
    </w:lvl>
    <w:lvl w:ilvl="2">
      <w:start w:val="1"/>
      <w:numFmt w:val="bullet"/>
      <w:lvlText w:val=""/>
      <w:lvlJc w:val="left"/>
      <w:pPr>
        <w:ind w:left="1362" w:hanging="454"/>
      </w:pPr>
      <w:rPr>
        <w:rFonts w:ascii="Symbol" w:hAnsi="Symbol" w:hint="default"/>
        <w:color w:val="005496" w:themeColor="accent1"/>
      </w:rPr>
    </w:lvl>
    <w:lvl w:ilvl="3">
      <w:start w:val="1"/>
      <w:numFmt w:val="bullet"/>
      <w:lvlText w:val=""/>
      <w:lvlJc w:val="left"/>
      <w:pPr>
        <w:ind w:left="1816" w:hanging="454"/>
      </w:pPr>
      <w:rPr>
        <w:rFonts w:ascii="Symbol" w:hAnsi="Symbol" w:hint="default"/>
        <w:color w:val="005496" w:themeColor="accent1"/>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7"/>
      <w:lvlJc w:val="left"/>
      <w:pPr>
        <w:ind w:left="3178" w:hanging="454"/>
      </w:pPr>
      <w:rPr>
        <w:rFonts w:hint="default"/>
      </w:rPr>
    </w:lvl>
    <w:lvl w:ilvl="7">
      <w:start w:val="1"/>
      <w:numFmt w:val="none"/>
      <w:lvlText w:val="%8"/>
      <w:lvlJc w:val="left"/>
      <w:pPr>
        <w:ind w:left="3632" w:hanging="454"/>
      </w:pPr>
      <w:rPr>
        <w:rFonts w:hint="default"/>
      </w:rPr>
    </w:lvl>
    <w:lvl w:ilvl="8">
      <w:start w:val="1"/>
      <w:numFmt w:val="none"/>
      <w:lvlText w:val="%9"/>
      <w:lvlJc w:val="left"/>
      <w:pPr>
        <w:ind w:left="4086" w:hanging="454"/>
      </w:pPr>
      <w:rPr>
        <w:rFonts w:hint="default"/>
      </w:rPr>
    </w:lvl>
  </w:abstractNum>
  <w:abstractNum w:abstractNumId="16" w15:restartNumberingAfterBreak="0">
    <w:nsid w:val="39D90442"/>
    <w:multiLevelType w:val="hybridMultilevel"/>
    <w:tmpl w:val="B50E4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0457FD"/>
    <w:multiLevelType w:val="hybridMultilevel"/>
    <w:tmpl w:val="7A941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4105B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1248FF"/>
    <w:multiLevelType w:val="hybridMultilevel"/>
    <w:tmpl w:val="4680F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D25B7D"/>
    <w:multiLevelType w:val="hybridMultilevel"/>
    <w:tmpl w:val="0AA600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EE915DB"/>
    <w:multiLevelType w:val="hybridMultilevel"/>
    <w:tmpl w:val="A82AFAA6"/>
    <w:lvl w:ilvl="0" w:tplc="4A3AE642">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1146865">
    <w:abstractNumId w:val="18"/>
  </w:num>
  <w:num w:numId="2" w16cid:durableId="1274095784">
    <w:abstractNumId w:val="15"/>
  </w:num>
  <w:num w:numId="3" w16cid:durableId="439116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6370206">
    <w:abstractNumId w:val="13"/>
  </w:num>
  <w:num w:numId="5" w16cid:durableId="1455438813">
    <w:abstractNumId w:val="10"/>
  </w:num>
  <w:num w:numId="6" w16cid:durableId="755905824">
    <w:abstractNumId w:val="9"/>
  </w:num>
  <w:num w:numId="7" w16cid:durableId="830170803">
    <w:abstractNumId w:val="9"/>
  </w:num>
  <w:num w:numId="8" w16cid:durableId="830826783">
    <w:abstractNumId w:val="11"/>
  </w:num>
  <w:num w:numId="9" w16cid:durableId="258831179">
    <w:abstractNumId w:val="11"/>
  </w:num>
  <w:num w:numId="10" w16cid:durableId="547449856">
    <w:abstractNumId w:val="21"/>
  </w:num>
  <w:num w:numId="11" w16cid:durableId="14118731">
    <w:abstractNumId w:val="7"/>
  </w:num>
  <w:num w:numId="12" w16cid:durableId="150099330">
    <w:abstractNumId w:val="6"/>
  </w:num>
  <w:num w:numId="13" w16cid:durableId="86928153">
    <w:abstractNumId w:val="5"/>
  </w:num>
  <w:num w:numId="14" w16cid:durableId="2141143237">
    <w:abstractNumId w:val="4"/>
  </w:num>
  <w:num w:numId="15" w16cid:durableId="348945490">
    <w:abstractNumId w:val="8"/>
  </w:num>
  <w:num w:numId="16" w16cid:durableId="1468864111">
    <w:abstractNumId w:val="3"/>
  </w:num>
  <w:num w:numId="17" w16cid:durableId="881601345">
    <w:abstractNumId w:val="2"/>
  </w:num>
  <w:num w:numId="18" w16cid:durableId="1267038834">
    <w:abstractNumId w:val="1"/>
  </w:num>
  <w:num w:numId="19" w16cid:durableId="2122603026">
    <w:abstractNumId w:val="0"/>
  </w:num>
  <w:num w:numId="20" w16cid:durableId="294602021">
    <w:abstractNumId w:val="19"/>
  </w:num>
  <w:num w:numId="21" w16cid:durableId="1855262293">
    <w:abstractNumId w:val="20"/>
  </w:num>
  <w:num w:numId="22" w16cid:durableId="369644226">
    <w:abstractNumId w:val="14"/>
  </w:num>
  <w:num w:numId="23" w16cid:durableId="1497575744">
    <w:abstractNumId w:val="12"/>
  </w:num>
  <w:num w:numId="24" w16cid:durableId="277222535">
    <w:abstractNumId w:val="16"/>
  </w:num>
  <w:num w:numId="25" w16cid:durableId="11556876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Dc0MjEwNTcwMTFQ0lEKTi0uzszPAykwNKoFAPo7q7gtAAAA"/>
  </w:docVars>
  <w:rsids>
    <w:rsidRoot w:val="00F731FC"/>
    <w:rsid w:val="00000437"/>
    <w:rsid w:val="0000098D"/>
    <w:rsid w:val="000026F8"/>
    <w:rsid w:val="00004F37"/>
    <w:rsid w:val="0000590B"/>
    <w:rsid w:val="00005E67"/>
    <w:rsid w:val="00005F54"/>
    <w:rsid w:val="00007548"/>
    <w:rsid w:val="00010247"/>
    <w:rsid w:val="00010991"/>
    <w:rsid w:val="00011AF8"/>
    <w:rsid w:val="00013F0A"/>
    <w:rsid w:val="00013F9A"/>
    <w:rsid w:val="00016449"/>
    <w:rsid w:val="000169AC"/>
    <w:rsid w:val="000208DF"/>
    <w:rsid w:val="00022451"/>
    <w:rsid w:val="00025097"/>
    <w:rsid w:val="00025BFF"/>
    <w:rsid w:val="000305AF"/>
    <w:rsid w:val="00032071"/>
    <w:rsid w:val="00032ABE"/>
    <w:rsid w:val="00033424"/>
    <w:rsid w:val="00034F89"/>
    <w:rsid w:val="00035400"/>
    <w:rsid w:val="00036FA6"/>
    <w:rsid w:val="00042B43"/>
    <w:rsid w:val="00042E33"/>
    <w:rsid w:val="0004322B"/>
    <w:rsid w:val="00051E1A"/>
    <w:rsid w:val="00052F31"/>
    <w:rsid w:val="00055702"/>
    <w:rsid w:val="00057255"/>
    <w:rsid w:val="0005792A"/>
    <w:rsid w:val="000620EA"/>
    <w:rsid w:val="0006338E"/>
    <w:rsid w:val="000645CD"/>
    <w:rsid w:val="00066D1A"/>
    <w:rsid w:val="00067DB2"/>
    <w:rsid w:val="000718ED"/>
    <w:rsid w:val="00072C75"/>
    <w:rsid w:val="00072E87"/>
    <w:rsid w:val="00073176"/>
    <w:rsid w:val="00081339"/>
    <w:rsid w:val="000822A4"/>
    <w:rsid w:val="000862A3"/>
    <w:rsid w:val="00093A03"/>
    <w:rsid w:val="000951EB"/>
    <w:rsid w:val="000952BC"/>
    <w:rsid w:val="0009665D"/>
    <w:rsid w:val="000972D2"/>
    <w:rsid w:val="0009778D"/>
    <w:rsid w:val="000A2514"/>
    <w:rsid w:val="000A407C"/>
    <w:rsid w:val="000A6856"/>
    <w:rsid w:val="000B00A7"/>
    <w:rsid w:val="000B506B"/>
    <w:rsid w:val="000B5B93"/>
    <w:rsid w:val="000B628D"/>
    <w:rsid w:val="000B7B1D"/>
    <w:rsid w:val="000C3378"/>
    <w:rsid w:val="000C4D00"/>
    <w:rsid w:val="000D0CE3"/>
    <w:rsid w:val="000D3CF6"/>
    <w:rsid w:val="000D49B3"/>
    <w:rsid w:val="000D57DD"/>
    <w:rsid w:val="000D7293"/>
    <w:rsid w:val="000E17AC"/>
    <w:rsid w:val="000E1DD1"/>
    <w:rsid w:val="000E1F7E"/>
    <w:rsid w:val="000E6ADA"/>
    <w:rsid w:val="000F2256"/>
    <w:rsid w:val="000F22E7"/>
    <w:rsid w:val="000F2822"/>
    <w:rsid w:val="000F34F0"/>
    <w:rsid w:val="000F390B"/>
    <w:rsid w:val="000F3D1D"/>
    <w:rsid w:val="000F4E36"/>
    <w:rsid w:val="000F569A"/>
    <w:rsid w:val="000F5C78"/>
    <w:rsid w:val="001017F7"/>
    <w:rsid w:val="00101F60"/>
    <w:rsid w:val="00103DD7"/>
    <w:rsid w:val="00106748"/>
    <w:rsid w:val="001075F8"/>
    <w:rsid w:val="00107D1B"/>
    <w:rsid w:val="00111916"/>
    <w:rsid w:val="00115C59"/>
    <w:rsid w:val="00115F17"/>
    <w:rsid w:val="0011631B"/>
    <w:rsid w:val="001173A2"/>
    <w:rsid w:val="0011790F"/>
    <w:rsid w:val="00117BB2"/>
    <w:rsid w:val="00120B3A"/>
    <w:rsid w:val="00121443"/>
    <w:rsid w:val="00121484"/>
    <w:rsid w:val="00123237"/>
    <w:rsid w:val="001234CE"/>
    <w:rsid w:val="00124757"/>
    <w:rsid w:val="00124C62"/>
    <w:rsid w:val="00126535"/>
    <w:rsid w:val="00130497"/>
    <w:rsid w:val="00131522"/>
    <w:rsid w:val="00131DD9"/>
    <w:rsid w:val="001325DB"/>
    <w:rsid w:val="00133848"/>
    <w:rsid w:val="0013397F"/>
    <w:rsid w:val="00134AE2"/>
    <w:rsid w:val="001377DE"/>
    <w:rsid w:val="001411F0"/>
    <w:rsid w:val="00144E1C"/>
    <w:rsid w:val="00145084"/>
    <w:rsid w:val="001450EA"/>
    <w:rsid w:val="00145D02"/>
    <w:rsid w:val="0015340C"/>
    <w:rsid w:val="0015349F"/>
    <w:rsid w:val="0016065A"/>
    <w:rsid w:val="00160E94"/>
    <w:rsid w:val="00162100"/>
    <w:rsid w:val="001631C3"/>
    <w:rsid w:val="001632A3"/>
    <w:rsid w:val="00163E2C"/>
    <w:rsid w:val="00165E38"/>
    <w:rsid w:val="0016635C"/>
    <w:rsid w:val="0016695E"/>
    <w:rsid w:val="00175A7E"/>
    <w:rsid w:val="0017790B"/>
    <w:rsid w:val="00177F6B"/>
    <w:rsid w:val="00181AA9"/>
    <w:rsid w:val="001848A4"/>
    <w:rsid w:val="00190EA0"/>
    <w:rsid w:val="00191849"/>
    <w:rsid w:val="001920C7"/>
    <w:rsid w:val="0019513F"/>
    <w:rsid w:val="0019540B"/>
    <w:rsid w:val="00195AC8"/>
    <w:rsid w:val="00196C8F"/>
    <w:rsid w:val="001A016E"/>
    <w:rsid w:val="001A3F89"/>
    <w:rsid w:val="001A67B3"/>
    <w:rsid w:val="001A67EB"/>
    <w:rsid w:val="001B02BD"/>
    <w:rsid w:val="001B2388"/>
    <w:rsid w:val="001B39A2"/>
    <w:rsid w:val="001B76D4"/>
    <w:rsid w:val="001C1DBF"/>
    <w:rsid w:val="001C4BD6"/>
    <w:rsid w:val="001C4C1C"/>
    <w:rsid w:val="001C6839"/>
    <w:rsid w:val="001D1E16"/>
    <w:rsid w:val="001E27AE"/>
    <w:rsid w:val="001E2C2D"/>
    <w:rsid w:val="001E32F7"/>
    <w:rsid w:val="001E3FDB"/>
    <w:rsid w:val="001E4D5C"/>
    <w:rsid w:val="001E56A0"/>
    <w:rsid w:val="001F0462"/>
    <w:rsid w:val="001F33B6"/>
    <w:rsid w:val="001F68F4"/>
    <w:rsid w:val="001F79AE"/>
    <w:rsid w:val="002018AF"/>
    <w:rsid w:val="002045F8"/>
    <w:rsid w:val="00210798"/>
    <w:rsid w:val="002110D1"/>
    <w:rsid w:val="00212F54"/>
    <w:rsid w:val="00213094"/>
    <w:rsid w:val="00214544"/>
    <w:rsid w:val="00217439"/>
    <w:rsid w:val="0022118E"/>
    <w:rsid w:val="00221AC7"/>
    <w:rsid w:val="00225F42"/>
    <w:rsid w:val="0023197E"/>
    <w:rsid w:val="00232C11"/>
    <w:rsid w:val="00233C56"/>
    <w:rsid w:val="0023605D"/>
    <w:rsid w:val="00237791"/>
    <w:rsid w:val="00241328"/>
    <w:rsid w:val="00243F1F"/>
    <w:rsid w:val="00246E8E"/>
    <w:rsid w:val="00247F9A"/>
    <w:rsid w:val="0025027C"/>
    <w:rsid w:val="0025057A"/>
    <w:rsid w:val="00251038"/>
    <w:rsid w:val="00251AEF"/>
    <w:rsid w:val="00252CA2"/>
    <w:rsid w:val="00252D31"/>
    <w:rsid w:val="00256308"/>
    <w:rsid w:val="00257F49"/>
    <w:rsid w:val="00260829"/>
    <w:rsid w:val="00261396"/>
    <w:rsid w:val="0026482F"/>
    <w:rsid w:val="00265D29"/>
    <w:rsid w:val="002708B0"/>
    <w:rsid w:val="00270DD9"/>
    <w:rsid w:val="00271A99"/>
    <w:rsid w:val="00274812"/>
    <w:rsid w:val="00276041"/>
    <w:rsid w:val="00276312"/>
    <w:rsid w:val="002805A5"/>
    <w:rsid w:val="00281815"/>
    <w:rsid w:val="002818CE"/>
    <w:rsid w:val="00285BD6"/>
    <w:rsid w:val="00285DAB"/>
    <w:rsid w:val="002913ED"/>
    <w:rsid w:val="002913F3"/>
    <w:rsid w:val="002915D6"/>
    <w:rsid w:val="00291C07"/>
    <w:rsid w:val="002956B3"/>
    <w:rsid w:val="00296801"/>
    <w:rsid w:val="00297D9E"/>
    <w:rsid w:val="002A0DC0"/>
    <w:rsid w:val="002A4B62"/>
    <w:rsid w:val="002A5B32"/>
    <w:rsid w:val="002A6951"/>
    <w:rsid w:val="002A6DD5"/>
    <w:rsid w:val="002A761A"/>
    <w:rsid w:val="002B422D"/>
    <w:rsid w:val="002C2D1D"/>
    <w:rsid w:val="002C442A"/>
    <w:rsid w:val="002C6867"/>
    <w:rsid w:val="002C7248"/>
    <w:rsid w:val="002C78D9"/>
    <w:rsid w:val="002C7AF6"/>
    <w:rsid w:val="002D1718"/>
    <w:rsid w:val="002D1FFA"/>
    <w:rsid w:val="002D2541"/>
    <w:rsid w:val="002D493D"/>
    <w:rsid w:val="002D4CA4"/>
    <w:rsid w:val="002E0D6A"/>
    <w:rsid w:val="002E2B3C"/>
    <w:rsid w:val="002E30D5"/>
    <w:rsid w:val="002E61EF"/>
    <w:rsid w:val="002F1D60"/>
    <w:rsid w:val="002F31EA"/>
    <w:rsid w:val="002F3BBC"/>
    <w:rsid w:val="002F4417"/>
    <w:rsid w:val="002F569B"/>
    <w:rsid w:val="002F684E"/>
    <w:rsid w:val="003007C3"/>
    <w:rsid w:val="00300A61"/>
    <w:rsid w:val="00302878"/>
    <w:rsid w:val="003052C1"/>
    <w:rsid w:val="00305A6C"/>
    <w:rsid w:val="0030629D"/>
    <w:rsid w:val="00306D8D"/>
    <w:rsid w:val="0030711C"/>
    <w:rsid w:val="00310E3F"/>
    <w:rsid w:val="00317A1C"/>
    <w:rsid w:val="00321AD0"/>
    <w:rsid w:val="00322458"/>
    <w:rsid w:val="00324CD5"/>
    <w:rsid w:val="003278DB"/>
    <w:rsid w:val="00327EBB"/>
    <w:rsid w:val="00331290"/>
    <w:rsid w:val="00331E49"/>
    <w:rsid w:val="00332A44"/>
    <w:rsid w:val="00334EBE"/>
    <w:rsid w:val="00334F29"/>
    <w:rsid w:val="0033631B"/>
    <w:rsid w:val="003419D7"/>
    <w:rsid w:val="00345835"/>
    <w:rsid w:val="00346C44"/>
    <w:rsid w:val="00351A77"/>
    <w:rsid w:val="00352159"/>
    <w:rsid w:val="0035331A"/>
    <w:rsid w:val="00353D3E"/>
    <w:rsid w:val="0036284A"/>
    <w:rsid w:val="00363092"/>
    <w:rsid w:val="00363A9F"/>
    <w:rsid w:val="00366997"/>
    <w:rsid w:val="00366E40"/>
    <w:rsid w:val="00367943"/>
    <w:rsid w:val="0037053E"/>
    <w:rsid w:val="00371239"/>
    <w:rsid w:val="00375C3A"/>
    <w:rsid w:val="00375EB6"/>
    <w:rsid w:val="00382057"/>
    <w:rsid w:val="003831B3"/>
    <w:rsid w:val="003832EC"/>
    <w:rsid w:val="003901D4"/>
    <w:rsid w:val="00394B7D"/>
    <w:rsid w:val="00395455"/>
    <w:rsid w:val="0039658B"/>
    <w:rsid w:val="00396859"/>
    <w:rsid w:val="0039750D"/>
    <w:rsid w:val="00397756"/>
    <w:rsid w:val="003A18ED"/>
    <w:rsid w:val="003A1DC1"/>
    <w:rsid w:val="003A4E91"/>
    <w:rsid w:val="003A6FF1"/>
    <w:rsid w:val="003A74A5"/>
    <w:rsid w:val="003A7D8A"/>
    <w:rsid w:val="003B02BB"/>
    <w:rsid w:val="003B4219"/>
    <w:rsid w:val="003B4C6C"/>
    <w:rsid w:val="003B5245"/>
    <w:rsid w:val="003B73D6"/>
    <w:rsid w:val="003C037D"/>
    <w:rsid w:val="003C225A"/>
    <w:rsid w:val="003C2876"/>
    <w:rsid w:val="003C32CF"/>
    <w:rsid w:val="003C3FBC"/>
    <w:rsid w:val="003C43B6"/>
    <w:rsid w:val="003D490B"/>
    <w:rsid w:val="003D6FC3"/>
    <w:rsid w:val="003E3F06"/>
    <w:rsid w:val="003E4235"/>
    <w:rsid w:val="003E435D"/>
    <w:rsid w:val="003E54B2"/>
    <w:rsid w:val="003E7764"/>
    <w:rsid w:val="003F0D88"/>
    <w:rsid w:val="003F2921"/>
    <w:rsid w:val="003F294E"/>
    <w:rsid w:val="003F29E1"/>
    <w:rsid w:val="003F32A1"/>
    <w:rsid w:val="003F4F4E"/>
    <w:rsid w:val="003F5923"/>
    <w:rsid w:val="00400518"/>
    <w:rsid w:val="00400AD1"/>
    <w:rsid w:val="00401FAA"/>
    <w:rsid w:val="00404AC5"/>
    <w:rsid w:val="00405C60"/>
    <w:rsid w:val="00406E4A"/>
    <w:rsid w:val="00410BF4"/>
    <w:rsid w:val="00411002"/>
    <w:rsid w:val="00411723"/>
    <w:rsid w:val="00411844"/>
    <w:rsid w:val="00411AD4"/>
    <w:rsid w:val="00412857"/>
    <w:rsid w:val="00416BCC"/>
    <w:rsid w:val="00416F74"/>
    <w:rsid w:val="00420245"/>
    <w:rsid w:val="00424248"/>
    <w:rsid w:val="00424DCC"/>
    <w:rsid w:val="0042590E"/>
    <w:rsid w:val="00427012"/>
    <w:rsid w:val="004308A0"/>
    <w:rsid w:val="00432DBD"/>
    <w:rsid w:val="00434521"/>
    <w:rsid w:val="004411EA"/>
    <w:rsid w:val="00442C34"/>
    <w:rsid w:val="00444933"/>
    <w:rsid w:val="004450B3"/>
    <w:rsid w:val="00445FAD"/>
    <w:rsid w:val="00447571"/>
    <w:rsid w:val="0045062B"/>
    <w:rsid w:val="00450B80"/>
    <w:rsid w:val="00451FFE"/>
    <w:rsid w:val="004566D9"/>
    <w:rsid w:val="0046384C"/>
    <w:rsid w:val="00464003"/>
    <w:rsid w:val="00464005"/>
    <w:rsid w:val="00467904"/>
    <w:rsid w:val="0047081B"/>
    <w:rsid w:val="004727E7"/>
    <w:rsid w:val="0047285A"/>
    <w:rsid w:val="004751DA"/>
    <w:rsid w:val="00475208"/>
    <w:rsid w:val="004770E2"/>
    <w:rsid w:val="00477200"/>
    <w:rsid w:val="0047756C"/>
    <w:rsid w:val="00477B4B"/>
    <w:rsid w:val="004807C5"/>
    <w:rsid w:val="00480A57"/>
    <w:rsid w:val="00482D9B"/>
    <w:rsid w:val="00483359"/>
    <w:rsid w:val="00485D8C"/>
    <w:rsid w:val="00486781"/>
    <w:rsid w:val="0049109A"/>
    <w:rsid w:val="004957AF"/>
    <w:rsid w:val="00497878"/>
    <w:rsid w:val="004A0C49"/>
    <w:rsid w:val="004A2367"/>
    <w:rsid w:val="004A3C81"/>
    <w:rsid w:val="004A52A6"/>
    <w:rsid w:val="004A7502"/>
    <w:rsid w:val="004B04E6"/>
    <w:rsid w:val="004B106A"/>
    <w:rsid w:val="004B15FD"/>
    <w:rsid w:val="004B343B"/>
    <w:rsid w:val="004B3CBE"/>
    <w:rsid w:val="004B78DF"/>
    <w:rsid w:val="004C1D94"/>
    <w:rsid w:val="004C390B"/>
    <w:rsid w:val="004C5E0A"/>
    <w:rsid w:val="004C7B3E"/>
    <w:rsid w:val="004D0FED"/>
    <w:rsid w:val="004D1659"/>
    <w:rsid w:val="004D5209"/>
    <w:rsid w:val="004D759A"/>
    <w:rsid w:val="004E0558"/>
    <w:rsid w:val="004E4AC0"/>
    <w:rsid w:val="004E7431"/>
    <w:rsid w:val="004E75C2"/>
    <w:rsid w:val="004F19B3"/>
    <w:rsid w:val="004F3DD3"/>
    <w:rsid w:val="004F60C4"/>
    <w:rsid w:val="0050361E"/>
    <w:rsid w:val="00504BB4"/>
    <w:rsid w:val="00504DE6"/>
    <w:rsid w:val="0050693B"/>
    <w:rsid w:val="00514265"/>
    <w:rsid w:val="005154B1"/>
    <w:rsid w:val="00515A3F"/>
    <w:rsid w:val="00515C4A"/>
    <w:rsid w:val="00516826"/>
    <w:rsid w:val="00516D21"/>
    <w:rsid w:val="00522D14"/>
    <w:rsid w:val="00530120"/>
    <w:rsid w:val="00530FF5"/>
    <w:rsid w:val="005325D2"/>
    <w:rsid w:val="00532BFB"/>
    <w:rsid w:val="00533AEB"/>
    <w:rsid w:val="005410E5"/>
    <w:rsid w:val="0054112C"/>
    <w:rsid w:val="00541F51"/>
    <w:rsid w:val="005520CE"/>
    <w:rsid w:val="00554BAD"/>
    <w:rsid w:val="0055642C"/>
    <w:rsid w:val="00557A6C"/>
    <w:rsid w:val="00560251"/>
    <w:rsid w:val="00561C71"/>
    <w:rsid w:val="00563A8B"/>
    <w:rsid w:val="005706AF"/>
    <w:rsid w:val="00571707"/>
    <w:rsid w:val="00573678"/>
    <w:rsid w:val="0057465D"/>
    <w:rsid w:val="00574CAD"/>
    <w:rsid w:val="00574D78"/>
    <w:rsid w:val="00575332"/>
    <w:rsid w:val="00576889"/>
    <w:rsid w:val="00577A83"/>
    <w:rsid w:val="00577EFC"/>
    <w:rsid w:val="0058009D"/>
    <w:rsid w:val="00584386"/>
    <w:rsid w:val="00584995"/>
    <w:rsid w:val="00586154"/>
    <w:rsid w:val="005871D7"/>
    <w:rsid w:val="005913C7"/>
    <w:rsid w:val="00594C7D"/>
    <w:rsid w:val="00597174"/>
    <w:rsid w:val="005A2499"/>
    <w:rsid w:val="005A290E"/>
    <w:rsid w:val="005A343C"/>
    <w:rsid w:val="005A58B2"/>
    <w:rsid w:val="005B2D8C"/>
    <w:rsid w:val="005B4F1C"/>
    <w:rsid w:val="005B6648"/>
    <w:rsid w:val="005C0191"/>
    <w:rsid w:val="005C0312"/>
    <w:rsid w:val="005C3A8B"/>
    <w:rsid w:val="005C4DA9"/>
    <w:rsid w:val="005C61C5"/>
    <w:rsid w:val="005C7A90"/>
    <w:rsid w:val="005C7AA1"/>
    <w:rsid w:val="005D02C9"/>
    <w:rsid w:val="005D347D"/>
    <w:rsid w:val="005D6F74"/>
    <w:rsid w:val="005D7804"/>
    <w:rsid w:val="005E0089"/>
    <w:rsid w:val="005E4EBA"/>
    <w:rsid w:val="005E6F0C"/>
    <w:rsid w:val="005E7AA6"/>
    <w:rsid w:val="005F049A"/>
    <w:rsid w:val="005F3301"/>
    <w:rsid w:val="005F3912"/>
    <w:rsid w:val="005F3A99"/>
    <w:rsid w:val="005F3AF7"/>
    <w:rsid w:val="005F5CBD"/>
    <w:rsid w:val="005F630B"/>
    <w:rsid w:val="005F63A6"/>
    <w:rsid w:val="0060124E"/>
    <w:rsid w:val="00601A41"/>
    <w:rsid w:val="00602AE4"/>
    <w:rsid w:val="00603C89"/>
    <w:rsid w:val="00605C57"/>
    <w:rsid w:val="006072F6"/>
    <w:rsid w:val="00607812"/>
    <w:rsid w:val="00610AB4"/>
    <w:rsid w:val="00611EF4"/>
    <w:rsid w:val="0061285A"/>
    <w:rsid w:val="006132AF"/>
    <w:rsid w:val="00615B70"/>
    <w:rsid w:val="00616735"/>
    <w:rsid w:val="006167E6"/>
    <w:rsid w:val="0062055C"/>
    <w:rsid w:val="006213C7"/>
    <w:rsid w:val="00626901"/>
    <w:rsid w:val="006279A7"/>
    <w:rsid w:val="00627F74"/>
    <w:rsid w:val="00630DFE"/>
    <w:rsid w:val="00635910"/>
    <w:rsid w:val="00637733"/>
    <w:rsid w:val="00640D12"/>
    <w:rsid w:val="00641FED"/>
    <w:rsid w:val="0064247A"/>
    <w:rsid w:val="00642A08"/>
    <w:rsid w:val="00644AE0"/>
    <w:rsid w:val="00644CA2"/>
    <w:rsid w:val="006462B2"/>
    <w:rsid w:val="00650AFC"/>
    <w:rsid w:val="00651382"/>
    <w:rsid w:val="00651876"/>
    <w:rsid w:val="00651F74"/>
    <w:rsid w:val="0065366D"/>
    <w:rsid w:val="006538DD"/>
    <w:rsid w:val="00653AA1"/>
    <w:rsid w:val="00655866"/>
    <w:rsid w:val="006609E8"/>
    <w:rsid w:val="00660FB3"/>
    <w:rsid w:val="00662280"/>
    <w:rsid w:val="006625FB"/>
    <w:rsid w:val="006629CC"/>
    <w:rsid w:val="00662A7D"/>
    <w:rsid w:val="00662E42"/>
    <w:rsid w:val="00665E6E"/>
    <w:rsid w:val="006670A0"/>
    <w:rsid w:val="006707F0"/>
    <w:rsid w:val="00671323"/>
    <w:rsid w:val="006733DA"/>
    <w:rsid w:val="00674DD4"/>
    <w:rsid w:val="00675B72"/>
    <w:rsid w:val="006765C3"/>
    <w:rsid w:val="0068326B"/>
    <w:rsid w:val="00684F75"/>
    <w:rsid w:val="006851C7"/>
    <w:rsid w:val="00686F3F"/>
    <w:rsid w:val="00687F4A"/>
    <w:rsid w:val="006901A1"/>
    <w:rsid w:val="00691223"/>
    <w:rsid w:val="00691A46"/>
    <w:rsid w:val="00692691"/>
    <w:rsid w:val="0069304C"/>
    <w:rsid w:val="006935A7"/>
    <w:rsid w:val="00693E18"/>
    <w:rsid w:val="0069487C"/>
    <w:rsid w:val="00695585"/>
    <w:rsid w:val="00696E38"/>
    <w:rsid w:val="006A00EC"/>
    <w:rsid w:val="006A0333"/>
    <w:rsid w:val="006A0AE0"/>
    <w:rsid w:val="006A2123"/>
    <w:rsid w:val="006A5B1D"/>
    <w:rsid w:val="006A646B"/>
    <w:rsid w:val="006A6F57"/>
    <w:rsid w:val="006B00D4"/>
    <w:rsid w:val="006B0279"/>
    <w:rsid w:val="006B065E"/>
    <w:rsid w:val="006B34B4"/>
    <w:rsid w:val="006B3E82"/>
    <w:rsid w:val="006B4B67"/>
    <w:rsid w:val="006B571F"/>
    <w:rsid w:val="006B5BCE"/>
    <w:rsid w:val="006B7568"/>
    <w:rsid w:val="006C0C5A"/>
    <w:rsid w:val="006C40E0"/>
    <w:rsid w:val="006C4D8E"/>
    <w:rsid w:val="006C7A06"/>
    <w:rsid w:val="006D0BEB"/>
    <w:rsid w:val="006D1913"/>
    <w:rsid w:val="006D28A5"/>
    <w:rsid w:val="006D3C39"/>
    <w:rsid w:val="006D495E"/>
    <w:rsid w:val="006D5A61"/>
    <w:rsid w:val="006D6E93"/>
    <w:rsid w:val="006E0DB5"/>
    <w:rsid w:val="006E1882"/>
    <w:rsid w:val="006E19F2"/>
    <w:rsid w:val="006E2294"/>
    <w:rsid w:val="006E2A35"/>
    <w:rsid w:val="006E3BF3"/>
    <w:rsid w:val="006E60F2"/>
    <w:rsid w:val="006E7C01"/>
    <w:rsid w:val="006F049D"/>
    <w:rsid w:val="006F0A74"/>
    <w:rsid w:val="006F18C1"/>
    <w:rsid w:val="006F40A2"/>
    <w:rsid w:val="0070174E"/>
    <w:rsid w:val="0070255E"/>
    <w:rsid w:val="007056E1"/>
    <w:rsid w:val="007059E0"/>
    <w:rsid w:val="00710CFA"/>
    <w:rsid w:val="00710DB5"/>
    <w:rsid w:val="00711FC5"/>
    <w:rsid w:val="0071613A"/>
    <w:rsid w:val="00720921"/>
    <w:rsid w:val="007244AE"/>
    <w:rsid w:val="007326F9"/>
    <w:rsid w:val="00732B20"/>
    <w:rsid w:val="00735EFD"/>
    <w:rsid w:val="00736CBA"/>
    <w:rsid w:val="007378B0"/>
    <w:rsid w:val="00737AF5"/>
    <w:rsid w:val="00737D22"/>
    <w:rsid w:val="0074194B"/>
    <w:rsid w:val="00741A1A"/>
    <w:rsid w:val="007424A0"/>
    <w:rsid w:val="00743B9C"/>
    <w:rsid w:val="00745055"/>
    <w:rsid w:val="00746425"/>
    <w:rsid w:val="00751094"/>
    <w:rsid w:val="00751F64"/>
    <w:rsid w:val="00753CAC"/>
    <w:rsid w:val="007543F5"/>
    <w:rsid w:val="00761FFC"/>
    <w:rsid w:val="007623EF"/>
    <w:rsid w:val="00762EE2"/>
    <w:rsid w:val="00765CE1"/>
    <w:rsid w:val="007667B5"/>
    <w:rsid w:val="007670F3"/>
    <w:rsid w:val="00771157"/>
    <w:rsid w:val="0077123C"/>
    <w:rsid w:val="00772D84"/>
    <w:rsid w:val="0077398C"/>
    <w:rsid w:val="00773D53"/>
    <w:rsid w:val="00774F90"/>
    <w:rsid w:val="007761BB"/>
    <w:rsid w:val="007767A1"/>
    <w:rsid w:val="00776883"/>
    <w:rsid w:val="00780883"/>
    <w:rsid w:val="007815AD"/>
    <w:rsid w:val="00781BC5"/>
    <w:rsid w:val="00783AF1"/>
    <w:rsid w:val="00792527"/>
    <w:rsid w:val="00792AE0"/>
    <w:rsid w:val="0079346B"/>
    <w:rsid w:val="00796A86"/>
    <w:rsid w:val="00796DA9"/>
    <w:rsid w:val="00797595"/>
    <w:rsid w:val="007A0F05"/>
    <w:rsid w:val="007A2950"/>
    <w:rsid w:val="007A3105"/>
    <w:rsid w:val="007A4D6D"/>
    <w:rsid w:val="007A6B17"/>
    <w:rsid w:val="007B1B65"/>
    <w:rsid w:val="007B34FD"/>
    <w:rsid w:val="007B7FBA"/>
    <w:rsid w:val="007C1F48"/>
    <w:rsid w:val="007C20BB"/>
    <w:rsid w:val="007C2375"/>
    <w:rsid w:val="007C2C0B"/>
    <w:rsid w:val="007C6CE7"/>
    <w:rsid w:val="007C7501"/>
    <w:rsid w:val="007E049F"/>
    <w:rsid w:val="007E182A"/>
    <w:rsid w:val="007E1D12"/>
    <w:rsid w:val="007E1EE4"/>
    <w:rsid w:val="007E4823"/>
    <w:rsid w:val="007E7686"/>
    <w:rsid w:val="007F32B3"/>
    <w:rsid w:val="007F3EAE"/>
    <w:rsid w:val="007F7214"/>
    <w:rsid w:val="007F7D2F"/>
    <w:rsid w:val="007F7FDD"/>
    <w:rsid w:val="00800FDD"/>
    <w:rsid w:val="008022A8"/>
    <w:rsid w:val="008023F2"/>
    <w:rsid w:val="00802986"/>
    <w:rsid w:val="0080717C"/>
    <w:rsid w:val="00810253"/>
    <w:rsid w:val="0081150C"/>
    <w:rsid w:val="008116D6"/>
    <w:rsid w:val="008119BE"/>
    <w:rsid w:val="00812406"/>
    <w:rsid w:val="008129DB"/>
    <w:rsid w:val="008132F0"/>
    <w:rsid w:val="0081439B"/>
    <w:rsid w:val="0081612C"/>
    <w:rsid w:val="00816694"/>
    <w:rsid w:val="008171A9"/>
    <w:rsid w:val="00820A90"/>
    <w:rsid w:val="00820C9C"/>
    <w:rsid w:val="00822126"/>
    <w:rsid w:val="008237B4"/>
    <w:rsid w:val="00823F1F"/>
    <w:rsid w:val="0082586E"/>
    <w:rsid w:val="00825C67"/>
    <w:rsid w:val="00825FF9"/>
    <w:rsid w:val="0083337A"/>
    <w:rsid w:val="008344CF"/>
    <w:rsid w:val="008351E3"/>
    <w:rsid w:val="008432C9"/>
    <w:rsid w:val="00844F1D"/>
    <w:rsid w:val="008462BE"/>
    <w:rsid w:val="00847D94"/>
    <w:rsid w:val="0085078A"/>
    <w:rsid w:val="00850AEF"/>
    <w:rsid w:val="00851B78"/>
    <w:rsid w:val="008524D4"/>
    <w:rsid w:val="00852625"/>
    <w:rsid w:val="008543CE"/>
    <w:rsid w:val="00854C1C"/>
    <w:rsid w:val="00854F7C"/>
    <w:rsid w:val="00855B47"/>
    <w:rsid w:val="00856068"/>
    <w:rsid w:val="00857320"/>
    <w:rsid w:val="00860DCD"/>
    <w:rsid w:val="00863A1A"/>
    <w:rsid w:val="00863C40"/>
    <w:rsid w:val="008656BE"/>
    <w:rsid w:val="0086598F"/>
    <w:rsid w:val="00867F2F"/>
    <w:rsid w:val="00870B61"/>
    <w:rsid w:val="0087183A"/>
    <w:rsid w:val="00871CF2"/>
    <w:rsid w:val="00875054"/>
    <w:rsid w:val="008764E1"/>
    <w:rsid w:val="00881268"/>
    <w:rsid w:val="008813C1"/>
    <w:rsid w:val="00883892"/>
    <w:rsid w:val="00883F1B"/>
    <w:rsid w:val="0088658F"/>
    <w:rsid w:val="008869A1"/>
    <w:rsid w:val="008869D9"/>
    <w:rsid w:val="00893D36"/>
    <w:rsid w:val="00894322"/>
    <w:rsid w:val="008948F1"/>
    <w:rsid w:val="008953E7"/>
    <w:rsid w:val="00895C02"/>
    <w:rsid w:val="008A0C27"/>
    <w:rsid w:val="008A1CF7"/>
    <w:rsid w:val="008A31B0"/>
    <w:rsid w:val="008A3298"/>
    <w:rsid w:val="008A642E"/>
    <w:rsid w:val="008A7406"/>
    <w:rsid w:val="008A7419"/>
    <w:rsid w:val="008A75D3"/>
    <w:rsid w:val="008A7BEB"/>
    <w:rsid w:val="008B2102"/>
    <w:rsid w:val="008B6BE8"/>
    <w:rsid w:val="008C18EC"/>
    <w:rsid w:val="008C6059"/>
    <w:rsid w:val="008C6B63"/>
    <w:rsid w:val="008C741F"/>
    <w:rsid w:val="008D0442"/>
    <w:rsid w:val="008D40AF"/>
    <w:rsid w:val="008D7962"/>
    <w:rsid w:val="008E1EEA"/>
    <w:rsid w:val="008E2BF3"/>
    <w:rsid w:val="008E2D83"/>
    <w:rsid w:val="008E4408"/>
    <w:rsid w:val="008E7088"/>
    <w:rsid w:val="008E7D38"/>
    <w:rsid w:val="008F059E"/>
    <w:rsid w:val="008F15BB"/>
    <w:rsid w:val="008F1A31"/>
    <w:rsid w:val="008F21D2"/>
    <w:rsid w:val="008F21E3"/>
    <w:rsid w:val="008F239D"/>
    <w:rsid w:val="008F5431"/>
    <w:rsid w:val="008F67C1"/>
    <w:rsid w:val="008F6F6A"/>
    <w:rsid w:val="008F7146"/>
    <w:rsid w:val="009007F6"/>
    <w:rsid w:val="009026E5"/>
    <w:rsid w:val="00904D06"/>
    <w:rsid w:val="00907B7A"/>
    <w:rsid w:val="009122C2"/>
    <w:rsid w:val="0091353D"/>
    <w:rsid w:val="009147FF"/>
    <w:rsid w:val="009160AF"/>
    <w:rsid w:val="00917C31"/>
    <w:rsid w:val="00917CF1"/>
    <w:rsid w:val="00920BBD"/>
    <w:rsid w:val="0092183C"/>
    <w:rsid w:val="00925E23"/>
    <w:rsid w:val="00926125"/>
    <w:rsid w:val="00926CC0"/>
    <w:rsid w:val="0092735E"/>
    <w:rsid w:val="00931433"/>
    <w:rsid w:val="009328B6"/>
    <w:rsid w:val="00932A37"/>
    <w:rsid w:val="009367F6"/>
    <w:rsid w:val="009378E0"/>
    <w:rsid w:val="00945EC1"/>
    <w:rsid w:val="00947783"/>
    <w:rsid w:val="009526B9"/>
    <w:rsid w:val="00952FEC"/>
    <w:rsid w:val="009613C4"/>
    <w:rsid w:val="00961F96"/>
    <w:rsid w:val="009645B5"/>
    <w:rsid w:val="009703BA"/>
    <w:rsid w:val="009743A5"/>
    <w:rsid w:val="00980472"/>
    <w:rsid w:val="00980525"/>
    <w:rsid w:val="00980801"/>
    <w:rsid w:val="00982E78"/>
    <w:rsid w:val="009831E8"/>
    <w:rsid w:val="00983429"/>
    <w:rsid w:val="0098492C"/>
    <w:rsid w:val="00984C69"/>
    <w:rsid w:val="00986809"/>
    <w:rsid w:val="00986A6B"/>
    <w:rsid w:val="00987C7A"/>
    <w:rsid w:val="009909E5"/>
    <w:rsid w:val="00990BB9"/>
    <w:rsid w:val="00990EF9"/>
    <w:rsid w:val="0099361C"/>
    <w:rsid w:val="009943EF"/>
    <w:rsid w:val="00994600"/>
    <w:rsid w:val="009955E8"/>
    <w:rsid w:val="009956F6"/>
    <w:rsid w:val="009A115A"/>
    <w:rsid w:val="009A27C1"/>
    <w:rsid w:val="009B1C02"/>
    <w:rsid w:val="009B22E8"/>
    <w:rsid w:val="009B5608"/>
    <w:rsid w:val="009B61B4"/>
    <w:rsid w:val="009B6CC5"/>
    <w:rsid w:val="009B78EE"/>
    <w:rsid w:val="009C1B92"/>
    <w:rsid w:val="009C3326"/>
    <w:rsid w:val="009C5611"/>
    <w:rsid w:val="009C7D43"/>
    <w:rsid w:val="009D0485"/>
    <w:rsid w:val="009D0BBB"/>
    <w:rsid w:val="009D272C"/>
    <w:rsid w:val="009D3B32"/>
    <w:rsid w:val="009D4403"/>
    <w:rsid w:val="009D4AD1"/>
    <w:rsid w:val="009D5CD1"/>
    <w:rsid w:val="009E15C4"/>
    <w:rsid w:val="009E4333"/>
    <w:rsid w:val="009E4E48"/>
    <w:rsid w:val="009E75A0"/>
    <w:rsid w:val="009F36B7"/>
    <w:rsid w:val="009F37ED"/>
    <w:rsid w:val="009F5732"/>
    <w:rsid w:val="009F79BC"/>
    <w:rsid w:val="00A0381F"/>
    <w:rsid w:val="00A07E31"/>
    <w:rsid w:val="00A10272"/>
    <w:rsid w:val="00A1113D"/>
    <w:rsid w:val="00A11F85"/>
    <w:rsid w:val="00A151ED"/>
    <w:rsid w:val="00A154C0"/>
    <w:rsid w:val="00A1680F"/>
    <w:rsid w:val="00A22A42"/>
    <w:rsid w:val="00A25239"/>
    <w:rsid w:val="00A27EEA"/>
    <w:rsid w:val="00A31D8C"/>
    <w:rsid w:val="00A331F6"/>
    <w:rsid w:val="00A3533D"/>
    <w:rsid w:val="00A36E0D"/>
    <w:rsid w:val="00A36E2E"/>
    <w:rsid w:val="00A3763C"/>
    <w:rsid w:val="00A37DEA"/>
    <w:rsid w:val="00A410B6"/>
    <w:rsid w:val="00A41CC1"/>
    <w:rsid w:val="00A43E0A"/>
    <w:rsid w:val="00A44018"/>
    <w:rsid w:val="00A46581"/>
    <w:rsid w:val="00A512E7"/>
    <w:rsid w:val="00A54DAB"/>
    <w:rsid w:val="00A6248E"/>
    <w:rsid w:val="00A656C2"/>
    <w:rsid w:val="00A6659D"/>
    <w:rsid w:val="00A6673F"/>
    <w:rsid w:val="00A67F4B"/>
    <w:rsid w:val="00A700B7"/>
    <w:rsid w:val="00A7161A"/>
    <w:rsid w:val="00A7173D"/>
    <w:rsid w:val="00A75DFA"/>
    <w:rsid w:val="00A7658B"/>
    <w:rsid w:val="00A7766F"/>
    <w:rsid w:val="00A77A3C"/>
    <w:rsid w:val="00A80850"/>
    <w:rsid w:val="00A95B78"/>
    <w:rsid w:val="00A95D82"/>
    <w:rsid w:val="00A962D6"/>
    <w:rsid w:val="00A96720"/>
    <w:rsid w:val="00AA061C"/>
    <w:rsid w:val="00AA16E4"/>
    <w:rsid w:val="00AA23C2"/>
    <w:rsid w:val="00AA3099"/>
    <w:rsid w:val="00AA310E"/>
    <w:rsid w:val="00AA36AC"/>
    <w:rsid w:val="00AA4CBA"/>
    <w:rsid w:val="00AA5D75"/>
    <w:rsid w:val="00AA66E2"/>
    <w:rsid w:val="00AA6AAE"/>
    <w:rsid w:val="00AB0965"/>
    <w:rsid w:val="00AB14BF"/>
    <w:rsid w:val="00AB3A30"/>
    <w:rsid w:val="00AB41A2"/>
    <w:rsid w:val="00AB7321"/>
    <w:rsid w:val="00AC10C8"/>
    <w:rsid w:val="00AC1750"/>
    <w:rsid w:val="00AC1BDF"/>
    <w:rsid w:val="00AC29E3"/>
    <w:rsid w:val="00AC7290"/>
    <w:rsid w:val="00AD0955"/>
    <w:rsid w:val="00AD2529"/>
    <w:rsid w:val="00AD3F69"/>
    <w:rsid w:val="00AD4FD1"/>
    <w:rsid w:val="00AD56D0"/>
    <w:rsid w:val="00AD6565"/>
    <w:rsid w:val="00AD65E2"/>
    <w:rsid w:val="00AD6B83"/>
    <w:rsid w:val="00AE0F6A"/>
    <w:rsid w:val="00AE1316"/>
    <w:rsid w:val="00AE375A"/>
    <w:rsid w:val="00AE3F33"/>
    <w:rsid w:val="00AF0C23"/>
    <w:rsid w:val="00AF12A1"/>
    <w:rsid w:val="00AF2D0F"/>
    <w:rsid w:val="00AF3053"/>
    <w:rsid w:val="00AF6881"/>
    <w:rsid w:val="00B00A9A"/>
    <w:rsid w:val="00B069B5"/>
    <w:rsid w:val="00B104F0"/>
    <w:rsid w:val="00B12BFE"/>
    <w:rsid w:val="00B14D41"/>
    <w:rsid w:val="00B23D2F"/>
    <w:rsid w:val="00B24DE7"/>
    <w:rsid w:val="00B25C49"/>
    <w:rsid w:val="00B26C59"/>
    <w:rsid w:val="00B27DF2"/>
    <w:rsid w:val="00B32054"/>
    <w:rsid w:val="00B325CD"/>
    <w:rsid w:val="00B3261F"/>
    <w:rsid w:val="00B327AD"/>
    <w:rsid w:val="00B3420A"/>
    <w:rsid w:val="00B3434F"/>
    <w:rsid w:val="00B3435E"/>
    <w:rsid w:val="00B40BEF"/>
    <w:rsid w:val="00B41352"/>
    <w:rsid w:val="00B44AC4"/>
    <w:rsid w:val="00B53A3D"/>
    <w:rsid w:val="00B55CE6"/>
    <w:rsid w:val="00B55F34"/>
    <w:rsid w:val="00B572C7"/>
    <w:rsid w:val="00B57C53"/>
    <w:rsid w:val="00B614D6"/>
    <w:rsid w:val="00B61B50"/>
    <w:rsid w:val="00B6728F"/>
    <w:rsid w:val="00B70EB2"/>
    <w:rsid w:val="00B72BFD"/>
    <w:rsid w:val="00B72F85"/>
    <w:rsid w:val="00B73456"/>
    <w:rsid w:val="00B74C40"/>
    <w:rsid w:val="00B752B3"/>
    <w:rsid w:val="00B75DA3"/>
    <w:rsid w:val="00B76108"/>
    <w:rsid w:val="00B84975"/>
    <w:rsid w:val="00B86FAA"/>
    <w:rsid w:val="00B87121"/>
    <w:rsid w:val="00B90858"/>
    <w:rsid w:val="00B91149"/>
    <w:rsid w:val="00B91573"/>
    <w:rsid w:val="00BA15C6"/>
    <w:rsid w:val="00BA34F1"/>
    <w:rsid w:val="00BA37F2"/>
    <w:rsid w:val="00BA3827"/>
    <w:rsid w:val="00BA455B"/>
    <w:rsid w:val="00BA46EE"/>
    <w:rsid w:val="00BA48BE"/>
    <w:rsid w:val="00BB2E4A"/>
    <w:rsid w:val="00BB49A3"/>
    <w:rsid w:val="00BB655C"/>
    <w:rsid w:val="00BB7FF3"/>
    <w:rsid w:val="00BC01D1"/>
    <w:rsid w:val="00BC26CF"/>
    <w:rsid w:val="00BC30A6"/>
    <w:rsid w:val="00BC3620"/>
    <w:rsid w:val="00BC3C02"/>
    <w:rsid w:val="00BC4C3D"/>
    <w:rsid w:val="00BC5C69"/>
    <w:rsid w:val="00BC6527"/>
    <w:rsid w:val="00BD1AC4"/>
    <w:rsid w:val="00BD2B0D"/>
    <w:rsid w:val="00BD4D68"/>
    <w:rsid w:val="00BD55D1"/>
    <w:rsid w:val="00BD698A"/>
    <w:rsid w:val="00BD7EE0"/>
    <w:rsid w:val="00BE0A58"/>
    <w:rsid w:val="00BE355B"/>
    <w:rsid w:val="00BE469B"/>
    <w:rsid w:val="00BE7390"/>
    <w:rsid w:val="00BF03E1"/>
    <w:rsid w:val="00BF1D41"/>
    <w:rsid w:val="00BF27F9"/>
    <w:rsid w:val="00BF3A81"/>
    <w:rsid w:val="00BF3D26"/>
    <w:rsid w:val="00BF6D13"/>
    <w:rsid w:val="00BF7059"/>
    <w:rsid w:val="00BF763B"/>
    <w:rsid w:val="00BF7A39"/>
    <w:rsid w:val="00C01193"/>
    <w:rsid w:val="00C02BFC"/>
    <w:rsid w:val="00C13138"/>
    <w:rsid w:val="00C14148"/>
    <w:rsid w:val="00C161FB"/>
    <w:rsid w:val="00C2358E"/>
    <w:rsid w:val="00C23600"/>
    <w:rsid w:val="00C263BB"/>
    <w:rsid w:val="00C3273E"/>
    <w:rsid w:val="00C35D99"/>
    <w:rsid w:val="00C370EC"/>
    <w:rsid w:val="00C40D3B"/>
    <w:rsid w:val="00C459DF"/>
    <w:rsid w:val="00C51685"/>
    <w:rsid w:val="00C52378"/>
    <w:rsid w:val="00C53E38"/>
    <w:rsid w:val="00C56461"/>
    <w:rsid w:val="00C56D9F"/>
    <w:rsid w:val="00C56FAF"/>
    <w:rsid w:val="00C56FFF"/>
    <w:rsid w:val="00C5708A"/>
    <w:rsid w:val="00C6138C"/>
    <w:rsid w:val="00C63E13"/>
    <w:rsid w:val="00C64952"/>
    <w:rsid w:val="00C66235"/>
    <w:rsid w:val="00C6772C"/>
    <w:rsid w:val="00C707CF"/>
    <w:rsid w:val="00C708B4"/>
    <w:rsid w:val="00C716B4"/>
    <w:rsid w:val="00C72607"/>
    <w:rsid w:val="00C7330B"/>
    <w:rsid w:val="00C74D55"/>
    <w:rsid w:val="00C75EA6"/>
    <w:rsid w:val="00C776BE"/>
    <w:rsid w:val="00C804AA"/>
    <w:rsid w:val="00C837DA"/>
    <w:rsid w:val="00C8427C"/>
    <w:rsid w:val="00C90447"/>
    <w:rsid w:val="00C92EC6"/>
    <w:rsid w:val="00C941D6"/>
    <w:rsid w:val="00C947A5"/>
    <w:rsid w:val="00C94DB0"/>
    <w:rsid w:val="00CA0B5A"/>
    <w:rsid w:val="00CA1D28"/>
    <w:rsid w:val="00CA22CD"/>
    <w:rsid w:val="00CA32DA"/>
    <w:rsid w:val="00CA48FC"/>
    <w:rsid w:val="00CA507C"/>
    <w:rsid w:val="00CB09DD"/>
    <w:rsid w:val="00CB0E3A"/>
    <w:rsid w:val="00CB1BC3"/>
    <w:rsid w:val="00CB2E90"/>
    <w:rsid w:val="00CB346B"/>
    <w:rsid w:val="00CB3783"/>
    <w:rsid w:val="00CB5E33"/>
    <w:rsid w:val="00CC28A5"/>
    <w:rsid w:val="00CD00D0"/>
    <w:rsid w:val="00CD01A2"/>
    <w:rsid w:val="00CD1FD9"/>
    <w:rsid w:val="00CD41D5"/>
    <w:rsid w:val="00CE1276"/>
    <w:rsid w:val="00CE2B3D"/>
    <w:rsid w:val="00CE56BC"/>
    <w:rsid w:val="00CE5E55"/>
    <w:rsid w:val="00CE6487"/>
    <w:rsid w:val="00CF11B3"/>
    <w:rsid w:val="00CF1792"/>
    <w:rsid w:val="00CF182F"/>
    <w:rsid w:val="00CF1C5A"/>
    <w:rsid w:val="00CF1DA1"/>
    <w:rsid w:val="00CF53F6"/>
    <w:rsid w:val="00D008CA"/>
    <w:rsid w:val="00D03463"/>
    <w:rsid w:val="00D03AB3"/>
    <w:rsid w:val="00D03EB3"/>
    <w:rsid w:val="00D05B5F"/>
    <w:rsid w:val="00D129E5"/>
    <w:rsid w:val="00D13DE4"/>
    <w:rsid w:val="00D16A8A"/>
    <w:rsid w:val="00D20462"/>
    <w:rsid w:val="00D20A2A"/>
    <w:rsid w:val="00D2193E"/>
    <w:rsid w:val="00D2243B"/>
    <w:rsid w:val="00D2401C"/>
    <w:rsid w:val="00D247E6"/>
    <w:rsid w:val="00D24CE5"/>
    <w:rsid w:val="00D2526F"/>
    <w:rsid w:val="00D26CBE"/>
    <w:rsid w:val="00D26EEA"/>
    <w:rsid w:val="00D30B0D"/>
    <w:rsid w:val="00D31A22"/>
    <w:rsid w:val="00D32F29"/>
    <w:rsid w:val="00D3312F"/>
    <w:rsid w:val="00D33640"/>
    <w:rsid w:val="00D34120"/>
    <w:rsid w:val="00D358EE"/>
    <w:rsid w:val="00D41D39"/>
    <w:rsid w:val="00D42910"/>
    <w:rsid w:val="00D438EA"/>
    <w:rsid w:val="00D46AD1"/>
    <w:rsid w:val="00D52B6D"/>
    <w:rsid w:val="00D53DC2"/>
    <w:rsid w:val="00D558E0"/>
    <w:rsid w:val="00D55F39"/>
    <w:rsid w:val="00D57510"/>
    <w:rsid w:val="00D60F16"/>
    <w:rsid w:val="00D62744"/>
    <w:rsid w:val="00D63455"/>
    <w:rsid w:val="00D63B36"/>
    <w:rsid w:val="00D664A5"/>
    <w:rsid w:val="00D6670C"/>
    <w:rsid w:val="00D67E93"/>
    <w:rsid w:val="00D71296"/>
    <w:rsid w:val="00D72349"/>
    <w:rsid w:val="00D74141"/>
    <w:rsid w:val="00D770F1"/>
    <w:rsid w:val="00D77C05"/>
    <w:rsid w:val="00D8023A"/>
    <w:rsid w:val="00D811D5"/>
    <w:rsid w:val="00D83EC6"/>
    <w:rsid w:val="00D84EA8"/>
    <w:rsid w:val="00D85A49"/>
    <w:rsid w:val="00D90669"/>
    <w:rsid w:val="00D92166"/>
    <w:rsid w:val="00D937DF"/>
    <w:rsid w:val="00D93D6C"/>
    <w:rsid w:val="00D942D1"/>
    <w:rsid w:val="00D94E0C"/>
    <w:rsid w:val="00D94E24"/>
    <w:rsid w:val="00D96065"/>
    <w:rsid w:val="00D969F4"/>
    <w:rsid w:val="00D96D9C"/>
    <w:rsid w:val="00DA0F7A"/>
    <w:rsid w:val="00DA1A2C"/>
    <w:rsid w:val="00DA36CB"/>
    <w:rsid w:val="00DA44EF"/>
    <w:rsid w:val="00DB01DF"/>
    <w:rsid w:val="00DB1AA9"/>
    <w:rsid w:val="00DB3539"/>
    <w:rsid w:val="00DB3D8D"/>
    <w:rsid w:val="00DB5E03"/>
    <w:rsid w:val="00DC0CED"/>
    <w:rsid w:val="00DC31D5"/>
    <w:rsid w:val="00DC5355"/>
    <w:rsid w:val="00DC6FFA"/>
    <w:rsid w:val="00DC7F26"/>
    <w:rsid w:val="00DD02F4"/>
    <w:rsid w:val="00DD0BD7"/>
    <w:rsid w:val="00DD26DF"/>
    <w:rsid w:val="00DD3BA3"/>
    <w:rsid w:val="00DD42FA"/>
    <w:rsid w:val="00DD44D0"/>
    <w:rsid w:val="00DD45BD"/>
    <w:rsid w:val="00DD61C1"/>
    <w:rsid w:val="00DE01E1"/>
    <w:rsid w:val="00DE2428"/>
    <w:rsid w:val="00DE242F"/>
    <w:rsid w:val="00DE3841"/>
    <w:rsid w:val="00DE43B6"/>
    <w:rsid w:val="00DE5A77"/>
    <w:rsid w:val="00DE748A"/>
    <w:rsid w:val="00DE772E"/>
    <w:rsid w:val="00DF01D3"/>
    <w:rsid w:val="00DF0552"/>
    <w:rsid w:val="00DF1AFE"/>
    <w:rsid w:val="00DF2901"/>
    <w:rsid w:val="00DF45D1"/>
    <w:rsid w:val="00DF4A71"/>
    <w:rsid w:val="00DF58BC"/>
    <w:rsid w:val="00E00063"/>
    <w:rsid w:val="00E0176B"/>
    <w:rsid w:val="00E0326D"/>
    <w:rsid w:val="00E10005"/>
    <w:rsid w:val="00E105DE"/>
    <w:rsid w:val="00E10C85"/>
    <w:rsid w:val="00E11A00"/>
    <w:rsid w:val="00E1502D"/>
    <w:rsid w:val="00E16155"/>
    <w:rsid w:val="00E16DFA"/>
    <w:rsid w:val="00E23FFD"/>
    <w:rsid w:val="00E241B3"/>
    <w:rsid w:val="00E26297"/>
    <w:rsid w:val="00E264FE"/>
    <w:rsid w:val="00E30FE5"/>
    <w:rsid w:val="00E31C8E"/>
    <w:rsid w:val="00E34D51"/>
    <w:rsid w:val="00E35E41"/>
    <w:rsid w:val="00E37015"/>
    <w:rsid w:val="00E37839"/>
    <w:rsid w:val="00E40DF4"/>
    <w:rsid w:val="00E43E9D"/>
    <w:rsid w:val="00E46560"/>
    <w:rsid w:val="00E47DD6"/>
    <w:rsid w:val="00E51958"/>
    <w:rsid w:val="00E53381"/>
    <w:rsid w:val="00E5598D"/>
    <w:rsid w:val="00E55E40"/>
    <w:rsid w:val="00E56331"/>
    <w:rsid w:val="00E57C9E"/>
    <w:rsid w:val="00E57E52"/>
    <w:rsid w:val="00E57FFA"/>
    <w:rsid w:val="00E61E50"/>
    <w:rsid w:val="00E63DCD"/>
    <w:rsid w:val="00E64736"/>
    <w:rsid w:val="00E66DCC"/>
    <w:rsid w:val="00E72F90"/>
    <w:rsid w:val="00E74A6C"/>
    <w:rsid w:val="00E74AC8"/>
    <w:rsid w:val="00E754A6"/>
    <w:rsid w:val="00E771BB"/>
    <w:rsid w:val="00E82D8A"/>
    <w:rsid w:val="00E844BD"/>
    <w:rsid w:val="00E84B73"/>
    <w:rsid w:val="00E864FD"/>
    <w:rsid w:val="00E86D77"/>
    <w:rsid w:val="00E87AEF"/>
    <w:rsid w:val="00E90E99"/>
    <w:rsid w:val="00E9106C"/>
    <w:rsid w:val="00E94546"/>
    <w:rsid w:val="00E97499"/>
    <w:rsid w:val="00EA11C8"/>
    <w:rsid w:val="00EA2A1C"/>
    <w:rsid w:val="00EA3196"/>
    <w:rsid w:val="00EA7300"/>
    <w:rsid w:val="00EB0609"/>
    <w:rsid w:val="00EB3382"/>
    <w:rsid w:val="00EB701C"/>
    <w:rsid w:val="00EB71DE"/>
    <w:rsid w:val="00EB7258"/>
    <w:rsid w:val="00EC2439"/>
    <w:rsid w:val="00EC561B"/>
    <w:rsid w:val="00EC5ED4"/>
    <w:rsid w:val="00EC7BA2"/>
    <w:rsid w:val="00ED25E4"/>
    <w:rsid w:val="00ED2D16"/>
    <w:rsid w:val="00ED3895"/>
    <w:rsid w:val="00ED4A4E"/>
    <w:rsid w:val="00ED4B1A"/>
    <w:rsid w:val="00ED7488"/>
    <w:rsid w:val="00EE538F"/>
    <w:rsid w:val="00EF0526"/>
    <w:rsid w:val="00EF3149"/>
    <w:rsid w:val="00EF6261"/>
    <w:rsid w:val="00EF7DEF"/>
    <w:rsid w:val="00F00768"/>
    <w:rsid w:val="00F0113E"/>
    <w:rsid w:val="00F013B5"/>
    <w:rsid w:val="00F01942"/>
    <w:rsid w:val="00F02F84"/>
    <w:rsid w:val="00F03B90"/>
    <w:rsid w:val="00F03C91"/>
    <w:rsid w:val="00F040D8"/>
    <w:rsid w:val="00F0768E"/>
    <w:rsid w:val="00F11608"/>
    <w:rsid w:val="00F11629"/>
    <w:rsid w:val="00F12626"/>
    <w:rsid w:val="00F1283C"/>
    <w:rsid w:val="00F12A8F"/>
    <w:rsid w:val="00F13940"/>
    <w:rsid w:val="00F1407B"/>
    <w:rsid w:val="00F14316"/>
    <w:rsid w:val="00F14731"/>
    <w:rsid w:val="00F14DBE"/>
    <w:rsid w:val="00F15722"/>
    <w:rsid w:val="00F16522"/>
    <w:rsid w:val="00F1671A"/>
    <w:rsid w:val="00F20674"/>
    <w:rsid w:val="00F250C0"/>
    <w:rsid w:val="00F27FF1"/>
    <w:rsid w:val="00F316CB"/>
    <w:rsid w:val="00F337A3"/>
    <w:rsid w:val="00F36088"/>
    <w:rsid w:val="00F36C78"/>
    <w:rsid w:val="00F40BC3"/>
    <w:rsid w:val="00F43346"/>
    <w:rsid w:val="00F44F0E"/>
    <w:rsid w:val="00F45DB9"/>
    <w:rsid w:val="00F53974"/>
    <w:rsid w:val="00F55383"/>
    <w:rsid w:val="00F636FF"/>
    <w:rsid w:val="00F65BBC"/>
    <w:rsid w:val="00F66C16"/>
    <w:rsid w:val="00F66E75"/>
    <w:rsid w:val="00F67511"/>
    <w:rsid w:val="00F71F40"/>
    <w:rsid w:val="00F726E0"/>
    <w:rsid w:val="00F73040"/>
    <w:rsid w:val="00F731FC"/>
    <w:rsid w:val="00F74538"/>
    <w:rsid w:val="00F81FE1"/>
    <w:rsid w:val="00F82910"/>
    <w:rsid w:val="00F843E4"/>
    <w:rsid w:val="00F8562A"/>
    <w:rsid w:val="00F87348"/>
    <w:rsid w:val="00F87BE7"/>
    <w:rsid w:val="00F90F3A"/>
    <w:rsid w:val="00F9610B"/>
    <w:rsid w:val="00FA0F63"/>
    <w:rsid w:val="00FA33DB"/>
    <w:rsid w:val="00FA3DB0"/>
    <w:rsid w:val="00FA6C03"/>
    <w:rsid w:val="00FA6D23"/>
    <w:rsid w:val="00FA6E2C"/>
    <w:rsid w:val="00FB1ADE"/>
    <w:rsid w:val="00FB3C8D"/>
    <w:rsid w:val="00FB401B"/>
    <w:rsid w:val="00FB403C"/>
    <w:rsid w:val="00FB76FC"/>
    <w:rsid w:val="00FC20FA"/>
    <w:rsid w:val="00FC3CFB"/>
    <w:rsid w:val="00FC59B9"/>
    <w:rsid w:val="00FC5BD4"/>
    <w:rsid w:val="00FC6D1C"/>
    <w:rsid w:val="00FC76F1"/>
    <w:rsid w:val="00FD23F8"/>
    <w:rsid w:val="00FD24BD"/>
    <w:rsid w:val="00FD2D2E"/>
    <w:rsid w:val="00FD30EA"/>
    <w:rsid w:val="00FD4C17"/>
    <w:rsid w:val="00FD4D54"/>
    <w:rsid w:val="00FD67CC"/>
    <w:rsid w:val="00FD6C06"/>
    <w:rsid w:val="00FD6FC3"/>
    <w:rsid w:val="00FD7ADD"/>
    <w:rsid w:val="00FE0AA8"/>
    <w:rsid w:val="00FE1234"/>
    <w:rsid w:val="00FE1B6A"/>
    <w:rsid w:val="00FE5D47"/>
    <w:rsid w:val="00FF0CC5"/>
    <w:rsid w:val="00FF2D68"/>
    <w:rsid w:val="00FF2F59"/>
    <w:rsid w:val="00FF42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B4E3E"/>
  <w15:docId w15:val="{137121F5-7D0B-4C86-8C53-57777287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120" w:line="280" w:lineRule="atLeast"/>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4" w:unhideWhenUsed="1" w:qFormat="1"/>
    <w:lsdException w:name="heading 6" w:semiHidden="1" w:uiPriority="4" w:unhideWhenUsed="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F44F0E"/>
    <w:pPr>
      <w:spacing w:before="240" w:after="240" w:line="360" w:lineRule="auto"/>
    </w:pPr>
  </w:style>
  <w:style w:type="paragraph" w:styleId="Heading1">
    <w:name w:val="heading 1"/>
    <w:basedOn w:val="Normal"/>
    <w:next w:val="BodyText"/>
    <w:link w:val="Heading1Char"/>
    <w:uiPriority w:val="1"/>
    <w:qFormat/>
    <w:rsid w:val="008D7962"/>
    <w:pPr>
      <w:keepNext/>
      <w:keepLines/>
      <w:spacing w:after="360"/>
      <w:outlineLvl w:val="0"/>
    </w:pPr>
    <w:rPr>
      <w:rFonts w:ascii="VAG Rounded" w:eastAsiaTheme="majorEastAsia" w:hAnsi="VAG Rounded" w:cstheme="majorBidi"/>
      <w:b/>
      <w:color w:val="005496" w:themeColor="accent1"/>
      <w:spacing w:val="14"/>
      <w:sz w:val="40"/>
      <w:szCs w:val="32"/>
    </w:rPr>
  </w:style>
  <w:style w:type="paragraph" w:styleId="Heading2">
    <w:name w:val="heading 2"/>
    <w:basedOn w:val="Normal"/>
    <w:next w:val="Normal"/>
    <w:link w:val="Heading2Char"/>
    <w:uiPriority w:val="1"/>
    <w:qFormat/>
    <w:rsid w:val="00867F2F"/>
    <w:pPr>
      <w:keepNext/>
      <w:keepLines/>
      <w:spacing w:after="0"/>
      <w:outlineLvl w:val="1"/>
    </w:pPr>
    <w:rPr>
      <w:rFonts w:ascii="VAG Rounded" w:eastAsiaTheme="majorEastAsia" w:hAnsi="VAG Rounded" w:cstheme="majorBidi"/>
      <w:color w:val="005496" w:themeColor="accent1"/>
      <w:sz w:val="36"/>
      <w:szCs w:val="26"/>
    </w:rPr>
  </w:style>
  <w:style w:type="paragraph" w:styleId="Heading3">
    <w:name w:val="heading 3"/>
    <w:basedOn w:val="Normal"/>
    <w:next w:val="Normal"/>
    <w:link w:val="Heading3Char"/>
    <w:uiPriority w:val="1"/>
    <w:qFormat/>
    <w:rsid w:val="00867F2F"/>
    <w:pPr>
      <w:keepNext/>
      <w:keepLines/>
      <w:spacing w:before="0"/>
      <w:outlineLvl w:val="2"/>
    </w:pPr>
    <w:rPr>
      <w:rFonts w:ascii="VAG Rounded" w:eastAsiaTheme="majorEastAsia" w:hAnsi="VAG Rounded" w:cstheme="majorBidi"/>
      <w:color w:val="00884F" w:themeColor="accent2"/>
      <w:sz w:val="32"/>
      <w:szCs w:val="32"/>
    </w:rPr>
  </w:style>
  <w:style w:type="paragraph" w:styleId="Heading4">
    <w:name w:val="heading 4"/>
    <w:basedOn w:val="Normal"/>
    <w:next w:val="Normal"/>
    <w:link w:val="Heading4Char"/>
    <w:uiPriority w:val="1"/>
    <w:qFormat/>
    <w:rsid w:val="008D7962"/>
    <w:pPr>
      <w:keepNext/>
      <w:keepLines/>
      <w:outlineLvl w:val="3"/>
    </w:pPr>
    <w:rPr>
      <w:rFonts w:asciiTheme="majorHAnsi" w:eastAsiaTheme="majorEastAsia" w:hAnsiTheme="majorHAnsi" w:cstheme="majorBidi"/>
      <w:b/>
      <w:iCs/>
      <w:color w:val="005496" w:themeColor="accent1"/>
      <w:sz w:val="28"/>
    </w:rPr>
  </w:style>
  <w:style w:type="paragraph" w:styleId="Heading5">
    <w:name w:val="heading 5"/>
    <w:basedOn w:val="Normal"/>
    <w:next w:val="Normal"/>
    <w:link w:val="Heading5Char"/>
    <w:uiPriority w:val="1"/>
    <w:unhideWhenUsed/>
    <w:qFormat/>
    <w:rsid w:val="0016635C"/>
    <w:pPr>
      <w:keepNext/>
      <w:keepLines/>
      <w:spacing w:before="40" w:after="0"/>
      <w:outlineLvl w:val="4"/>
    </w:pPr>
    <w:rPr>
      <w:rFonts w:asciiTheme="majorHAnsi" w:eastAsiaTheme="majorEastAsia" w:hAnsiTheme="majorHAnsi" w:cstheme="majorBidi"/>
      <w:b/>
      <w:color w:val="00549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558E0"/>
    <w:rPr>
      <w:rFonts w:ascii="VAG Rounded" w:eastAsiaTheme="majorEastAsia" w:hAnsi="VAG Rounded" w:cstheme="majorBidi"/>
      <w:b/>
      <w:color w:val="005496" w:themeColor="accent1"/>
      <w:spacing w:val="14"/>
      <w:sz w:val="40"/>
      <w:szCs w:val="32"/>
    </w:rPr>
  </w:style>
  <w:style w:type="paragraph" w:customStyle="1" w:styleId="PWDAContacts">
    <w:name w:val="PWDA Contacts"/>
    <w:uiPriority w:val="5"/>
    <w:qFormat/>
    <w:rsid w:val="002D493D"/>
    <w:pPr>
      <w:spacing w:before="80" w:after="0" w:line="360" w:lineRule="auto"/>
    </w:pPr>
  </w:style>
  <w:style w:type="character" w:customStyle="1" w:styleId="PWDAContactsHeading">
    <w:name w:val="PWDA Contacts Heading"/>
    <w:basedOn w:val="DefaultParagraphFont"/>
    <w:uiPriority w:val="5"/>
    <w:rsid w:val="001E4D5C"/>
    <w:rPr>
      <w:rFonts w:ascii="VAGblake" w:hAnsi="VAGblake"/>
      <w:b/>
      <w:color w:val="005496" w:themeColor="text2"/>
    </w:rPr>
  </w:style>
  <w:style w:type="paragraph" w:styleId="Header">
    <w:name w:val="header"/>
    <w:basedOn w:val="TableGap"/>
    <w:link w:val="HeaderChar"/>
    <w:uiPriority w:val="99"/>
    <w:unhideWhenUsed/>
    <w:rsid w:val="005F3AF7"/>
    <w:pPr>
      <w:spacing w:before="0" w:line="360" w:lineRule="auto"/>
    </w:pPr>
    <w:rPr>
      <w:rFonts w:cs="Arial"/>
      <w:b/>
      <w:bCs/>
      <w:color w:val="005496" w:themeColor="accent1"/>
      <w:sz w:val="24"/>
      <w:szCs w:val="48"/>
    </w:rPr>
  </w:style>
  <w:style w:type="character" w:customStyle="1" w:styleId="HeaderChar">
    <w:name w:val="Header Char"/>
    <w:basedOn w:val="DefaultParagraphFont"/>
    <w:link w:val="Header"/>
    <w:uiPriority w:val="99"/>
    <w:rsid w:val="005F3AF7"/>
    <w:rPr>
      <w:rFonts w:cs="Arial"/>
      <w:b/>
      <w:bCs/>
      <w:color w:val="005496" w:themeColor="accent1"/>
      <w:szCs w:val="48"/>
    </w:rPr>
  </w:style>
  <w:style w:type="paragraph" w:styleId="Footer">
    <w:name w:val="footer"/>
    <w:basedOn w:val="Normal"/>
    <w:link w:val="FooterChar"/>
    <w:uiPriority w:val="99"/>
    <w:unhideWhenUsed/>
    <w:rsid w:val="004B15FD"/>
    <w:pPr>
      <w:tabs>
        <w:tab w:val="center" w:pos="4680"/>
        <w:tab w:val="right" w:pos="9360"/>
      </w:tabs>
      <w:spacing w:after="0" w:line="240" w:lineRule="auto"/>
    </w:pPr>
    <w:rPr>
      <w:rFonts w:ascii="VAG Rounded" w:hAnsi="VAG Rounded"/>
      <w:color w:val="00884F" w:themeColor="accent2"/>
    </w:rPr>
  </w:style>
  <w:style w:type="character" w:customStyle="1" w:styleId="FooterChar">
    <w:name w:val="Footer Char"/>
    <w:basedOn w:val="DefaultParagraphFont"/>
    <w:link w:val="Footer"/>
    <w:uiPriority w:val="99"/>
    <w:rsid w:val="004B15FD"/>
    <w:rPr>
      <w:rFonts w:ascii="VAG Rounded" w:hAnsi="VAG Rounded"/>
      <w:color w:val="00884F" w:themeColor="accent2"/>
    </w:rPr>
  </w:style>
  <w:style w:type="paragraph" w:styleId="TOC1">
    <w:name w:val="toc 1"/>
    <w:basedOn w:val="Normal"/>
    <w:next w:val="Normal"/>
    <w:autoRedefine/>
    <w:uiPriority w:val="39"/>
    <w:rsid w:val="0070255E"/>
    <w:pPr>
      <w:pBdr>
        <w:bottom w:val="single" w:sz="4" w:space="3" w:color="auto"/>
        <w:between w:val="single" w:sz="4" w:space="3" w:color="auto"/>
      </w:pBdr>
      <w:tabs>
        <w:tab w:val="right" w:pos="9628"/>
      </w:tabs>
      <w:spacing w:after="0"/>
    </w:pPr>
    <w:rPr>
      <w:noProof/>
    </w:rPr>
  </w:style>
  <w:style w:type="character" w:styleId="Hyperlink">
    <w:name w:val="Hyperlink"/>
    <w:basedOn w:val="DefaultParagraphFont"/>
    <w:uiPriority w:val="99"/>
    <w:unhideWhenUsed/>
    <w:qFormat/>
    <w:rsid w:val="00560251"/>
    <w:rPr>
      <w:b/>
      <w:i w:val="0"/>
      <w:color w:val="005496"/>
      <w:u w:val="none"/>
    </w:rPr>
  </w:style>
  <w:style w:type="paragraph" w:styleId="TOCHeading">
    <w:name w:val="TOC Heading"/>
    <w:basedOn w:val="Heading1"/>
    <w:next w:val="Normal"/>
    <w:uiPriority w:val="39"/>
    <w:qFormat/>
    <w:rsid w:val="008E2BF3"/>
    <w:pPr>
      <w:spacing w:after="240"/>
      <w:outlineLvl w:val="9"/>
    </w:pPr>
    <w:rPr>
      <w:lang w:val="en-US"/>
    </w:rPr>
  </w:style>
  <w:style w:type="character" w:customStyle="1" w:styleId="Heading2Char">
    <w:name w:val="Heading 2 Char"/>
    <w:basedOn w:val="DefaultParagraphFont"/>
    <w:link w:val="Heading2"/>
    <w:uiPriority w:val="1"/>
    <w:rsid w:val="00867F2F"/>
    <w:rPr>
      <w:rFonts w:ascii="VAG Rounded" w:eastAsiaTheme="majorEastAsia" w:hAnsi="VAG Rounded" w:cstheme="majorBidi"/>
      <w:color w:val="005496" w:themeColor="accent1"/>
      <w:sz w:val="36"/>
      <w:szCs w:val="26"/>
    </w:rPr>
  </w:style>
  <w:style w:type="character" w:customStyle="1" w:styleId="Heading3Char">
    <w:name w:val="Heading 3 Char"/>
    <w:basedOn w:val="DefaultParagraphFont"/>
    <w:link w:val="Heading3"/>
    <w:uiPriority w:val="1"/>
    <w:rsid w:val="00867F2F"/>
    <w:rPr>
      <w:rFonts w:ascii="VAG Rounded" w:eastAsiaTheme="majorEastAsia" w:hAnsi="VAG Rounded" w:cstheme="majorBidi"/>
      <w:color w:val="00884F" w:themeColor="accent2"/>
      <w:sz w:val="32"/>
      <w:szCs w:val="32"/>
    </w:rPr>
  </w:style>
  <w:style w:type="paragraph" w:customStyle="1" w:styleId="TableGap">
    <w:name w:val="Table Gap"/>
    <w:basedOn w:val="Normal"/>
    <w:uiPriority w:val="5"/>
    <w:rsid w:val="001A67EB"/>
    <w:pPr>
      <w:spacing w:after="0" w:line="240" w:lineRule="auto"/>
    </w:pPr>
    <w:rPr>
      <w:sz w:val="6"/>
    </w:rPr>
  </w:style>
  <w:style w:type="paragraph" w:customStyle="1" w:styleId="Bullet1">
    <w:name w:val="Bullet 1"/>
    <w:basedOn w:val="Normal"/>
    <w:uiPriority w:val="1"/>
    <w:semiHidden/>
    <w:qFormat/>
    <w:rsid w:val="001234CE"/>
  </w:style>
  <w:style w:type="paragraph" w:styleId="ListParagraph">
    <w:name w:val="List Paragraph"/>
    <w:aliases w:val="Numbered List"/>
    <w:basedOn w:val="Normal"/>
    <w:link w:val="ListParagraphChar"/>
    <w:uiPriority w:val="1"/>
    <w:qFormat/>
    <w:rsid w:val="0086598F"/>
    <w:pPr>
      <w:numPr>
        <w:numId w:val="10"/>
      </w:numPr>
    </w:pPr>
  </w:style>
  <w:style w:type="numbering" w:customStyle="1" w:styleId="PWDABullets">
    <w:name w:val="PWDA_Bullets"/>
    <w:uiPriority w:val="99"/>
    <w:rsid w:val="001234CE"/>
    <w:pPr>
      <w:numPr>
        <w:numId w:val="2"/>
      </w:numPr>
    </w:pPr>
  </w:style>
  <w:style w:type="paragraph" w:customStyle="1" w:styleId="NumberedMultiList">
    <w:name w:val="Numbered Multi List"/>
    <w:basedOn w:val="Normal"/>
    <w:uiPriority w:val="1"/>
    <w:semiHidden/>
    <w:qFormat/>
    <w:rsid w:val="00C02BFC"/>
  </w:style>
  <w:style w:type="numbering" w:customStyle="1" w:styleId="PWDANumbered">
    <w:name w:val="PWDA_Numbered"/>
    <w:uiPriority w:val="99"/>
    <w:rsid w:val="00C02BFC"/>
    <w:pPr>
      <w:numPr>
        <w:numId w:val="5"/>
      </w:numPr>
    </w:pPr>
  </w:style>
  <w:style w:type="character" w:customStyle="1" w:styleId="UnresolvedMention1">
    <w:name w:val="Unresolved Mention1"/>
    <w:basedOn w:val="DefaultParagraphFont"/>
    <w:uiPriority w:val="99"/>
    <w:semiHidden/>
    <w:unhideWhenUsed/>
    <w:rsid w:val="00C02BFC"/>
    <w:rPr>
      <w:color w:val="808080"/>
      <w:shd w:val="clear" w:color="auto" w:fill="E6E6E6"/>
    </w:rPr>
  </w:style>
  <w:style w:type="table" w:styleId="TableGrid">
    <w:name w:val="Table Grid"/>
    <w:basedOn w:val="TableNormal"/>
    <w:uiPriority w:val="39"/>
    <w:rsid w:val="0089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CA4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96" w:themeFill="accent1"/>
      </w:tcPr>
    </w:tblStylePr>
    <w:tblStylePr w:type="band1Vert">
      <w:tblPr/>
      <w:tcPr>
        <w:shd w:val="clear" w:color="auto" w:fill="6FBFFF" w:themeFill="accent1" w:themeFillTint="66"/>
      </w:tcPr>
    </w:tblStylePr>
    <w:tblStylePr w:type="band1Horz">
      <w:tblPr/>
      <w:tcPr>
        <w:shd w:val="clear" w:color="auto" w:fill="6FBFFF" w:themeFill="accent1" w:themeFillTint="66"/>
      </w:tcPr>
    </w:tblStylePr>
  </w:style>
  <w:style w:type="table" w:customStyle="1" w:styleId="GridTable4-Accent11">
    <w:name w:val="Grid Table 4 - Accent 11"/>
    <w:basedOn w:val="TableNormal"/>
    <w:uiPriority w:val="49"/>
    <w:rsid w:val="00CA48FC"/>
    <w:pPr>
      <w:spacing w:after="0" w:line="240" w:lineRule="auto"/>
    </w:pPr>
    <w:tblPr>
      <w:tblStyleRowBandSize w:val="1"/>
      <w:tblStyleColBandSize w:val="1"/>
      <w:tblBorders>
        <w:top w:val="single" w:sz="4" w:space="0" w:color="279FFF" w:themeColor="accent1" w:themeTint="99"/>
        <w:left w:val="single" w:sz="4" w:space="0" w:color="279FFF" w:themeColor="accent1" w:themeTint="99"/>
        <w:bottom w:val="single" w:sz="4" w:space="0" w:color="279FFF" w:themeColor="accent1" w:themeTint="99"/>
        <w:right w:val="single" w:sz="4" w:space="0" w:color="279FFF" w:themeColor="accent1" w:themeTint="99"/>
        <w:insideH w:val="single" w:sz="4" w:space="0" w:color="279FFF" w:themeColor="accent1" w:themeTint="99"/>
        <w:insideV w:val="single" w:sz="4" w:space="0" w:color="279FFF" w:themeColor="accent1" w:themeTint="99"/>
      </w:tblBorders>
    </w:tblPr>
    <w:tblStylePr w:type="firstRow">
      <w:rPr>
        <w:b/>
        <w:bCs/>
        <w:color w:val="FFFFFF" w:themeColor="background1"/>
      </w:rPr>
      <w:tblPr/>
      <w:tcPr>
        <w:tcBorders>
          <w:top w:val="single" w:sz="4" w:space="0" w:color="005496" w:themeColor="accent1"/>
          <w:left w:val="single" w:sz="4" w:space="0" w:color="005496" w:themeColor="accent1"/>
          <w:bottom w:val="single" w:sz="4" w:space="0" w:color="005496" w:themeColor="accent1"/>
          <w:right w:val="single" w:sz="4" w:space="0" w:color="005496" w:themeColor="accent1"/>
          <w:insideH w:val="nil"/>
          <w:insideV w:val="nil"/>
        </w:tcBorders>
        <w:shd w:val="clear" w:color="auto" w:fill="005496" w:themeFill="accent1"/>
      </w:tcPr>
    </w:tblStylePr>
    <w:tblStylePr w:type="lastRow">
      <w:rPr>
        <w:b/>
        <w:bCs/>
      </w:rPr>
      <w:tblPr/>
      <w:tcPr>
        <w:tcBorders>
          <w:top w:val="double" w:sz="4" w:space="0" w:color="005496" w:themeColor="accent1"/>
        </w:tcBorders>
      </w:tcPr>
    </w:tblStylePr>
    <w:tblStylePr w:type="firstCol">
      <w:rPr>
        <w:b/>
        <w:bCs/>
      </w:rPr>
    </w:tblStylePr>
    <w:tblStylePr w:type="lastCol">
      <w:rPr>
        <w:b/>
        <w:bCs/>
      </w:rPr>
    </w:tblStylePr>
    <w:tblStylePr w:type="band1Vert">
      <w:tblPr/>
      <w:tcPr>
        <w:shd w:val="clear" w:color="auto" w:fill="B7DFFF" w:themeFill="accent1" w:themeFillTint="33"/>
      </w:tcPr>
    </w:tblStylePr>
    <w:tblStylePr w:type="band1Horz">
      <w:tblPr/>
      <w:tcPr>
        <w:shd w:val="clear" w:color="auto" w:fill="B7DFFF" w:themeFill="accent1" w:themeFillTint="33"/>
      </w:tcPr>
    </w:tblStylePr>
  </w:style>
  <w:style w:type="paragraph" w:styleId="Title">
    <w:name w:val="Title"/>
    <w:basedOn w:val="Normal"/>
    <w:next w:val="Normal"/>
    <w:link w:val="TitleChar"/>
    <w:uiPriority w:val="4"/>
    <w:semiHidden/>
    <w:rsid w:val="000952BC"/>
    <w:pPr>
      <w:spacing w:after="0" w:line="1080" w:lineRule="atLeast"/>
      <w:contextualSpacing/>
    </w:pPr>
    <w:rPr>
      <w:rFonts w:asciiTheme="majorHAnsi" w:eastAsiaTheme="majorEastAsia" w:hAnsiTheme="majorHAnsi" w:cstheme="majorBidi"/>
      <w:color w:val="FFFFFF" w:themeColor="background1"/>
      <w:spacing w:val="-10"/>
      <w:kern w:val="28"/>
      <w:sz w:val="108"/>
      <w:szCs w:val="56"/>
    </w:rPr>
  </w:style>
  <w:style w:type="character" w:customStyle="1" w:styleId="TitleChar">
    <w:name w:val="Title Char"/>
    <w:basedOn w:val="DefaultParagraphFont"/>
    <w:link w:val="Title"/>
    <w:uiPriority w:val="4"/>
    <w:semiHidden/>
    <w:rsid w:val="00D558E0"/>
    <w:rPr>
      <w:rFonts w:asciiTheme="majorHAnsi" w:eastAsiaTheme="majorEastAsia" w:hAnsiTheme="majorHAnsi" w:cstheme="majorBidi"/>
      <w:color w:val="FFFFFF" w:themeColor="background1"/>
      <w:spacing w:val="-10"/>
      <w:kern w:val="28"/>
      <w:sz w:val="108"/>
      <w:szCs w:val="56"/>
    </w:rPr>
  </w:style>
  <w:style w:type="paragraph" w:customStyle="1" w:styleId="TitleDate">
    <w:name w:val="Title Date"/>
    <w:uiPriority w:val="4"/>
    <w:rsid w:val="000952BC"/>
    <w:pPr>
      <w:spacing w:after="0" w:line="240" w:lineRule="auto"/>
    </w:pPr>
    <w:rPr>
      <w:caps/>
      <w:color w:val="FFFFFF" w:themeColor="background1"/>
      <w:sz w:val="38"/>
    </w:rPr>
  </w:style>
  <w:style w:type="character" w:customStyle="1" w:styleId="Heading4Char">
    <w:name w:val="Heading 4 Char"/>
    <w:basedOn w:val="DefaultParagraphFont"/>
    <w:link w:val="Heading4"/>
    <w:uiPriority w:val="1"/>
    <w:rsid w:val="00D558E0"/>
    <w:rPr>
      <w:rFonts w:asciiTheme="majorHAnsi" w:eastAsiaTheme="majorEastAsia" w:hAnsiTheme="majorHAnsi" w:cstheme="majorBidi"/>
      <w:b/>
      <w:iCs/>
      <w:color w:val="005496" w:themeColor="accent1"/>
      <w:sz w:val="28"/>
    </w:rPr>
  </w:style>
  <w:style w:type="paragraph" w:styleId="Caption">
    <w:name w:val="caption"/>
    <w:basedOn w:val="Normal"/>
    <w:next w:val="Normal"/>
    <w:uiPriority w:val="35"/>
    <w:unhideWhenUsed/>
    <w:qFormat/>
    <w:rsid w:val="002956B3"/>
    <w:pPr>
      <w:keepNext/>
      <w:spacing w:after="200" w:line="240" w:lineRule="auto"/>
    </w:pPr>
    <w:rPr>
      <w:iCs/>
      <w:color w:val="005496" w:themeColor="text2"/>
      <w:szCs w:val="18"/>
    </w:rPr>
  </w:style>
  <w:style w:type="paragraph" w:customStyle="1" w:styleId="AddressBlockdate">
    <w:name w:val="Address Block &amp; date"/>
    <w:basedOn w:val="Normal"/>
    <w:uiPriority w:val="3"/>
    <w:qFormat/>
    <w:rsid w:val="00696E38"/>
    <w:pPr>
      <w:spacing w:before="0" w:after="0"/>
      <w:contextualSpacing/>
    </w:pPr>
    <w:rPr>
      <w:b/>
    </w:rPr>
  </w:style>
  <w:style w:type="paragraph" w:customStyle="1" w:styleId="BasicParagraph">
    <w:name w:val="[Basic Paragraph]"/>
    <w:basedOn w:val="Normal"/>
    <w:uiPriority w:val="99"/>
    <w:rsid w:val="002A6DD5"/>
    <w:pPr>
      <w:autoSpaceDE w:val="0"/>
      <w:autoSpaceDN w:val="0"/>
      <w:adjustRightInd w:val="0"/>
      <w:spacing w:after="0" w:line="288" w:lineRule="auto"/>
      <w:textAlignment w:val="center"/>
    </w:pPr>
    <w:rPr>
      <w:rFonts w:ascii="MinionPro-Regular" w:hAnsi="MinionPro-Regular" w:cs="MinionPro-Regular"/>
      <w:color w:val="000000"/>
      <w:lang w:val="en-US"/>
    </w:rPr>
  </w:style>
  <w:style w:type="character" w:styleId="UnresolvedMention">
    <w:name w:val="Unresolved Mention"/>
    <w:basedOn w:val="DefaultParagraphFont"/>
    <w:uiPriority w:val="99"/>
    <w:semiHidden/>
    <w:unhideWhenUsed/>
    <w:rsid w:val="00B32054"/>
    <w:rPr>
      <w:color w:val="605E5C"/>
      <w:shd w:val="clear" w:color="auto" w:fill="E1DFDD"/>
    </w:rPr>
  </w:style>
  <w:style w:type="paragraph" w:styleId="BodyText">
    <w:name w:val="Body Text"/>
    <w:basedOn w:val="Normal"/>
    <w:link w:val="BodyTextChar"/>
    <w:qFormat/>
    <w:rsid w:val="002D493D"/>
  </w:style>
  <w:style w:type="character" w:customStyle="1" w:styleId="BodyTextChar">
    <w:name w:val="Body Text Char"/>
    <w:basedOn w:val="DefaultParagraphFont"/>
    <w:link w:val="BodyText"/>
    <w:rsid w:val="002D493D"/>
  </w:style>
  <w:style w:type="paragraph" w:styleId="ListBullet">
    <w:name w:val="List Bullet"/>
    <w:aliases w:val="Bullet List"/>
    <w:basedOn w:val="Normal"/>
    <w:uiPriority w:val="2"/>
    <w:qFormat/>
    <w:rsid w:val="0086598F"/>
    <w:pPr>
      <w:numPr>
        <w:numId w:val="9"/>
      </w:numPr>
    </w:pPr>
  </w:style>
  <w:style w:type="character" w:customStyle="1" w:styleId="ListParagraphChar">
    <w:name w:val="List Paragraph Char"/>
    <w:aliases w:val="Numbered List Char"/>
    <w:link w:val="ListParagraph"/>
    <w:uiPriority w:val="1"/>
    <w:qFormat/>
    <w:rsid w:val="0086598F"/>
  </w:style>
  <w:style w:type="character" w:styleId="EndnoteReference">
    <w:name w:val="endnote reference"/>
    <w:basedOn w:val="DefaultParagraphFont"/>
    <w:uiPriority w:val="99"/>
    <w:unhideWhenUsed/>
    <w:rsid w:val="002956B3"/>
    <w:rPr>
      <w:rFonts w:asciiTheme="minorHAnsi" w:hAnsiTheme="minorHAnsi"/>
      <w:b/>
      <w:sz w:val="24"/>
      <w:vertAlign w:val="superscript"/>
    </w:rPr>
  </w:style>
  <w:style w:type="paragraph" w:styleId="EndnoteText">
    <w:name w:val="endnote text"/>
    <w:basedOn w:val="Normal"/>
    <w:link w:val="EndnoteTextChar"/>
    <w:uiPriority w:val="99"/>
    <w:unhideWhenUsed/>
    <w:rsid w:val="002956B3"/>
    <w:pPr>
      <w:spacing w:after="0" w:line="240" w:lineRule="auto"/>
    </w:pPr>
    <w:rPr>
      <w:szCs w:val="20"/>
    </w:rPr>
  </w:style>
  <w:style w:type="character" w:customStyle="1" w:styleId="EndnoteTextChar">
    <w:name w:val="Endnote Text Char"/>
    <w:basedOn w:val="DefaultParagraphFont"/>
    <w:link w:val="EndnoteText"/>
    <w:uiPriority w:val="99"/>
    <w:rsid w:val="002956B3"/>
    <w:rPr>
      <w:szCs w:val="20"/>
    </w:rPr>
  </w:style>
  <w:style w:type="character" w:styleId="FootnoteReference">
    <w:name w:val="footnote reference"/>
    <w:basedOn w:val="DefaultParagraphFont"/>
    <w:uiPriority w:val="99"/>
    <w:semiHidden/>
    <w:unhideWhenUsed/>
    <w:rsid w:val="008171A9"/>
    <w:rPr>
      <w:vertAlign w:val="superscript"/>
    </w:rPr>
  </w:style>
  <w:style w:type="character" w:styleId="PlaceholderText">
    <w:name w:val="Placeholder Text"/>
    <w:basedOn w:val="DefaultParagraphFont"/>
    <w:uiPriority w:val="99"/>
    <w:semiHidden/>
    <w:rsid w:val="00DF4A71"/>
    <w:rPr>
      <w:color w:val="808080"/>
    </w:rPr>
  </w:style>
  <w:style w:type="character" w:customStyle="1" w:styleId="Heading5Char">
    <w:name w:val="Heading 5 Char"/>
    <w:basedOn w:val="DefaultParagraphFont"/>
    <w:link w:val="Heading5"/>
    <w:uiPriority w:val="1"/>
    <w:rsid w:val="00D558E0"/>
    <w:rPr>
      <w:rFonts w:asciiTheme="majorHAnsi" w:eastAsiaTheme="majorEastAsia" w:hAnsiTheme="majorHAnsi" w:cstheme="majorBidi"/>
      <w:b/>
      <w:color w:val="005496" w:themeColor="text2"/>
    </w:rPr>
  </w:style>
  <w:style w:type="character" w:styleId="SubtleEmphasis">
    <w:name w:val="Subtle Emphasis"/>
    <w:basedOn w:val="DefaultParagraphFont"/>
    <w:uiPriority w:val="19"/>
    <w:qFormat/>
    <w:rsid w:val="002D493D"/>
    <w:rPr>
      <w:rFonts w:asciiTheme="minorHAnsi" w:hAnsiTheme="minorHAnsi"/>
      <w:i w:val="0"/>
      <w:iCs/>
      <w:color w:val="005496" w:themeColor="text2"/>
    </w:rPr>
  </w:style>
  <w:style w:type="character" w:styleId="Emphasis">
    <w:name w:val="Emphasis"/>
    <w:basedOn w:val="DefaultParagraphFont"/>
    <w:uiPriority w:val="20"/>
    <w:qFormat/>
    <w:rsid w:val="002D493D"/>
    <w:rPr>
      <w:rFonts w:asciiTheme="minorHAnsi" w:hAnsiTheme="minorHAnsi"/>
      <w:b w:val="0"/>
      <w:i w:val="0"/>
      <w:iCs/>
      <w:color w:val="005496" w:themeColor="text2"/>
      <w:sz w:val="24"/>
    </w:rPr>
  </w:style>
  <w:style w:type="paragraph" w:customStyle="1" w:styleId="Breakoutbox">
    <w:name w:val="Breakout box"/>
    <w:basedOn w:val="BodyText"/>
    <w:uiPriority w:val="99"/>
    <w:rsid w:val="002D493D"/>
    <w:pPr>
      <w:pBdr>
        <w:top w:val="single" w:sz="8" w:space="5" w:color="005496" w:themeColor="text2"/>
        <w:bottom w:val="single" w:sz="8" w:space="5" w:color="005496" w:themeColor="text2"/>
      </w:pBdr>
    </w:pPr>
    <w:rPr>
      <w:color w:val="005496" w:themeColor="text2"/>
    </w:rPr>
  </w:style>
  <w:style w:type="paragraph" w:styleId="IntenseQuote">
    <w:name w:val="Intense Quote"/>
    <w:basedOn w:val="Normal"/>
    <w:next w:val="Normal"/>
    <w:link w:val="IntenseQuoteChar"/>
    <w:uiPriority w:val="30"/>
    <w:qFormat/>
    <w:rsid w:val="002956B3"/>
    <w:pPr>
      <w:pBdr>
        <w:top w:val="single" w:sz="4" w:space="10" w:color="005496" w:themeColor="accent1"/>
        <w:bottom w:val="single" w:sz="4" w:space="10" w:color="005496" w:themeColor="accent1"/>
      </w:pBdr>
      <w:spacing w:before="360" w:after="360"/>
      <w:ind w:left="851" w:right="851"/>
    </w:pPr>
    <w:rPr>
      <w:iCs/>
      <w:color w:val="005496" w:themeColor="accent1"/>
    </w:rPr>
  </w:style>
  <w:style w:type="character" w:customStyle="1" w:styleId="IntenseQuoteChar">
    <w:name w:val="Intense Quote Char"/>
    <w:basedOn w:val="DefaultParagraphFont"/>
    <w:link w:val="IntenseQuote"/>
    <w:uiPriority w:val="30"/>
    <w:rsid w:val="002956B3"/>
    <w:rPr>
      <w:iCs/>
      <w:color w:val="005496" w:themeColor="accent1"/>
    </w:rPr>
  </w:style>
  <w:style w:type="character" w:styleId="Strong">
    <w:name w:val="Strong"/>
    <w:basedOn w:val="DefaultParagraphFont"/>
    <w:uiPriority w:val="22"/>
    <w:qFormat/>
    <w:rsid w:val="002956B3"/>
    <w:rPr>
      <w:rFonts w:asciiTheme="minorHAnsi" w:hAnsiTheme="minorHAnsi"/>
      <w:b/>
      <w:bCs/>
      <w:color w:val="005496" w:themeColor="text2"/>
      <w:sz w:val="28"/>
    </w:rPr>
  </w:style>
  <w:style w:type="paragraph" w:styleId="Quote">
    <w:name w:val="Quote"/>
    <w:basedOn w:val="Normal"/>
    <w:next w:val="Normal"/>
    <w:link w:val="QuoteChar"/>
    <w:uiPriority w:val="29"/>
    <w:qFormat/>
    <w:rsid w:val="002956B3"/>
    <w:pPr>
      <w:spacing w:before="200" w:after="160"/>
      <w:ind w:left="864" w:right="864"/>
      <w:jc w:val="center"/>
    </w:pPr>
    <w:rPr>
      <w:iCs/>
      <w:color w:val="005496" w:themeColor="text2"/>
    </w:rPr>
  </w:style>
  <w:style w:type="character" w:customStyle="1" w:styleId="QuoteChar">
    <w:name w:val="Quote Char"/>
    <w:basedOn w:val="DefaultParagraphFont"/>
    <w:link w:val="Quote"/>
    <w:uiPriority w:val="29"/>
    <w:rsid w:val="002956B3"/>
    <w:rPr>
      <w:iCs/>
      <w:color w:val="005496" w:themeColor="text2"/>
    </w:rPr>
  </w:style>
  <w:style w:type="character" w:styleId="BookTitle">
    <w:name w:val="Book Title"/>
    <w:basedOn w:val="DefaultParagraphFont"/>
    <w:uiPriority w:val="33"/>
    <w:qFormat/>
    <w:rsid w:val="002956B3"/>
    <w:rPr>
      <w:b/>
      <w:bCs/>
      <w:i w:val="0"/>
      <w:iCs/>
      <w:spacing w:val="5"/>
    </w:rPr>
  </w:style>
  <w:style w:type="paragraph" w:customStyle="1" w:styleId="recipientaddress">
    <w:name w:val="recipient address"/>
    <w:basedOn w:val="AddressBlockdate"/>
    <w:uiPriority w:val="99"/>
    <w:qFormat/>
    <w:rsid w:val="00310E3F"/>
    <w:pPr>
      <w:spacing w:before="240" w:after="240"/>
      <w:contextualSpacing w:val="0"/>
    </w:pPr>
    <w:rPr>
      <w:b w:val="0"/>
    </w:rPr>
  </w:style>
  <w:style w:type="paragraph" w:styleId="FootnoteText">
    <w:name w:val="footnote text"/>
    <w:basedOn w:val="Normal"/>
    <w:link w:val="FootnoteTextChar"/>
    <w:uiPriority w:val="99"/>
    <w:semiHidden/>
    <w:unhideWhenUsed/>
    <w:rsid w:val="00A31D8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31D8C"/>
    <w:rPr>
      <w:sz w:val="20"/>
      <w:szCs w:val="20"/>
    </w:rPr>
  </w:style>
  <w:style w:type="character" w:styleId="CommentReference">
    <w:name w:val="annotation reference"/>
    <w:basedOn w:val="DefaultParagraphFont"/>
    <w:uiPriority w:val="99"/>
    <w:semiHidden/>
    <w:unhideWhenUsed/>
    <w:rsid w:val="00305A6C"/>
    <w:rPr>
      <w:sz w:val="16"/>
      <w:szCs w:val="16"/>
    </w:rPr>
  </w:style>
  <w:style w:type="paragraph" w:styleId="CommentText">
    <w:name w:val="annotation text"/>
    <w:basedOn w:val="Normal"/>
    <w:link w:val="CommentTextChar"/>
    <w:uiPriority w:val="99"/>
    <w:unhideWhenUsed/>
    <w:rsid w:val="00305A6C"/>
    <w:pPr>
      <w:spacing w:line="240" w:lineRule="auto"/>
    </w:pPr>
    <w:rPr>
      <w:sz w:val="20"/>
      <w:szCs w:val="20"/>
    </w:rPr>
  </w:style>
  <w:style w:type="character" w:customStyle="1" w:styleId="CommentTextChar">
    <w:name w:val="Comment Text Char"/>
    <w:basedOn w:val="DefaultParagraphFont"/>
    <w:link w:val="CommentText"/>
    <w:uiPriority w:val="99"/>
    <w:rsid w:val="00305A6C"/>
    <w:rPr>
      <w:sz w:val="20"/>
      <w:szCs w:val="20"/>
    </w:rPr>
  </w:style>
  <w:style w:type="paragraph" w:styleId="CommentSubject">
    <w:name w:val="annotation subject"/>
    <w:basedOn w:val="CommentText"/>
    <w:next w:val="CommentText"/>
    <w:link w:val="CommentSubjectChar"/>
    <w:uiPriority w:val="99"/>
    <w:semiHidden/>
    <w:unhideWhenUsed/>
    <w:rsid w:val="00305A6C"/>
    <w:rPr>
      <w:b/>
      <w:bCs/>
    </w:rPr>
  </w:style>
  <w:style w:type="character" w:customStyle="1" w:styleId="CommentSubjectChar">
    <w:name w:val="Comment Subject Char"/>
    <w:basedOn w:val="CommentTextChar"/>
    <w:link w:val="CommentSubject"/>
    <w:uiPriority w:val="99"/>
    <w:semiHidden/>
    <w:rsid w:val="00305A6C"/>
    <w:rPr>
      <w:b/>
      <w:bCs/>
      <w:sz w:val="20"/>
      <w:szCs w:val="20"/>
    </w:rPr>
  </w:style>
  <w:style w:type="paragraph" w:styleId="Revision">
    <w:name w:val="Revision"/>
    <w:hidden/>
    <w:uiPriority w:val="99"/>
    <w:semiHidden/>
    <w:rsid w:val="00DA0F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8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parliament.nsw.gov.au/committees/inquiries/Pages/inquiry-details.aspx?pk=3161"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wd.org.au/" TargetMode="External"/><Relationship Id="rId2" Type="http://schemas.openxmlformats.org/officeDocument/2006/relationships/customXml" Target="../customXml/item2.xml"/><Relationship Id="rId16" Type="http://schemas.openxmlformats.org/officeDocument/2006/relationships/hyperlink" Target="mailto:pwd@pwd.org.au" TargetMode="External"/><Relationship Id="rId20" Type="http://schemas.openxmlformats.org/officeDocument/2006/relationships/hyperlink" Target="mailto:julianl@pwd.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hchr.org/en/instruments-mechanisms/instruments/convention-rights-persons-disabil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disability.royalcommission.gov.au/system/files/2023-11/Final%20report%20-%20Executive%20Summary%2C%20Our%20vision%20for%20an%20inclusive%20Australia%20and%20Recommendations.pdf" TargetMode="External"/><Relationship Id="rId13" Type="http://schemas.openxmlformats.org/officeDocument/2006/relationships/hyperlink" Target="https://ageingdisabilitycommission.nsw.gov.au/documents/2021_22_NSW_ADC_Annual_Report.pdf" TargetMode="External"/><Relationship Id="rId3" Type="http://schemas.openxmlformats.org/officeDocument/2006/relationships/hyperlink" Target="https://onlinelibrary.wiley.com/doi/pdf/10.1002/ajs4.70070" TargetMode="External"/><Relationship Id="rId7" Type="http://schemas.openxmlformats.org/officeDocument/2006/relationships/hyperlink" Target="https://pwd.org.au/wp-content/uploads/2024/02/PWDA-Response-to-the-DRC-Final-Report_Feb-2024.pdf" TargetMode="External"/><Relationship Id="rId12" Type="http://schemas.openxmlformats.org/officeDocument/2006/relationships/hyperlink" Target="https://www.parliament.nsw.gov.au/researchpapers/Documents/Supported-decision-making-for-people-living-with-dementia-in-NSW.pdf" TargetMode="External"/><Relationship Id="rId2" Type="http://schemas.openxmlformats.org/officeDocument/2006/relationships/hyperlink" Target="https://disability.royalcommission.gov.au/system/files/2023-09/Final%20Report%20-%20Volume%206%2C%20Enabling%20autonomy%20and%20access.pdf" TargetMode="External"/><Relationship Id="rId16" Type="http://schemas.openxmlformats.org/officeDocument/2006/relationships/hyperlink" Target="https://ageingdisabilitycommission.nsw.gov.au/documents/2021_22_NSW_ADC_Annual_Report.pdf" TargetMode="External"/><Relationship Id="rId1" Type="http://schemas.openxmlformats.org/officeDocument/2006/relationships/hyperlink" Target="https://disability.royalcommission.gov.au/system/files/2023-09/Final%20Report%20-%20Volume%206%2C%20Enabling%20autonomy%20and%20access.pdf" TargetMode="External"/><Relationship Id="rId6" Type="http://schemas.openxmlformats.org/officeDocument/2006/relationships/hyperlink" Target="https://disability.royalcommission.gov.au/publications/convention-rights-persons-disabilities-shining-light-social-transformation" TargetMode="External"/><Relationship Id="rId11" Type="http://schemas.openxmlformats.org/officeDocument/2006/relationships/hyperlink" Target="https://www.health.gov.au/resources/publications/disability-royal-commission-progress-report-2025/volume-6-enabling-autonomy-and-access" TargetMode="External"/><Relationship Id="rId5" Type="http://schemas.openxmlformats.org/officeDocument/2006/relationships/hyperlink" Target="https://www.ohchr.org/en/documents/general-comments-and-recommendations/general-comment-no-1-article-12-equal-recognition-1" TargetMode="External"/><Relationship Id="rId15" Type="http://schemas.openxmlformats.org/officeDocument/2006/relationships/hyperlink" Target="http://doi.org/10.26190/unsworks/31553" TargetMode="External"/><Relationship Id="rId10" Type="http://schemas.openxmlformats.org/officeDocument/2006/relationships/hyperlink" Target="https://www.alrc.gov.au/wp-content/uploads/2019/08/alrc_124_whole_pdf_file.pdf" TargetMode="External"/><Relationship Id="rId4" Type="http://schemas.openxmlformats.org/officeDocument/2006/relationships/hyperlink" Target="https://disability.royalcommission.gov.au/policy-and-research/research-program" TargetMode="External"/><Relationship Id="rId9" Type="http://schemas.openxmlformats.org/officeDocument/2006/relationships/hyperlink" Target="https://disability.royalcommission.gov.au/system/files/2023-09/Final%20Report%20%20Volume%206%2C%20Enabling%20autonomy%20and%20access.pdf" TargetMode="External"/><Relationship Id="rId14" Type="http://schemas.openxmlformats.org/officeDocument/2006/relationships/hyperlink" Target="https://ageingdisabilitycommission.nsw.gov.au/documents/submissions/NSW_Ageing_and_Disability_Commission_2022_2023_Annual_Report.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20Law\Desktop\PWDA%20Letterhead%20Template%202024%20-%20Copy.dotx" TargetMode="External"/></Relationships>
</file>

<file path=word/theme/theme1.xml><?xml version="1.0" encoding="utf-8"?>
<a:theme xmlns:a="http://schemas.openxmlformats.org/drawingml/2006/main" name="Office Theme">
  <a:themeElements>
    <a:clrScheme name="PWDA">
      <a:dk1>
        <a:sysClr val="windowText" lastClr="000000"/>
      </a:dk1>
      <a:lt1>
        <a:sysClr val="window" lastClr="FFFFFF"/>
      </a:lt1>
      <a:dk2>
        <a:srgbClr val="005496"/>
      </a:dk2>
      <a:lt2>
        <a:srgbClr val="EEEBEA"/>
      </a:lt2>
      <a:accent1>
        <a:srgbClr val="005496"/>
      </a:accent1>
      <a:accent2>
        <a:srgbClr val="00884F"/>
      </a:accent2>
      <a:accent3>
        <a:srgbClr val="00BDF2"/>
      </a:accent3>
      <a:accent4>
        <a:srgbClr val="67C18C"/>
      </a:accent4>
      <a:accent5>
        <a:srgbClr val="EEEBEA"/>
      </a:accent5>
      <a:accent6>
        <a:srgbClr val="000000"/>
      </a:accent6>
      <a:hlink>
        <a:srgbClr val="FFFFFF"/>
      </a:hlink>
      <a:folHlink>
        <a:srgbClr val="0054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6efc0a-87e0-423d-a808-41f60acde31c">
      <Terms xmlns="http://schemas.microsoft.com/office/infopath/2007/PartnerControls"/>
    </lcf76f155ced4ddcb4097134ff3c332f>
    <TaxCatchAll xmlns="02726c10-34f2-49b5-8ce6-b6efaf8f9534" xsi:nil="true"/>
    <SharedWithUsers xmlns="02726c10-34f2-49b5-8ce6-b6efaf8f9534">
      <UserInfo>
        <DisplayName>Nicholas Kelly</DisplayName>
        <AccountId>399</AccountId>
        <AccountType/>
      </UserInfo>
      <UserInfo>
        <DisplayName>Catherine Bourke</DisplayName>
        <AccountId>434</AccountId>
        <AccountType/>
      </UserInfo>
      <UserInfo>
        <DisplayName>Hollee James</DisplayName>
        <AccountId>25</AccountId>
        <AccountType/>
      </UserInfo>
      <UserInfo>
        <DisplayName>Linda Wiseham</DisplayName>
        <AccountId>28</AccountId>
        <AccountType/>
      </UserInfo>
      <UserInfo>
        <DisplayName>Kylie Rees</DisplayName>
        <AccountId>446</AccountId>
        <AccountType/>
      </UserInfo>
      <UserInfo>
        <DisplayName>PWDA Comms</DisplayName>
        <AccountId>449</AccountId>
        <AccountType/>
      </UserInfo>
    </SharedWithUsers>
    <Datereceived xmlns="556efc0a-87e0-423d-a808-41f60acde31c" xsi:nil="true"/>
    <Summary xmlns="556efc0a-87e0-423d-a808-41f60acde31c" xsi:nil="true"/>
    <Notesoractionstaken xmlns="556efc0a-87e0-423d-a808-41f60acde31c" xsi:nil="true"/>
    <Title0 xmlns="556efc0a-87e0-423d-a808-41f60acde31c" xsi:nil="true"/>
    <Feedbackchannel xmlns="556efc0a-87e0-423d-a808-41f60acde31c" xsi:nil="true"/>
    <Includescreenshots xmlns="556efc0a-87e0-423d-a808-41f60acde31c" xsi:nil="true"/>
    <Requiresfollowup xmlns="556efc0a-87e0-423d-a808-41f60acde31c">true</Requiresfollowu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2E8EBBB996DB47A337624F94F1FFC7" ma:contentTypeVersion="25" ma:contentTypeDescription="Create a new document." ma:contentTypeScope="" ma:versionID="22e14baede29b41c7c779a543d27e1fe">
  <xsd:schema xmlns:xsd="http://www.w3.org/2001/XMLSchema" xmlns:xs="http://www.w3.org/2001/XMLSchema" xmlns:p="http://schemas.microsoft.com/office/2006/metadata/properties" xmlns:ns2="556efc0a-87e0-423d-a808-41f60acde31c" xmlns:ns3="02726c10-34f2-49b5-8ce6-b6efaf8f9534" targetNamespace="http://schemas.microsoft.com/office/2006/metadata/properties" ma:root="true" ma:fieldsID="e45b2e9f91cde3dccf23e279ba5f2816" ns2:_="" ns3:_="">
    <xsd:import namespace="556efc0a-87e0-423d-a808-41f60acde31c"/>
    <xsd:import namespace="02726c10-34f2-49b5-8ce6-b6efaf8f95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Title0" minOccurs="0"/>
                <xsd:element ref="ns2:Datereceived" minOccurs="0"/>
                <xsd:element ref="ns2:Feedbackchannel" minOccurs="0"/>
                <xsd:element ref="ns2:Requiresfollowup" minOccurs="0"/>
                <xsd:element ref="ns2:Summary" minOccurs="0"/>
                <xsd:element ref="ns2:Notesoractionstaken" minOccurs="0"/>
                <xsd:element ref="ns2:Includescreensh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efc0a-87e0-423d-a808-41f60acde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9d012c-5cc6-4b8c-ac46-f71aa3c528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itle0" ma:index="26" nillable="true" ma:displayName="Title " ma:description="Use as a brief summary or just auto-fill with “Feedback”" ma:format="Dropdown" ma:internalName="Title0">
      <xsd:simpleType>
        <xsd:restriction base="dms:Text">
          <xsd:maxLength value="255"/>
        </xsd:restriction>
      </xsd:simpleType>
    </xsd:element>
    <xsd:element name="Datereceived" ma:index="27" nillable="true" ma:displayName="Date received" ma:description="Match your form's “Date feedback received”" ma:format="DateOnly" ma:internalName="Datereceived">
      <xsd:simpleType>
        <xsd:restriction base="dms:DateTime"/>
      </xsd:simpleType>
    </xsd:element>
    <xsd:element name="Feedbackchannel" ma:index="28" nillable="true" ma:displayName="Feedback channel" ma:description="Use the same options from the form (email, Facebook etc.)" ma:format="Dropdown" ma:internalName="Feedbackchannel">
      <xsd:simpleType>
        <xsd:restriction base="dms:Choice">
          <xsd:enumeration value="Service quality"/>
          <xsd:enumeration value="Accessibility "/>
          <xsd:enumeration value="Tech issues "/>
          <xsd:enumeration value="Staff interaction"/>
          <xsd:enumeration value="General compliment"/>
          <xsd:enumeration value="Suggestion "/>
          <xsd:enumeration value="Complaint"/>
          <xsd:enumeration value="Choice 8"/>
        </xsd:restriction>
      </xsd:simpleType>
    </xsd:element>
    <xsd:element name="Requiresfollowup" ma:index="29" nillable="true" ma:displayName="Requires follow up " ma:default="1" ma:format="Dropdown" ma:internalName="Requiresfollowup">
      <xsd:simpleType>
        <xsd:restriction base="dms:Boolean"/>
      </xsd:simpleType>
    </xsd:element>
    <xsd:element name="Summary" ma:index="30" nillable="true" ma:displayName="Summary" ma:format="Dropdown" ma:internalName="Summary">
      <xsd:simpleType>
        <xsd:restriction base="dms:Note">
          <xsd:maxLength value="255"/>
        </xsd:restriction>
      </xsd:simpleType>
    </xsd:element>
    <xsd:element name="Notesoractionstaken" ma:index="31" nillable="true" ma:displayName="Notes or actions taken" ma:format="Dropdown" ma:internalName="Notesoractionstaken">
      <xsd:simpleType>
        <xsd:restriction base="dms:Note">
          <xsd:maxLength value="255"/>
        </xsd:restriction>
      </xsd:simpleType>
    </xsd:element>
    <xsd:element name="Includescreenshots" ma:index="32" nillable="true" ma:displayName="Include screenshots" ma:format="Thumbnail" ma:internalName="Includescreenshot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26c10-34f2-49b5-8ce6-b6efaf8f95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77b758-15ac-4e95-9937-1589202fda94}" ma:internalName="TaxCatchAll" ma:showField="CatchAllData" ma:web="02726c10-34f2-49b5-8ce6-b6efaf8f95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BC073-6C00-4D53-A259-0A132DAFFD2C}">
  <ds:schemaRefs>
    <ds:schemaRef ds:uri="http://schemas.microsoft.com/office/2006/metadata/properties"/>
    <ds:schemaRef ds:uri="http://schemas.microsoft.com/office/infopath/2007/PartnerControls"/>
    <ds:schemaRef ds:uri="556efc0a-87e0-423d-a808-41f60acde31c"/>
    <ds:schemaRef ds:uri="02726c10-34f2-49b5-8ce6-b6efaf8f9534"/>
  </ds:schemaRefs>
</ds:datastoreItem>
</file>

<file path=customXml/itemProps2.xml><?xml version="1.0" encoding="utf-8"?>
<ds:datastoreItem xmlns:ds="http://schemas.openxmlformats.org/officeDocument/2006/customXml" ds:itemID="{6FAF85A6-564C-4D10-AB33-854105CFBB71}">
  <ds:schemaRefs>
    <ds:schemaRef ds:uri="http://schemas.microsoft.com/sharepoint/v3/contenttype/forms"/>
  </ds:schemaRefs>
</ds:datastoreItem>
</file>

<file path=customXml/itemProps3.xml><?xml version="1.0" encoding="utf-8"?>
<ds:datastoreItem xmlns:ds="http://schemas.openxmlformats.org/officeDocument/2006/customXml" ds:itemID="{7257B893-FE60-46F6-AEBC-A1C7E8C9D131}">
  <ds:schemaRefs>
    <ds:schemaRef ds:uri="http://schemas.openxmlformats.org/officeDocument/2006/bibliography"/>
  </ds:schemaRefs>
</ds:datastoreItem>
</file>

<file path=customXml/itemProps4.xml><?xml version="1.0" encoding="utf-8"?>
<ds:datastoreItem xmlns:ds="http://schemas.openxmlformats.org/officeDocument/2006/customXml" ds:itemID="{C666C1CF-58D6-40B3-AE96-958864D0B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efc0a-87e0-423d-a808-41f60acde31c"/>
    <ds:schemaRef ds:uri="02726c10-34f2-49b5-8ce6-b6efaf8f9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PWDA Letterhead Template 2024 - Copy</Template>
  <TotalTime>779</TotalTime>
  <Pages>13</Pages>
  <Words>2607</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People with Disability Australia Incorporated</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 Laurens</dc:creator>
  <cp:lastModifiedBy>Kylie Rees</cp:lastModifiedBy>
  <cp:revision>337</cp:revision>
  <cp:lastPrinted>2026-03-12T03:34:00Z</cp:lastPrinted>
  <dcterms:created xsi:type="dcterms:W3CDTF">2026-03-05T23:00:00Z</dcterms:created>
  <dcterms:modified xsi:type="dcterms:W3CDTF">2026-05-20T01:59:00Z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0x010100442E8EBBB996DB47A337624F94F1FFC7</vt:lpwstr>
  </property>
  <property fmtid="{D5CDD505-2E9C-101B-9397-08002B2CF9AE}" pid="3" name="Order">
    <vt:r8>523200</vt:r8>
  </property>
  <property fmtid="{D5CDD505-2E9C-101B-9397-08002B2CF9AE}" pid="4" name="MediaServiceImageTags">
    <vt:lpwstr/>
  </property>
</Properties>
</file>